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1A4A29">
      <w:pPr>
        <w:rPr>
          <w:rFonts w:hint="eastAsia" w:ascii="仿宋_GB2312" w:hAnsi="仿宋_GB2312" w:eastAsia="仿宋_GB2312" w:cs="仿宋_GB2312"/>
          <w:color w:val="000000" w:themeColor="text1"/>
          <w:sz w:val="36"/>
          <w:szCs w:val="36"/>
          <w14:textFill>
            <w14:solidFill>
              <w14:schemeClr w14:val="tx1"/>
            </w14:solidFill>
          </w14:textFill>
        </w:rPr>
      </w:pPr>
    </w:p>
    <w:p w14:paraId="089BBD12">
      <w:pPr>
        <w:rPr>
          <w:rFonts w:hint="eastAsia" w:ascii="仿宋_GB2312" w:hAnsi="仿宋_GB2312" w:eastAsia="仿宋_GB2312" w:cs="仿宋_GB2312"/>
          <w:color w:val="000000" w:themeColor="text1"/>
          <w:sz w:val="36"/>
          <w:szCs w:val="36"/>
          <w14:textFill>
            <w14:solidFill>
              <w14:schemeClr w14:val="tx1"/>
            </w14:solidFill>
          </w14:textFill>
        </w:rPr>
      </w:pPr>
    </w:p>
    <w:p w14:paraId="59B11B87">
      <w:pPr>
        <w:rPr>
          <w:rFonts w:hint="eastAsia" w:ascii="仿宋_GB2312" w:hAnsi="仿宋_GB2312" w:eastAsia="仿宋_GB2312" w:cs="仿宋_GB2312"/>
          <w:color w:val="000000" w:themeColor="text1"/>
          <w:sz w:val="36"/>
          <w:szCs w:val="36"/>
          <w14:textFill>
            <w14:solidFill>
              <w14:schemeClr w14:val="tx1"/>
            </w14:solidFill>
          </w14:textFill>
        </w:rPr>
      </w:pPr>
    </w:p>
    <w:p w14:paraId="7A79E886">
      <w:pPr>
        <w:rPr>
          <w:rFonts w:hint="eastAsia" w:ascii="仿宋_GB2312" w:hAnsi="仿宋_GB2312" w:eastAsia="仿宋_GB2312" w:cs="仿宋_GB2312"/>
          <w:color w:val="000000" w:themeColor="text1"/>
          <w:sz w:val="36"/>
          <w:szCs w:val="36"/>
          <w14:textFill>
            <w14:solidFill>
              <w14:schemeClr w14:val="tx1"/>
            </w14:solidFill>
          </w14:textFill>
        </w:rPr>
      </w:pPr>
    </w:p>
    <w:p w14:paraId="31DA5EC2">
      <w:pPr>
        <w:adjustRightInd w:val="0"/>
        <w:snapToGrid w:val="0"/>
        <w:jc w:val="center"/>
        <w:rPr>
          <w:bCs/>
          <w:color w:val="000000" w:themeColor="text1"/>
          <w:sz w:val="72"/>
          <w:szCs w:val="72"/>
          <w14:textFill>
            <w14:solidFill>
              <w14:schemeClr w14:val="tx1"/>
            </w14:solidFill>
          </w14:textFill>
        </w:rPr>
      </w:pPr>
      <w:bookmarkStart w:id="0" w:name="_Toc23246"/>
      <w:r>
        <w:rPr>
          <w:rFonts w:hint="eastAsia"/>
          <w:bCs/>
          <w:color w:val="000000" w:themeColor="text1"/>
          <w:sz w:val="72"/>
          <w:szCs w:val="72"/>
          <w14:textFill>
            <w14:solidFill>
              <w14:schemeClr w14:val="tx1"/>
            </w14:solidFill>
          </w14:textFill>
        </w:rPr>
        <w:t>建设项目环境影响报告表</w:t>
      </w:r>
      <w:bookmarkEnd w:id="0"/>
    </w:p>
    <w:p w14:paraId="2171F88B">
      <w:pPr>
        <w:adjustRightInd w:val="0"/>
        <w:snapToGrid w:val="0"/>
        <w:spacing w:before="192" w:beforeLines="80"/>
        <w:jc w:val="center"/>
        <w:rPr>
          <w:bCs/>
          <w:color w:val="000000" w:themeColor="text1"/>
          <w:sz w:val="48"/>
          <w:szCs w:val="48"/>
          <w14:textFill>
            <w14:solidFill>
              <w14:schemeClr w14:val="tx1"/>
            </w14:solidFill>
          </w14:textFill>
        </w:rPr>
      </w:pPr>
      <w:r>
        <w:rPr>
          <w:rFonts w:hint="eastAsia"/>
          <w:bCs/>
          <w:color w:val="000000" w:themeColor="text1"/>
          <w:sz w:val="48"/>
          <w:szCs w:val="48"/>
          <w14:textFill>
            <w14:solidFill>
              <w14:schemeClr w14:val="tx1"/>
            </w14:solidFill>
          </w14:textFill>
        </w:rPr>
        <w:t>（污染影响类）</w:t>
      </w:r>
      <w:bookmarkStart w:id="25" w:name="_GoBack"/>
      <w:bookmarkEnd w:id="25"/>
    </w:p>
    <w:p w14:paraId="2C58AB96">
      <w:pPr>
        <w:rPr>
          <w:rFonts w:cs="华文仿宋"/>
          <w:color w:val="000000" w:themeColor="text1"/>
          <w:kern w:val="44"/>
          <w:sz w:val="44"/>
          <w:szCs w:val="44"/>
          <w14:textFill>
            <w14:solidFill>
              <w14:schemeClr w14:val="tx1"/>
            </w14:solidFill>
          </w14:textFill>
        </w:rPr>
      </w:pPr>
    </w:p>
    <w:p w14:paraId="60BB7115">
      <w:pPr>
        <w:rPr>
          <w:color w:val="000000" w:themeColor="text1"/>
          <w:sz w:val="52"/>
          <w:szCs w:val="52"/>
          <w14:textFill>
            <w14:solidFill>
              <w14:schemeClr w14:val="tx1"/>
            </w14:solidFill>
          </w14:textFill>
        </w:rPr>
      </w:pPr>
    </w:p>
    <w:p w14:paraId="11EE196F">
      <w:pPr>
        <w:rPr>
          <w:color w:val="000000" w:themeColor="text1"/>
          <w:sz w:val="44"/>
          <w:szCs w:val="44"/>
          <w14:textFill>
            <w14:solidFill>
              <w14:schemeClr w14:val="tx1"/>
            </w14:solidFill>
          </w14:textFill>
        </w:rPr>
      </w:pPr>
    </w:p>
    <w:p w14:paraId="765272E4">
      <w:pPr>
        <w:rPr>
          <w:color w:val="000000" w:themeColor="text1"/>
          <w:sz w:val="44"/>
          <w:szCs w:val="44"/>
          <w14:textFill>
            <w14:solidFill>
              <w14:schemeClr w14:val="tx1"/>
            </w14:solidFill>
          </w14:textFill>
        </w:rPr>
      </w:pPr>
    </w:p>
    <w:p w14:paraId="540E7E2D">
      <w:pPr>
        <w:rPr>
          <w:color w:val="000000" w:themeColor="text1"/>
          <w:sz w:val="44"/>
          <w:szCs w:val="44"/>
          <w14:textFill>
            <w14:solidFill>
              <w14:schemeClr w14:val="tx1"/>
            </w14:solidFill>
          </w14:textFill>
        </w:rPr>
      </w:pPr>
    </w:p>
    <w:p w14:paraId="4B0B6D2C">
      <w:pPr>
        <w:rPr>
          <w:color w:val="000000" w:themeColor="text1"/>
          <w:sz w:val="44"/>
          <w:szCs w:val="44"/>
          <w14:textFill>
            <w14:solidFill>
              <w14:schemeClr w14:val="tx1"/>
            </w14:solidFill>
          </w14:textFill>
        </w:rPr>
      </w:pPr>
    </w:p>
    <w:p w14:paraId="657C1720">
      <w:pPr>
        <w:adjustRightInd w:val="0"/>
        <w:snapToGrid w:val="0"/>
        <w:spacing w:line="360" w:lineRule="auto"/>
        <w:ind w:left="1800" w:hanging="1800" w:hangingChars="500"/>
        <w:jc w:val="left"/>
        <w:rPr>
          <w:color w:val="000000" w:themeColor="text1"/>
          <w:sz w:val="36"/>
          <w:szCs w:val="36"/>
          <w:u w:val="single"/>
          <w14:textFill>
            <w14:solidFill>
              <w14:schemeClr w14:val="tx1"/>
            </w14:solidFill>
          </w14:textFill>
        </w:rPr>
      </w:pPr>
      <w:r>
        <w:rPr>
          <w:rFonts w:hint="eastAsia"/>
          <w:color w:val="000000" w:themeColor="text1"/>
          <w:sz w:val="36"/>
          <w:szCs w:val="36"/>
          <w14:textFill>
            <w14:solidFill>
              <w14:schemeClr w14:val="tx1"/>
            </w14:solidFill>
          </w14:textFill>
        </w:rPr>
        <w:t>项目名称：</w:t>
      </w:r>
      <w:r>
        <w:rPr>
          <w:rFonts w:hint="eastAsia"/>
          <w:color w:val="000000" w:themeColor="text1"/>
          <w:sz w:val="36"/>
          <w:szCs w:val="36"/>
          <w:u w:val="single"/>
          <w14:textFill>
            <w14:solidFill>
              <w14:schemeClr w14:val="tx1"/>
            </w14:solidFill>
          </w14:textFill>
        </w:rPr>
        <w:t xml:space="preserve">云南海潮集团听牧肉牛产业股份有限公司 </w:t>
      </w:r>
    </w:p>
    <w:p w14:paraId="219B5305">
      <w:pPr>
        <w:adjustRightInd w:val="0"/>
        <w:snapToGrid w:val="0"/>
        <w:spacing w:line="360" w:lineRule="auto"/>
        <w:ind w:left="1050" w:leftChars="500" w:firstLine="720" w:firstLineChars="200"/>
        <w:jc w:val="left"/>
        <w:rPr>
          <w:color w:val="000000" w:themeColor="text1"/>
          <w:sz w:val="36"/>
          <w:szCs w:val="36"/>
          <w:u w:val="single"/>
          <w14:textFill>
            <w14:solidFill>
              <w14:schemeClr w14:val="tx1"/>
            </w14:solidFill>
          </w14:textFill>
        </w:rPr>
      </w:pPr>
      <w:r>
        <w:rPr>
          <w:rFonts w:hint="eastAsia"/>
          <w:color w:val="000000" w:themeColor="text1"/>
          <w:sz w:val="36"/>
          <w:szCs w:val="36"/>
          <w:u w:val="single"/>
          <w14:textFill>
            <w14:solidFill>
              <w14:schemeClr w14:val="tx1"/>
            </w14:solidFill>
          </w14:textFill>
        </w:rPr>
        <w:t xml:space="preserve">50000只/年肉羊屠宰加工及配送系统技术 </w:t>
      </w:r>
    </w:p>
    <w:p w14:paraId="10680F3F">
      <w:pPr>
        <w:adjustRightInd w:val="0"/>
        <w:snapToGrid w:val="0"/>
        <w:spacing w:line="360" w:lineRule="auto"/>
        <w:ind w:left="1050" w:leftChars="500" w:firstLine="720" w:firstLineChars="200"/>
        <w:jc w:val="left"/>
        <w:rPr>
          <w:color w:val="000000" w:themeColor="text1"/>
          <w:sz w:val="36"/>
          <w:szCs w:val="36"/>
          <w14:textFill>
            <w14:solidFill>
              <w14:schemeClr w14:val="tx1"/>
            </w14:solidFill>
          </w14:textFill>
        </w:rPr>
      </w:pPr>
      <w:r>
        <w:rPr>
          <w:rFonts w:hint="eastAsia"/>
          <w:color w:val="000000" w:themeColor="text1"/>
          <w:sz w:val="36"/>
          <w:szCs w:val="36"/>
          <w:u w:val="single"/>
          <w14:textFill>
            <w14:solidFill>
              <w14:schemeClr w14:val="tx1"/>
            </w14:solidFill>
          </w14:textFill>
        </w:rPr>
        <w:t xml:space="preserve">改造项目 </w:t>
      </w:r>
    </w:p>
    <w:p w14:paraId="031DAAB3">
      <w:pPr>
        <w:adjustRightInd w:val="0"/>
        <w:snapToGrid w:val="0"/>
        <w:spacing w:line="360" w:lineRule="auto"/>
        <w:jc w:val="left"/>
        <w:rPr>
          <w:color w:val="000000" w:themeColor="text1"/>
          <w:sz w:val="36"/>
          <w:szCs w:val="36"/>
          <w:u w:val="single"/>
          <w14:textFill>
            <w14:solidFill>
              <w14:schemeClr w14:val="tx1"/>
            </w14:solidFill>
          </w14:textFill>
        </w:rPr>
      </w:pPr>
      <w:r>
        <w:rPr>
          <w:rFonts w:hint="eastAsia"/>
          <w:color w:val="000000" w:themeColor="text1"/>
          <w:sz w:val="36"/>
          <w:szCs w:val="36"/>
          <w14:textFill>
            <w14:solidFill>
              <w14:schemeClr w14:val="tx1"/>
            </w14:solidFill>
          </w14:textFill>
        </w:rPr>
        <w:t>建设单位：</w:t>
      </w:r>
      <w:r>
        <w:rPr>
          <w:rFonts w:hint="eastAsia"/>
          <w:color w:val="000000" w:themeColor="text1"/>
          <w:sz w:val="36"/>
          <w:szCs w:val="36"/>
          <w:u w:val="single"/>
          <w14:textFill>
            <w14:solidFill>
              <w14:schemeClr w14:val="tx1"/>
            </w14:solidFill>
          </w14:textFill>
        </w:rPr>
        <w:t xml:space="preserve">云南海潮集团听牧肉牛产业股份有限公司 </w:t>
      </w:r>
    </w:p>
    <w:p w14:paraId="242A3B18">
      <w:pPr>
        <w:adjustRightInd w:val="0"/>
        <w:snapToGrid w:val="0"/>
        <w:spacing w:line="360" w:lineRule="auto"/>
        <w:jc w:val="left"/>
        <w:rPr>
          <w:color w:val="000000" w:themeColor="text1"/>
          <w:sz w:val="36"/>
          <w:szCs w:val="36"/>
          <w:u w:val="single"/>
          <w14:textFill>
            <w14:solidFill>
              <w14:schemeClr w14:val="tx1"/>
            </w14:solidFill>
          </w14:textFill>
        </w:rPr>
      </w:pPr>
      <w:r>
        <w:rPr>
          <w:rFonts w:hint="eastAsia"/>
          <w:color w:val="000000" w:themeColor="text1"/>
          <w:sz w:val="36"/>
          <w:szCs w:val="36"/>
          <w14:textFill>
            <w14:solidFill>
              <w14:schemeClr w14:val="tx1"/>
            </w14:solidFill>
          </w14:textFill>
        </w:rPr>
        <w:t>编制日期：</w:t>
      </w:r>
      <w:r>
        <w:rPr>
          <w:rFonts w:hint="eastAsia"/>
          <w:color w:val="000000" w:themeColor="text1"/>
          <w:sz w:val="36"/>
          <w:szCs w:val="36"/>
          <w:u w:val="single"/>
          <w14:textFill>
            <w14:solidFill>
              <w14:schemeClr w14:val="tx1"/>
            </w14:solidFill>
          </w14:textFill>
        </w:rPr>
        <w:t xml:space="preserve">2026年4月 </w:t>
      </w:r>
    </w:p>
    <w:p w14:paraId="0329C5B1">
      <w:pPr>
        <w:adjustRightInd w:val="0"/>
        <w:snapToGrid w:val="0"/>
        <w:spacing w:line="288" w:lineRule="auto"/>
        <w:rPr>
          <w:color w:val="000000" w:themeColor="text1"/>
          <w:sz w:val="36"/>
          <w:szCs w:val="36"/>
          <w:u w:val="single"/>
          <w14:textFill>
            <w14:solidFill>
              <w14:schemeClr w14:val="tx1"/>
            </w14:solidFill>
          </w14:textFill>
        </w:rPr>
      </w:pPr>
      <w:bookmarkStart w:id="1" w:name="_Hlk57884087"/>
    </w:p>
    <w:p w14:paraId="7491C3BB">
      <w:pPr>
        <w:adjustRightInd w:val="0"/>
        <w:snapToGrid w:val="0"/>
        <w:spacing w:line="288" w:lineRule="auto"/>
        <w:rPr>
          <w:color w:val="000000" w:themeColor="text1"/>
          <w:sz w:val="36"/>
          <w:szCs w:val="36"/>
          <w14:textFill>
            <w14:solidFill>
              <w14:schemeClr w14:val="tx1"/>
            </w14:solidFill>
          </w14:textFill>
        </w:rPr>
      </w:pPr>
    </w:p>
    <w:p w14:paraId="2E9FE37A">
      <w:pPr>
        <w:adjustRightInd w:val="0"/>
        <w:snapToGrid w:val="0"/>
        <w:spacing w:line="288" w:lineRule="auto"/>
        <w:rPr>
          <w:color w:val="000000" w:themeColor="text1"/>
          <w:sz w:val="36"/>
          <w:szCs w:val="36"/>
          <w14:textFill>
            <w14:solidFill>
              <w14:schemeClr w14:val="tx1"/>
            </w14:solidFill>
          </w14:textFill>
        </w:rPr>
      </w:pPr>
    </w:p>
    <w:p w14:paraId="46E68E98">
      <w:pPr>
        <w:adjustRightInd w:val="0"/>
        <w:snapToGrid w:val="0"/>
        <w:spacing w:line="288" w:lineRule="auto"/>
        <w:rPr>
          <w:color w:val="000000" w:themeColor="text1"/>
          <w:sz w:val="36"/>
          <w:szCs w:val="36"/>
          <w14:textFill>
            <w14:solidFill>
              <w14:schemeClr w14:val="tx1"/>
            </w14:solidFill>
          </w14:textFill>
        </w:rPr>
      </w:pPr>
    </w:p>
    <w:bookmarkEnd w:id="1"/>
    <w:p w14:paraId="15F93DCE">
      <w:pPr>
        <w:adjustRightInd w:val="0"/>
        <w:snapToGrid w:val="0"/>
        <w:spacing w:line="288" w:lineRule="auto"/>
        <w:jc w:val="center"/>
        <w:rPr>
          <w:color w:val="000000" w:themeColor="text1"/>
          <w:sz w:val="36"/>
          <w:szCs w:val="36"/>
          <w14:textFill>
            <w14:solidFill>
              <w14:schemeClr w14:val="tx1"/>
            </w14:solidFill>
          </w14:textFill>
        </w:rPr>
      </w:pPr>
      <w:bookmarkStart w:id="2" w:name="_Toc15368"/>
      <w:r>
        <w:rPr>
          <w:rFonts w:hint="eastAsia"/>
          <w:color w:val="000000" w:themeColor="text1"/>
          <w:sz w:val="36"/>
          <w:szCs w:val="36"/>
          <w14:textFill>
            <w14:solidFill>
              <w14:schemeClr w14:val="tx1"/>
            </w14:solidFill>
          </w14:textFill>
        </w:rPr>
        <w:t>中华人民共和国生态环境部制</w:t>
      </w:r>
      <w:bookmarkEnd w:id="2"/>
    </w:p>
    <w:p w14:paraId="15F63EE3">
      <w:pPr>
        <w:adjustRightInd w:val="0"/>
        <w:snapToGrid w:val="0"/>
        <w:spacing w:line="288" w:lineRule="auto"/>
        <w:rPr>
          <w:color w:val="000000" w:themeColor="text1"/>
          <w:sz w:val="36"/>
          <w:szCs w:val="36"/>
          <w14:textFill>
            <w14:solidFill>
              <w14:schemeClr w14:val="tx1"/>
            </w14:solidFill>
          </w14:textFill>
        </w:rPr>
      </w:pPr>
    </w:p>
    <w:p w14:paraId="15C4C07C">
      <w:pPr>
        <w:adjustRightInd w:val="0"/>
        <w:snapToGrid w:val="0"/>
        <w:spacing w:line="288" w:lineRule="auto"/>
        <w:ind w:firstLine="1040"/>
        <w:rPr>
          <w:color w:val="000000" w:themeColor="text1"/>
          <w:sz w:val="36"/>
          <w:szCs w:val="36"/>
          <w14:textFill>
            <w14:solidFill>
              <w14:schemeClr w14:val="tx1"/>
            </w14:solidFill>
          </w14:textFill>
        </w:rPr>
        <w:sectPr>
          <w:headerReference r:id="rId5" w:type="default"/>
          <w:footerReference r:id="rId6" w:type="default"/>
          <w:footerReference r:id="rId7" w:type="even"/>
          <w:pgSz w:w="11906" w:h="16838"/>
          <w:pgMar w:top="1701" w:right="1531" w:bottom="1701" w:left="1531" w:header="1474" w:footer="1474" w:gutter="0"/>
          <w:pgNumType w:start="3"/>
          <w:cols w:space="720" w:num="1"/>
          <w:docGrid w:linePitch="312" w:charSpace="0"/>
        </w:sectPr>
      </w:pPr>
    </w:p>
    <w:p w14:paraId="376D9F1D">
      <w:pPr>
        <w:jc w:val="both"/>
        <w:rPr>
          <w:b/>
          <w:bCs/>
          <w:color w:val="000000" w:themeColor="text1"/>
          <w:sz w:val="30"/>
          <w:szCs w:val="30"/>
          <w14:textFill>
            <w14:solidFill>
              <w14:schemeClr w14:val="tx1"/>
            </w14:solidFill>
          </w14:textFill>
        </w:rPr>
        <w:sectPr>
          <w:footerReference r:id="rId8" w:type="default"/>
          <w:pgSz w:w="11906" w:h="16838"/>
          <w:pgMar w:top="1134" w:right="1531" w:bottom="1134" w:left="1531" w:header="851" w:footer="1077" w:gutter="0"/>
          <w:pgNumType w:start="1"/>
          <w:cols w:space="720" w:num="1"/>
          <w:docGrid w:linePitch="312" w:charSpace="0"/>
        </w:sectPr>
      </w:pPr>
    </w:p>
    <w:p w14:paraId="4D07C032">
      <w:pPr>
        <w:jc w:val="center"/>
        <w:rPr>
          <w:b/>
          <w:bCs/>
          <w:color w:val="000000" w:themeColor="text1"/>
          <w:sz w:val="36"/>
          <w:szCs w:val="36"/>
          <w14:textFill>
            <w14:solidFill>
              <w14:schemeClr w14:val="tx1"/>
            </w14:solidFill>
          </w14:textFill>
        </w:rPr>
      </w:pPr>
      <w:r>
        <w:rPr>
          <w:b/>
          <w:bCs/>
          <w:color w:val="000000" w:themeColor="text1"/>
          <w:sz w:val="36"/>
          <w:szCs w:val="36"/>
          <w14:textFill>
            <w14:solidFill>
              <w14:schemeClr w14:val="tx1"/>
            </w14:solidFill>
          </w14:textFill>
        </w:rPr>
        <w:t>目</w:t>
      </w:r>
      <w:r>
        <w:rPr>
          <w:rFonts w:hint="eastAsia"/>
          <w:b/>
          <w:bCs/>
          <w:color w:val="000000" w:themeColor="text1"/>
          <w:sz w:val="36"/>
          <w:szCs w:val="36"/>
          <w14:textFill>
            <w14:solidFill>
              <w14:schemeClr w14:val="tx1"/>
            </w14:solidFill>
          </w14:textFill>
        </w:rPr>
        <w:t xml:space="preserve"> </w:t>
      </w:r>
      <w:r>
        <w:rPr>
          <w:b/>
          <w:bCs/>
          <w:color w:val="000000" w:themeColor="text1"/>
          <w:sz w:val="36"/>
          <w:szCs w:val="36"/>
          <w14:textFill>
            <w14:solidFill>
              <w14:schemeClr w14:val="tx1"/>
            </w14:solidFill>
          </w14:textFill>
        </w:rPr>
        <w:t>录</w:t>
      </w:r>
    </w:p>
    <w:sdt>
      <w:sdtPr>
        <w:rPr>
          <w:rFonts w:ascii="Times New Roman" w:hAnsi="Times New Roman" w:eastAsia="宋体" w:cs="Times New Roman"/>
          <w:color w:val="auto"/>
          <w:kern w:val="2"/>
          <w:sz w:val="21"/>
          <w:szCs w:val="24"/>
          <w:lang w:val="zh-CN"/>
        </w:rPr>
        <w:id w:val="-284197201"/>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14:paraId="398EBC12">
          <w:pPr>
            <w:pStyle w:val="67"/>
          </w:pPr>
        </w:p>
        <w:p w14:paraId="30FA12E7">
          <w:pPr>
            <w:pStyle w:val="16"/>
            <w:tabs>
              <w:tab w:val="right" w:leader="dot" w:pos="8834"/>
            </w:tabs>
            <w:spacing w:line="360" w:lineRule="auto"/>
            <w:rPr>
              <w:rFonts w:eastAsiaTheme="minorEastAsia"/>
              <w:kern w:val="2"/>
              <w:sz w:val="30"/>
              <w:szCs w:val="30"/>
              <w14:ligatures w14:val="standardContextual"/>
            </w:rPr>
          </w:pPr>
          <w:r>
            <w:rPr>
              <w:sz w:val="30"/>
              <w:szCs w:val="30"/>
            </w:rPr>
            <w:fldChar w:fldCharType="begin"/>
          </w:r>
          <w:r>
            <w:rPr>
              <w:sz w:val="30"/>
              <w:szCs w:val="30"/>
            </w:rPr>
            <w:instrText xml:space="preserve"> TOC \o "1-3" \h \z \u </w:instrText>
          </w:r>
          <w:r>
            <w:rPr>
              <w:sz w:val="30"/>
              <w:szCs w:val="30"/>
            </w:rPr>
            <w:fldChar w:fldCharType="separate"/>
          </w:r>
          <w:r>
            <w:fldChar w:fldCharType="begin"/>
          </w:r>
          <w:r>
            <w:instrText xml:space="preserve"> HYPERLINK \l "_Toc218862105" </w:instrText>
          </w:r>
          <w:r>
            <w:fldChar w:fldCharType="separate"/>
          </w:r>
          <w:r>
            <w:rPr>
              <w:rStyle w:val="27"/>
              <w:rFonts w:eastAsiaTheme="minorEastAsia"/>
              <w:snapToGrid w:val="0"/>
              <w:sz w:val="30"/>
              <w:szCs w:val="30"/>
            </w:rPr>
            <w:t>一、建设项目基本情况</w:t>
          </w:r>
          <w:r>
            <w:rPr>
              <w:rFonts w:eastAsiaTheme="minorEastAsia"/>
              <w:sz w:val="30"/>
              <w:szCs w:val="30"/>
            </w:rPr>
            <w:tab/>
          </w:r>
          <w:r>
            <w:rPr>
              <w:rFonts w:eastAsiaTheme="minorEastAsia"/>
              <w:sz w:val="30"/>
              <w:szCs w:val="30"/>
            </w:rPr>
            <w:fldChar w:fldCharType="begin"/>
          </w:r>
          <w:r>
            <w:rPr>
              <w:rFonts w:eastAsiaTheme="minorEastAsia"/>
              <w:sz w:val="30"/>
              <w:szCs w:val="30"/>
            </w:rPr>
            <w:instrText xml:space="preserve"> PAGEREF _Toc218862105 \h </w:instrText>
          </w:r>
          <w:r>
            <w:rPr>
              <w:rFonts w:eastAsiaTheme="minorEastAsia"/>
              <w:sz w:val="30"/>
              <w:szCs w:val="30"/>
            </w:rPr>
            <w:fldChar w:fldCharType="separate"/>
          </w:r>
          <w:r>
            <w:rPr>
              <w:rFonts w:eastAsiaTheme="minorEastAsia"/>
              <w:sz w:val="30"/>
              <w:szCs w:val="30"/>
            </w:rPr>
            <w:t>1</w:t>
          </w:r>
          <w:r>
            <w:rPr>
              <w:rFonts w:eastAsiaTheme="minorEastAsia"/>
              <w:sz w:val="30"/>
              <w:szCs w:val="30"/>
            </w:rPr>
            <w:fldChar w:fldCharType="end"/>
          </w:r>
          <w:r>
            <w:rPr>
              <w:rFonts w:eastAsiaTheme="minorEastAsia"/>
              <w:sz w:val="30"/>
              <w:szCs w:val="30"/>
            </w:rPr>
            <w:fldChar w:fldCharType="end"/>
          </w:r>
        </w:p>
        <w:p w14:paraId="04B4026F">
          <w:pPr>
            <w:pStyle w:val="16"/>
            <w:tabs>
              <w:tab w:val="right" w:leader="dot" w:pos="8834"/>
            </w:tabs>
            <w:spacing w:line="360" w:lineRule="auto"/>
            <w:rPr>
              <w:rFonts w:eastAsiaTheme="minorEastAsia"/>
              <w:kern w:val="2"/>
              <w:sz w:val="30"/>
              <w:szCs w:val="30"/>
              <w14:ligatures w14:val="standardContextual"/>
            </w:rPr>
          </w:pPr>
          <w:r>
            <w:fldChar w:fldCharType="begin"/>
          </w:r>
          <w:r>
            <w:instrText xml:space="preserve"> HYPERLINK \l "_Toc218862106" </w:instrText>
          </w:r>
          <w:r>
            <w:fldChar w:fldCharType="separate"/>
          </w:r>
          <w:r>
            <w:rPr>
              <w:rStyle w:val="27"/>
              <w:rFonts w:eastAsiaTheme="minorEastAsia"/>
              <w:snapToGrid w:val="0"/>
              <w:sz w:val="30"/>
              <w:szCs w:val="30"/>
            </w:rPr>
            <w:t>二、建设项目工程分析</w:t>
          </w:r>
          <w:r>
            <w:rPr>
              <w:rFonts w:eastAsiaTheme="minorEastAsia"/>
              <w:sz w:val="30"/>
              <w:szCs w:val="30"/>
            </w:rPr>
            <w:tab/>
          </w:r>
          <w:r>
            <w:rPr>
              <w:rFonts w:eastAsiaTheme="minorEastAsia"/>
              <w:sz w:val="30"/>
              <w:szCs w:val="30"/>
            </w:rPr>
            <w:fldChar w:fldCharType="begin"/>
          </w:r>
          <w:r>
            <w:rPr>
              <w:rFonts w:eastAsiaTheme="minorEastAsia"/>
              <w:sz w:val="30"/>
              <w:szCs w:val="30"/>
            </w:rPr>
            <w:instrText xml:space="preserve"> PAGEREF _Toc218862106 \h </w:instrText>
          </w:r>
          <w:r>
            <w:rPr>
              <w:rFonts w:eastAsiaTheme="minorEastAsia"/>
              <w:sz w:val="30"/>
              <w:szCs w:val="30"/>
            </w:rPr>
            <w:fldChar w:fldCharType="separate"/>
          </w:r>
          <w:r>
            <w:rPr>
              <w:rFonts w:eastAsiaTheme="minorEastAsia"/>
              <w:sz w:val="30"/>
              <w:szCs w:val="30"/>
            </w:rPr>
            <w:t>20</w:t>
          </w:r>
          <w:r>
            <w:rPr>
              <w:rFonts w:eastAsiaTheme="minorEastAsia"/>
              <w:sz w:val="30"/>
              <w:szCs w:val="30"/>
            </w:rPr>
            <w:fldChar w:fldCharType="end"/>
          </w:r>
          <w:r>
            <w:rPr>
              <w:rFonts w:eastAsiaTheme="minorEastAsia"/>
              <w:sz w:val="30"/>
              <w:szCs w:val="30"/>
            </w:rPr>
            <w:fldChar w:fldCharType="end"/>
          </w:r>
        </w:p>
        <w:p w14:paraId="08CE1FFD">
          <w:pPr>
            <w:pStyle w:val="16"/>
            <w:tabs>
              <w:tab w:val="right" w:leader="dot" w:pos="8834"/>
            </w:tabs>
            <w:spacing w:line="360" w:lineRule="auto"/>
            <w:rPr>
              <w:rFonts w:eastAsiaTheme="minorEastAsia"/>
              <w:kern w:val="2"/>
              <w:sz w:val="30"/>
              <w:szCs w:val="30"/>
              <w14:ligatures w14:val="standardContextual"/>
            </w:rPr>
          </w:pPr>
          <w:r>
            <w:fldChar w:fldCharType="begin"/>
          </w:r>
          <w:r>
            <w:instrText xml:space="preserve"> HYPERLINK \l "_Toc218862107" </w:instrText>
          </w:r>
          <w:r>
            <w:fldChar w:fldCharType="separate"/>
          </w:r>
          <w:r>
            <w:rPr>
              <w:rStyle w:val="27"/>
              <w:rFonts w:eastAsiaTheme="minorEastAsia"/>
              <w:snapToGrid w:val="0"/>
              <w:sz w:val="30"/>
              <w:szCs w:val="30"/>
            </w:rPr>
            <w:t>三、区域环境质量现状、环境保护目标及评价标准</w:t>
          </w:r>
          <w:r>
            <w:rPr>
              <w:rFonts w:eastAsiaTheme="minorEastAsia"/>
              <w:sz w:val="30"/>
              <w:szCs w:val="30"/>
            </w:rPr>
            <w:tab/>
          </w:r>
          <w:r>
            <w:rPr>
              <w:rFonts w:eastAsiaTheme="minorEastAsia"/>
              <w:sz w:val="30"/>
              <w:szCs w:val="30"/>
            </w:rPr>
            <w:fldChar w:fldCharType="begin"/>
          </w:r>
          <w:r>
            <w:rPr>
              <w:rFonts w:eastAsiaTheme="minorEastAsia"/>
              <w:sz w:val="30"/>
              <w:szCs w:val="30"/>
            </w:rPr>
            <w:instrText xml:space="preserve"> PAGEREF _Toc218862107 \h </w:instrText>
          </w:r>
          <w:r>
            <w:rPr>
              <w:rFonts w:eastAsiaTheme="minorEastAsia"/>
              <w:sz w:val="30"/>
              <w:szCs w:val="30"/>
            </w:rPr>
            <w:fldChar w:fldCharType="separate"/>
          </w:r>
          <w:r>
            <w:rPr>
              <w:rFonts w:eastAsiaTheme="minorEastAsia"/>
              <w:sz w:val="30"/>
              <w:szCs w:val="30"/>
            </w:rPr>
            <w:t>37</w:t>
          </w:r>
          <w:r>
            <w:rPr>
              <w:rFonts w:eastAsiaTheme="minorEastAsia"/>
              <w:sz w:val="30"/>
              <w:szCs w:val="30"/>
            </w:rPr>
            <w:fldChar w:fldCharType="end"/>
          </w:r>
          <w:r>
            <w:rPr>
              <w:rFonts w:eastAsiaTheme="minorEastAsia"/>
              <w:sz w:val="30"/>
              <w:szCs w:val="30"/>
            </w:rPr>
            <w:fldChar w:fldCharType="end"/>
          </w:r>
        </w:p>
        <w:p w14:paraId="66ADE135">
          <w:pPr>
            <w:pStyle w:val="16"/>
            <w:tabs>
              <w:tab w:val="right" w:leader="dot" w:pos="8834"/>
            </w:tabs>
            <w:spacing w:line="360" w:lineRule="auto"/>
            <w:rPr>
              <w:rFonts w:eastAsiaTheme="minorEastAsia"/>
              <w:kern w:val="2"/>
              <w:sz w:val="30"/>
              <w:szCs w:val="30"/>
              <w14:ligatures w14:val="standardContextual"/>
            </w:rPr>
          </w:pPr>
          <w:r>
            <w:fldChar w:fldCharType="begin"/>
          </w:r>
          <w:r>
            <w:instrText xml:space="preserve"> HYPERLINK \l "_Toc218862108" </w:instrText>
          </w:r>
          <w:r>
            <w:fldChar w:fldCharType="separate"/>
          </w:r>
          <w:r>
            <w:rPr>
              <w:rStyle w:val="27"/>
              <w:rFonts w:eastAsiaTheme="minorEastAsia"/>
              <w:snapToGrid w:val="0"/>
              <w:sz w:val="30"/>
              <w:szCs w:val="30"/>
            </w:rPr>
            <w:t>四、主要环境影响和保护措施</w:t>
          </w:r>
          <w:r>
            <w:rPr>
              <w:rFonts w:eastAsiaTheme="minorEastAsia"/>
              <w:sz w:val="30"/>
              <w:szCs w:val="30"/>
            </w:rPr>
            <w:tab/>
          </w:r>
          <w:r>
            <w:rPr>
              <w:rFonts w:eastAsiaTheme="minorEastAsia"/>
              <w:sz w:val="30"/>
              <w:szCs w:val="30"/>
            </w:rPr>
            <w:fldChar w:fldCharType="begin"/>
          </w:r>
          <w:r>
            <w:rPr>
              <w:rFonts w:eastAsiaTheme="minorEastAsia"/>
              <w:sz w:val="30"/>
              <w:szCs w:val="30"/>
            </w:rPr>
            <w:instrText xml:space="preserve"> PAGEREF _Toc218862108 \h </w:instrText>
          </w:r>
          <w:r>
            <w:rPr>
              <w:rFonts w:eastAsiaTheme="minorEastAsia"/>
              <w:sz w:val="30"/>
              <w:szCs w:val="30"/>
            </w:rPr>
            <w:fldChar w:fldCharType="separate"/>
          </w:r>
          <w:r>
            <w:rPr>
              <w:rFonts w:eastAsiaTheme="minorEastAsia"/>
              <w:sz w:val="30"/>
              <w:szCs w:val="30"/>
            </w:rPr>
            <w:t>43</w:t>
          </w:r>
          <w:r>
            <w:rPr>
              <w:rFonts w:eastAsiaTheme="minorEastAsia"/>
              <w:sz w:val="30"/>
              <w:szCs w:val="30"/>
            </w:rPr>
            <w:fldChar w:fldCharType="end"/>
          </w:r>
          <w:r>
            <w:rPr>
              <w:rFonts w:eastAsiaTheme="minorEastAsia"/>
              <w:sz w:val="30"/>
              <w:szCs w:val="30"/>
            </w:rPr>
            <w:fldChar w:fldCharType="end"/>
          </w:r>
        </w:p>
        <w:p w14:paraId="37A5A637">
          <w:pPr>
            <w:pStyle w:val="16"/>
            <w:tabs>
              <w:tab w:val="right" w:leader="dot" w:pos="8834"/>
            </w:tabs>
            <w:spacing w:line="360" w:lineRule="auto"/>
            <w:rPr>
              <w:rFonts w:eastAsiaTheme="minorEastAsia"/>
              <w:kern w:val="2"/>
              <w:sz w:val="30"/>
              <w:szCs w:val="30"/>
              <w14:ligatures w14:val="standardContextual"/>
            </w:rPr>
          </w:pPr>
          <w:r>
            <w:fldChar w:fldCharType="begin"/>
          </w:r>
          <w:r>
            <w:instrText xml:space="preserve"> HYPERLINK \l "_Toc218862109" </w:instrText>
          </w:r>
          <w:r>
            <w:fldChar w:fldCharType="separate"/>
          </w:r>
          <w:r>
            <w:rPr>
              <w:rStyle w:val="27"/>
              <w:rFonts w:eastAsiaTheme="minorEastAsia"/>
              <w:snapToGrid w:val="0"/>
              <w:sz w:val="30"/>
              <w:szCs w:val="30"/>
            </w:rPr>
            <w:t>五、环境保护措施监督检查清单</w:t>
          </w:r>
          <w:r>
            <w:rPr>
              <w:rFonts w:eastAsiaTheme="minorEastAsia"/>
              <w:sz w:val="30"/>
              <w:szCs w:val="30"/>
            </w:rPr>
            <w:tab/>
          </w:r>
          <w:r>
            <w:rPr>
              <w:rFonts w:eastAsiaTheme="minorEastAsia"/>
              <w:sz w:val="30"/>
              <w:szCs w:val="30"/>
            </w:rPr>
            <w:fldChar w:fldCharType="begin"/>
          </w:r>
          <w:r>
            <w:rPr>
              <w:rFonts w:eastAsiaTheme="minorEastAsia"/>
              <w:sz w:val="30"/>
              <w:szCs w:val="30"/>
            </w:rPr>
            <w:instrText xml:space="preserve"> PAGEREF _Toc218862109 \h </w:instrText>
          </w:r>
          <w:r>
            <w:rPr>
              <w:rFonts w:eastAsiaTheme="minorEastAsia"/>
              <w:sz w:val="30"/>
              <w:szCs w:val="30"/>
            </w:rPr>
            <w:fldChar w:fldCharType="separate"/>
          </w:r>
          <w:r>
            <w:rPr>
              <w:rFonts w:eastAsiaTheme="minorEastAsia"/>
              <w:sz w:val="30"/>
              <w:szCs w:val="30"/>
            </w:rPr>
            <w:t>66</w:t>
          </w:r>
          <w:r>
            <w:rPr>
              <w:rFonts w:eastAsiaTheme="minorEastAsia"/>
              <w:sz w:val="30"/>
              <w:szCs w:val="30"/>
            </w:rPr>
            <w:fldChar w:fldCharType="end"/>
          </w:r>
          <w:r>
            <w:rPr>
              <w:rFonts w:eastAsiaTheme="minorEastAsia"/>
              <w:sz w:val="30"/>
              <w:szCs w:val="30"/>
            </w:rPr>
            <w:fldChar w:fldCharType="end"/>
          </w:r>
        </w:p>
        <w:p w14:paraId="68E65E66">
          <w:pPr>
            <w:pStyle w:val="16"/>
            <w:tabs>
              <w:tab w:val="right" w:leader="dot" w:pos="8834"/>
            </w:tabs>
            <w:spacing w:line="360" w:lineRule="auto"/>
            <w:rPr>
              <w:rFonts w:eastAsiaTheme="minorEastAsia"/>
              <w:kern w:val="2"/>
              <w:sz w:val="30"/>
              <w:szCs w:val="30"/>
              <w14:ligatures w14:val="standardContextual"/>
            </w:rPr>
          </w:pPr>
          <w:r>
            <w:fldChar w:fldCharType="begin"/>
          </w:r>
          <w:r>
            <w:instrText xml:space="preserve"> HYPERLINK \l "_Toc218862110" </w:instrText>
          </w:r>
          <w:r>
            <w:fldChar w:fldCharType="separate"/>
          </w:r>
          <w:r>
            <w:rPr>
              <w:rStyle w:val="27"/>
              <w:rFonts w:eastAsiaTheme="minorEastAsia"/>
              <w:snapToGrid w:val="0"/>
              <w:sz w:val="30"/>
              <w:szCs w:val="30"/>
            </w:rPr>
            <w:t>六、结论</w:t>
          </w:r>
          <w:r>
            <w:rPr>
              <w:rFonts w:eastAsiaTheme="minorEastAsia"/>
              <w:sz w:val="30"/>
              <w:szCs w:val="30"/>
            </w:rPr>
            <w:tab/>
          </w:r>
          <w:r>
            <w:rPr>
              <w:rFonts w:eastAsiaTheme="minorEastAsia"/>
              <w:sz w:val="30"/>
              <w:szCs w:val="30"/>
            </w:rPr>
            <w:fldChar w:fldCharType="begin"/>
          </w:r>
          <w:r>
            <w:rPr>
              <w:rFonts w:eastAsiaTheme="minorEastAsia"/>
              <w:sz w:val="30"/>
              <w:szCs w:val="30"/>
            </w:rPr>
            <w:instrText xml:space="preserve"> PAGEREF _Toc218862110 \h </w:instrText>
          </w:r>
          <w:r>
            <w:rPr>
              <w:rFonts w:eastAsiaTheme="minorEastAsia"/>
              <w:sz w:val="30"/>
              <w:szCs w:val="30"/>
            </w:rPr>
            <w:fldChar w:fldCharType="separate"/>
          </w:r>
          <w:r>
            <w:rPr>
              <w:rFonts w:eastAsiaTheme="minorEastAsia"/>
              <w:sz w:val="30"/>
              <w:szCs w:val="30"/>
            </w:rPr>
            <w:t>68</w:t>
          </w:r>
          <w:r>
            <w:rPr>
              <w:rFonts w:eastAsiaTheme="minorEastAsia"/>
              <w:sz w:val="30"/>
              <w:szCs w:val="30"/>
            </w:rPr>
            <w:fldChar w:fldCharType="end"/>
          </w:r>
          <w:r>
            <w:rPr>
              <w:rFonts w:eastAsiaTheme="minorEastAsia"/>
              <w:sz w:val="30"/>
              <w:szCs w:val="30"/>
            </w:rPr>
            <w:fldChar w:fldCharType="end"/>
          </w:r>
        </w:p>
        <w:p w14:paraId="33D1CDE4">
          <w:pPr>
            <w:spacing w:line="360" w:lineRule="auto"/>
          </w:pPr>
          <w:r>
            <w:rPr>
              <w:b/>
              <w:bCs/>
              <w:sz w:val="30"/>
              <w:szCs w:val="30"/>
              <w:lang w:val="zh-CN"/>
            </w:rPr>
            <w:fldChar w:fldCharType="end"/>
          </w:r>
        </w:p>
      </w:sdtContent>
    </w:sdt>
    <w:p w14:paraId="5EE82AC1">
      <w:pPr>
        <w:jc w:val="left"/>
        <w:rPr>
          <w:snapToGrid w:val="0"/>
          <w:color w:val="000000" w:themeColor="text1"/>
          <w:sz w:val="36"/>
          <w:szCs w:val="36"/>
          <w14:textFill>
            <w14:solidFill>
              <w14:schemeClr w14:val="tx1"/>
            </w14:solidFill>
          </w14:textFill>
        </w:rPr>
      </w:pPr>
    </w:p>
    <w:p w14:paraId="0BB1D2FA">
      <w:pPr>
        <w:jc w:val="left"/>
        <w:rPr>
          <w:snapToGrid w:val="0"/>
          <w:color w:val="000000" w:themeColor="text1"/>
          <w:sz w:val="36"/>
          <w:szCs w:val="36"/>
          <w14:textFill>
            <w14:solidFill>
              <w14:schemeClr w14:val="tx1"/>
            </w14:solidFill>
          </w14:textFill>
        </w:rPr>
      </w:pPr>
    </w:p>
    <w:p w14:paraId="133C7A03">
      <w:pPr>
        <w:jc w:val="left"/>
        <w:rPr>
          <w:b/>
          <w:bCs/>
          <w:color w:val="000000" w:themeColor="text1"/>
          <w:sz w:val="30"/>
          <w:szCs w:val="30"/>
          <w14:textFill>
            <w14:solidFill>
              <w14:schemeClr w14:val="tx1"/>
            </w14:solidFill>
          </w14:textFill>
        </w:rPr>
      </w:pPr>
      <w:r>
        <w:rPr>
          <w:rFonts w:hint="eastAsia"/>
          <w:snapToGrid w:val="0"/>
          <w:color w:val="000000" w:themeColor="text1"/>
          <w:sz w:val="36"/>
          <w:szCs w:val="36"/>
          <w14:textFill>
            <w14:solidFill>
              <w14:schemeClr w14:val="tx1"/>
            </w14:solidFill>
          </w14:textFill>
        </w:rPr>
        <w:fldChar w:fldCharType="begin"/>
      </w:r>
      <w:r>
        <w:rPr>
          <w:rFonts w:hint="eastAsia"/>
          <w:snapToGrid w:val="0"/>
          <w:color w:val="000000" w:themeColor="text1"/>
          <w:sz w:val="36"/>
          <w:szCs w:val="36"/>
          <w14:textFill>
            <w14:solidFill>
              <w14:schemeClr w14:val="tx1"/>
            </w14:solidFill>
          </w14:textFill>
        </w:rPr>
        <w:instrText xml:space="preserve">TOC\o"1-1"\h\u</w:instrText>
      </w:r>
      <w:r>
        <w:rPr>
          <w:rFonts w:hint="eastAsia"/>
          <w:snapToGrid w:val="0"/>
          <w:color w:val="000000" w:themeColor="text1"/>
          <w:sz w:val="36"/>
          <w:szCs w:val="36"/>
          <w14:textFill>
            <w14:solidFill>
              <w14:schemeClr w14:val="tx1"/>
            </w14:solidFill>
          </w14:textFill>
        </w:rPr>
        <w:fldChar w:fldCharType="separate"/>
      </w:r>
      <w:r>
        <w:rPr>
          <w:rFonts w:hint="eastAsia"/>
          <w:snapToGrid w:val="0"/>
          <w:color w:val="000000" w:themeColor="text1"/>
          <w:sz w:val="28"/>
          <w:szCs w:val="28"/>
          <w14:textFill>
            <w14:solidFill>
              <w14:schemeClr w14:val="tx1"/>
            </w14:solidFill>
          </w14:textFill>
        </w:rPr>
        <w:fldChar w:fldCharType="begin"/>
      </w:r>
      <w:r>
        <w:rPr>
          <w:rFonts w:hint="eastAsia"/>
          <w:snapToGrid w:val="0"/>
          <w:color w:val="000000" w:themeColor="text1"/>
          <w:sz w:val="28"/>
          <w:szCs w:val="28"/>
          <w14:textFill>
            <w14:solidFill>
              <w14:schemeClr w14:val="tx1"/>
            </w14:solidFill>
          </w14:textFill>
        </w:rPr>
        <w:instrText xml:space="preserve">HYPERLINK\l_Toc28432</w:instrText>
      </w:r>
      <w:r>
        <w:rPr>
          <w:rFonts w:hint="eastAsia"/>
          <w:snapToGrid w:val="0"/>
          <w:color w:val="000000" w:themeColor="text1"/>
          <w:sz w:val="28"/>
          <w:szCs w:val="28"/>
          <w14:textFill>
            <w14:solidFill>
              <w14:schemeClr w14:val="tx1"/>
            </w14:solidFill>
          </w14:textFill>
        </w:rPr>
        <w:fldChar w:fldCharType="separate"/>
      </w:r>
      <w:r>
        <w:rPr>
          <w:rFonts w:hint="eastAsia"/>
          <w:snapToGrid w:val="0"/>
          <w:color w:val="000000" w:themeColor="text1"/>
          <w:sz w:val="28"/>
          <w:szCs w:val="28"/>
          <w14:textFill>
            <w14:solidFill>
              <w14:schemeClr w14:val="tx1"/>
            </w14:solidFill>
          </w14:textFill>
        </w:rPr>
        <w:t>一、建设项目基本情况</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PAGEREF_Toc28432\h</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fldChar w:fldCharType="end"/>
      </w:r>
      <w:r>
        <w:rPr>
          <w:rFonts w:hint="eastAsia"/>
          <w:snapToGrid w:val="0"/>
          <w:color w:val="000000" w:themeColor="text1"/>
          <w:sz w:val="28"/>
          <w:szCs w:val="28"/>
          <w14:textFill>
            <w14:solidFill>
              <w14:schemeClr w14:val="tx1"/>
            </w14:solidFill>
          </w14:textFill>
        </w:rPr>
        <w:fldChar w:fldCharType="end"/>
      </w:r>
    </w:p>
    <w:p w14:paraId="12218A67">
      <w:pPr>
        <w:pStyle w:val="34"/>
        <w:tabs>
          <w:tab w:val="right" w:leader="dot" w:pos="8844"/>
        </w:tabs>
        <w:spacing w:line="360" w:lineRule="auto"/>
        <w:rPr>
          <w:color w:val="000000" w:themeColor="text1"/>
          <w:sz w:val="28"/>
          <w:szCs w:val="28"/>
          <w14:textFill>
            <w14:solidFill>
              <w14:schemeClr w14:val="tx1"/>
            </w14:solidFill>
          </w14:textFill>
        </w:rPr>
      </w:pPr>
      <w:r>
        <w:rPr>
          <w:rFonts w:hint="eastAsia"/>
          <w:snapToGrid w:val="0"/>
          <w:color w:val="000000" w:themeColor="text1"/>
          <w:sz w:val="28"/>
          <w:szCs w:val="28"/>
          <w14:textFill>
            <w14:solidFill>
              <w14:schemeClr w14:val="tx1"/>
            </w14:solidFill>
          </w14:textFill>
        </w:rPr>
        <w:fldChar w:fldCharType="begin"/>
      </w:r>
      <w:r>
        <w:rPr>
          <w:rFonts w:hint="eastAsia"/>
          <w:snapToGrid w:val="0"/>
          <w:color w:val="000000" w:themeColor="text1"/>
          <w:sz w:val="28"/>
          <w:szCs w:val="28"/>
          <w14:textFill>
            <w14:solidFill>
              <w14:schemeClr w14:val="tx1"/>
            </w14:solidFill>
          </w14:textFill>
        </w:rPr>
        <w:instrText xml:space="preserve">HYPERLINK\l_Toc22085</w:instrText>
      </w:r>
      <w:r>
        <w:rPr>
          <w:rFonts w:hint="eastAsia"/>
          <w:snapToGrid w:val="0"/>
          <w:color w:val="000000" w:themeColor="text1"/>
          <w:sz w:val="28"/>
          <w:szCs w:val="28"/>
          <w14:textFill>
            <w14:solidFill>
              <w14:schemeClr w14:val="tx1"/>
            </w14:solidFill>
          </w14:textFill>
        </w:rPr>
        <w:fldChar w:fldCharType="separate"/>
      </w:r>
      <w:r>
        <w:rPr>
          <w:rFonts w:hint="eastAsia"/>
          <w:snapToGrid w:val="0"/>
          <w:color w:val="000000" w:themeColor="text1"/>
          <w:sz w:val="28"/>
          <w:szCs w:val="28"/>
          <w14:textFill>
            <w14:solidFill>
              <w14:schemeClr w14:val="tx1"/>
            </w14:solidFill>
          </w14:textFill>
        </w:rPr>
        <w:t>二、建设项目工程分析</w:t>
      </w:r>
      <w:r>
        <w:rPr>
          <w:color w:val="000000" w:themeColor="text1"/>
          <w:sz w:val="28"/>
          <w:szCs w:val="28"/>
          <w14:textFill>
            <w14:solidFill>
              <w14:schemeClr w14:val="tx1"/>
            </w14:solidFill>
          </w14:textFill>
        </w:rPr>
        <w:tab/>
      </w:r>
      <w:r>
        <w:rPr>
          <w:rFonts w:hint="eastAsia"/>
          <w:snapToGrid w:val="0"/>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19</w:t>
      </w:r>
    </w:p>
    <w:p w14:paraId="2BC74592">
      <w:pPr>
        <w:pStyle w:val="34"/>
        <w:tabs>
          <w:tab w:val="right" w:leader="dot" w:pos="8844"/>
        </w:tabs>
        <w:spacing w:line="360" w:lineRule="auto"/>
        <w:rPr>
          <w:color w:val="000000" w:themeColor="text1"/>
          <w:sz w:val="28"/>
          <w:szCs w:val="28"/>
          <w14:textFill>
            <w14:solidFill>
              <w14:schemeClr w14:val="tx1"/>
            </w14:solidFill>
          </w14:textFill>
        </w:rPr>
      </w:pPr>
      <w:r>
        <w:rPr>
          <w:rFonts w:hint="eastAsia"/>
          <w:snapToGrid w:val="0"/>
          <w:color w:val="000000" w:themeColor="text1"/>
          <w:sz w:val="28"/>
          <w:szCs w:val="28"/>
          <w14:textFill>
            <w14:solidFill>
              <w14:schemeClr w14:val="tx1"/>
            </w14:solidFill>
          </w14:textFill>
        </w:rPr>
        <w:fldChar w:fldCharType="begin"/>
      </w:r>
      <w:r>
        <w:rPr>
          <w:rFonts w:hint="eastAsia"/>
          <w:snapToGrid w:val="0"/>
          <w:color w:val="000000" w:themeColor="text1"/>
          <w:sz w:val="28"/>
          <w:szCs w:val="28"/>
          <w14:textFill>
            <w14:solidFill>
              <w14:schemeClr w14:val="tx1"/>
            </w14:solidFill>
          </w14:textFill>
        </w:rPr>
        <w:instrText xml:space="preserve">HYPERLINK\l_Toc21103</w:instrText>
      </w:r>
      <w:r>
        <w:rPr>
          <w:rFonts w:hint="eastAsia"/>
          <w:snapToGrid w:val="0"/>
          <w:color w:val="000000" w:themeColor="text1"/>
          <w:sz w:val="28"/>
          <w:szCs w:val="28"/>
          <w14:textFill>
            <w14:solidFill>
              <w14:schemeClr w14:val="tx1"/>
            </w14:solidFill>
          </w14:textFill>
        </w:rPr>
        <w:fldChar w:fldCharType="separate"/>
      </w:r>
      <w:r>
        <w:rPr>
          <w:rFonts w:hint="eastAsia"/>
          <w:snapToGrid w:val="0"/>
          <w:color w:val="000000" w:themeColor="text1"/>
          <w:sz w:val="28"/>
          <w:szCs w:val="28"/>
          <w14:textFill>
            <w14:solidFill>
              <w14:schemeClr w14:val="tx1"/>
            </w14:solidFill>
          </w14:textFill>
        </w:rPr>
        <w:t>三、区域环境质量现状、环境保护目标及评价标准</w:t>
      </w:r>
      <w:r>
        <w:rPr>
          <w:color w:val="000000" w:themeColor="text1"/>
          <w:sz w:val="28"/>
          <w:szCs w:val="28"/>
          <w14:textFill>
            <w14:solidFill>
              <w14:schemeClr w14:val="tx1"/>
            </w14:solidFill>
          </w14:textFill>
        </w:rPr>
        <w:tab/>
      </w:r>
      <w:r>
        <w:rPr>
          <w:rFonts w:hint="eastAsia"/>
          <w:snapToGrid w:val="0"/>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37</w:t>
      </w:r>
    </w:p>
    <w:p w14:paraId="16C4B5B4">
      <w:pPr>
        <w:pStyle w:val="34"/>
        <w:tabs>
          <w:tab w:val="right" w:leader="dot" w:pos="8844"/>
        </w:tabs>
        <w:spacing w:line="360" w:lineRule="auto"/>
        <w:rPr>
          <w:color w:val="000000" w:themeColor="text1"/>
          <w:sz w:val="28"/>
          <w:szCs w:val="28"/>
          <w14:textFill>
            <w14:solidFill>
              <w14:schemeClr w14:val="tx1"/>
            </w14:solidFill>
          </w14:textFill>
        </w:rPr>
      </w:pPr>
      <w:r>
        <w:rPr>
          <w:rFonts w:hint="eastAsia"/>
          <w:snapToGrid w:val="0"/>
          <w:color w:val="000000" w:themeColor="text1"/>
          <w:sz w:val="28"/>
          <w:szCs w:val="28"/>
          <w14:textFill>
            <w14:solidFill>
              <w14:schemeClr w14:val="tx1"/>
            </w14:solidFill>
          </w14:textFill>
        </w:rPr>
        <w:fldChar w:fldCharType="begin"/>
      </w:r>
      <w:r>
        <w:rPr>
          <w:rFonts w:hint="eastAsia"/>
          <w:snapToGrid w:val="0"/>
          <w:color w:val="000000" w:themeColor="text1"/>
          <w:sz w:val="28"/>
          <w:szCs w:val="28"/>
          <w14:textFill>
            <w14:solidFill>
              <w14:schemeClr w14:val="tx1"/>
            </w14:solidFill>
          </w14:textFill>
        </w:rPr>
        <w:instrText xml:space="preserve">HYPERLINK\l_Toc28805</w:instrText>
      </w:r>
      <w:r>
        <w:rPr>
          <w:rFonts w:hint="eastAsia"/>
          <w:snapToGrid w:val="0"/>
          <w:color w:val="000000" w:themeColor="text1"/>
          <w:sz w:val="28"/>
          <w:szCs w:val="28"/>
          <w14:textFill>
            <w14:solidFill>
              <w14:schemeClr w14:val="tx1"/>
            </w14:solidFill>
          </w14:textFill>
        </w:rPr>
        <w:fldChar w:fldCharType="separate"/>
      </w:r>
      <w:r>
        <w:rPr>
          <w:rFonts w:hint="eastAsia"/>
          <w:snapToGrid w:val="0"/>
          <w:color w:val="000000" w:themeColor="text1"/>
          <w:sz w:val="28"/>
          <w:szCs w:val="28"/>
          <w14:textFill>
            <w14:solidFill>
              <w14:schemeClr w14:val="tx1"/>
            </w14:solidFill>
          </w14:textFill>
        </w:rPr>
        <w:t>四、主要环境影响和保护措施</w:t>
      </w:r>
      <w:r>
        <w:rPr>
          <w:color w:val="000000" w:themeColor="text1"/>
          <w:sz w:val="28"/>
          <w:szCs w:val="28"/>
          <w14:textFill>
            <w14:solidFill>
              <w14:schemeClr w14:val="tx1"/>
            </w14:solidFill>
          </w14:textFill>
        </w:rPr>
        <w:tab/>
      </w:r>
      <w:r>
        <w:rPr>
          <w:rFonts w:hint="eastAsia"/>
          <w:snapToGrid w:val="0"/>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44</w:t>
      </w:r>
    </w:p>
    <w:p w14:paraId="137B6EB2">
      <w:pPr>
        <w:pStyle w:val="34"/>
        <w:tabs>
          <w:tab w:val="right" w:leader="dot" w:pos="8844"/>
        </w:tabs>
        <w:spacing w:line="360" w:lineRule="auto"/>
        <w:rPr>
          <w:color w:val="000000" w:themeColor="text1"/>
          <w:sz w:val="28"/>
          <w:szCs w:val="28"/>
          <w14:textFill>
            <w14:solidFill>
              <w14:schemeClr w14:val="tx1"/>
            </w14:solidFill>
          </w14:textFill>
        </w:rPr>
      </w:pPr>
      <w:r>
        <w:rPr>
          <w:rFonts w:hint="eastAsia"/>
          <w:snapToGrid w:val="0"/>
          <w:color w:val="000000" w:themeColor="text1"/>
          <w:sz w:val="28"/>
          <w:szCs w:val="28"/>
          <w14:textFill>
            <w14:solidFill>
              <w14:schemeClr w14:val="tx1"/>
            </w14:solidFill>
          </w14:textFill>
        </w:rPr>
        <w:fldChar w:fldCharType="begin"/>
      </w:r>
      <w:r>
        <w:rPr>
          <w:rFonts w:hint="eastAsia"/>
          <w:snapToGrid w:val="0"/>
          <w:color w:val="000000" w:themeColor="text1"/>
          <w:sz w:val="28"/>
          <w:szCs w:val="28"/>
          <w14:textFill>
            <w14:solidFill>
              <w14:schemeClr w14:val="tx1"/>
            </w14:solidFill>
          </w14:textFill>
        </w:rPr>
        <w:instrText xml:space="preserve">HYPERLINK\l_Toc9910</w:instrText>
      </w:r>
      <w:r>
        <w:rPr>
          <w:rFonts w:hint="eastAsia"/>
          <w:snapToGrid w:val="0"/>
          <w:color w:val="000000" w:themeColor="text1"/>
          <w:sz w:val="28"/>
          <w:szCs w:val="28"/>
          <w14:textFill>
            <w14:solidFill>
              <w14:schemeClr w14:val="tx1"/>
            </w14:solidFill>
          </w14:textFill>
        </w:rPr>
        <w:fldChar w:fldCharType="separate"/>
      </w:r>
      <w:r>
        <w:rPr>
          <w:rFonts w:hint="eastAsia"/>
          <w:snapToGrid w:val="0"/>
          <w:color w:val="000000" w:themeColor="text1"/>
          <w:sz w:val="28"/>
          <w:szCs w:val="28"/>
          <w14:textFill>
            <w14:solidFill>
              <w14:schemeClr w14:val="tx1"/>
            </w14:solidFill>
          </w14:textFill>
        </w:rPr>
        <w:t>五、环境保护措施监督检查清单</w:t>
      </w:r>
      <w:r>
        <w:rPr>
          <w:color w:val="000000" w:themeColor="text1"/>
          <w:sz w:val="28"/>
          <w:szCs w:val="28"/>
          <w14:textFill>
            <w14:solidFill>
              <w14:schemeClr w14:val="tx1"/>
            </w14:solidFill>
          </w14:textFill>
        </w:rPr>
        <w:tab/>
      </w:r>
      <w:r>
        <w:rPr>
          <w:rFonts w:hint="eastAsia"/>
          <w:snapToGrid w:val="0"/>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65</w:t>
      </w:r>
    </w:p>
    <w:p w14:paraId="01524DE7">
      <w:pPr>
        <w:pStyle w:val="34"/>
        <w:tabs>
          <w:tab w:val="right" w:leader="dot" w:pos="8844"/>
        </w:tabs>
        <w:spacing w:line="360" w:lineRule="auto"/>
        <w:rPr>
          <w:color w:val="000000" w:themeColor="text1"/>
          <w:sz w:val="28"/>
          <w:szCs w:val="28"/>
          <w14:textFill>
            <w14:solidFill>
              <w14:schemeClr w14:val="tx1"/>
            </w14:solidFill>
          </w14:textFill>
        </w:rPr>
      </w:pPr>
      <w:r>
        <w:rPr>
          <w:rFonts w:hint="eastAsia"/>
          <w:snapToGrid w:val="0"/>
          <w:color w:val="000000" w:themeColor="text1"/>
          <w:sz w:val="28"/>
          <w:szCs w:val="28"/>
          <w14:textFill>
            <w14:solidFill>
              <w14:schemeClr w14:val="tx1"/>
            </w14:solidFill>
          </w14:textFill>
        </w:rPr>
        <w:fldChar w:fldCharType="begin"/>
      </w:r>
      <w:r>
        <w:rPr>
          <w:rFonts w:hint="eastAsia"/>
          <w:snapToGrid w:val="0"/>
          <w:color w:val="000000" w:themeColor="text1"/>
          <w:sz w:val="28"/>
          <w:szCs w:val="28"/>
          <w14:textFill>
            <w14:solidFill>
              <w14:schemeClr w14:val="tx1"/>
            </w14:solidFill>
          </w14:textFill>
        </w:rPr>
        <w:instrText xml:space="preserve">HYPERLINK\l_Toc14905</w:instrText>
      </w:r>
      <w:r>
        <w:rPr>
          <w:rFonts w:hint="eastAsia"/>
          <w:snapToGrid w:val="0"/>
          <w:color w:val="000000" w:themeColor="text1"/>
          <w:sz w:val="28"/>
          <w:szCs w:val="28"/>
          <w14:textFill>
            <w14:solidFill>
              <w14:schemeClr w14:val="tx1"/>
            </w14:solidFill>
          </w14:textFill>
        </w:rPr>
        <w:fldChar w:fldCharType="separate"/>
      </w:r>
      <w:r>
        <w:rPr>
          <w:rFonts w:hint="eastAsia"/>
          <w:snapToGrid w:val="0"/>
          <w:color w:val="000000" w:themeColor="text1"/>
          <w:sz w:val="28"/>
          <w:szCs w:val="28"/>
          <w14:textFill>
            <w14:solidFill>
              <w14:schemeClr w14:val="tx1"/>
            </w14:solidFill>
          </w14:textFill>
        </w:rPr>
        <w:t>六、结论</w:t>
      </w:r>
      <w:r>
        <w:rPr>
          <w:color w:val="000000" w:themeColor="text1"/>
          <w:sz w:val="28"/>
          <w:szCs w:val="28"/>
          <w14:textFill>
            <w14:solidFill>
              <w14:schemeClr w14:val="tx1"/>
            </w14:solidFill>
          </w14:textFill>
        </w:rPr>
        <w:tab/>
      </w:r>
      <w:r>
        <w:rPr>
          <w:rFonts w:hint="eastAsia"/>
          <w:snapToGrid w:val="0"/>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67</w:t>
      </w:r>
    </w:p>
    <w:p w14:paraId="4D8342FA">
      <w:pPr>
        <w:pStyle w:val="34"/>
        <w:tabs>
          <w:tab w:val="right" w:leader="dot" w:pos="8844"/>
        </w:tabs>
        <w:spacing w:line="360" w:lineRule="auto"/>
        <w:rPr>
          <w:color w:val="000000" w:themeColor="text1"/>
          <w:sz w:val="28"/>
          <w:szCs w:val="28"/>
          <w14:textFill>
            <w14:solidFill>
              <w14:schemeClr w14:val="tx1"/>
            </w14:solidFill>
          </w14:textFill>
        </w:rPr>
      </w:pPr>
      <w:r>
        <w:rPr>
          <w:rFonts w:hint="eastAsia"/>
          <w:snapToGrid w:val="0"/>
          <w:color w:val="000000" w:themeColor="text1"/>
          <w:sz w:val="28"/>
          <w:szCs w:val="28"/>
          <w14:textFill>
            <w14:solidFill>
              <w14:schemeClr w14:val="tx1"/>
            </w14:solidFill>
          </w14:textFill>
        </w:rPr>
        <w:fldChar w:fldCharType="begin"/>
      </w:r>
      <w:r>
        <w:rPr>
          <w:rFonts w:hint="eastAsia"/>
          <w:snapToGrid w:val="0"/>
          <w:color w:val="000000" w:themeColor="text1"/>
          <w:sz w:val="28"/>
          <w:szCs w:val="28"/>
          <w14:textFill>
            <w14:solidFill>
              <w14:schemeClr w14:val="tx1"/>
            </w14:solidFill>
          </w14:textFill>
        </w:rPr>
        <w:instrText xml:space="preserve">HYPERLINK\l_Toc26397</w:instrText>
      </w:r>
      <w:r>
        <w:rPr>
          <w:rFonts w:hint="eastAsia"/>
          <w:snapToGrid w:val="0"/>
          <w:color w:val="000000" w:themeColor="text1"/>
          <w:sz w:val="28"/>
          <w:szCs w:val="28"/>
          <w14:textFill>
            <w14:solidFill>
              <w14:schemeClr w14:val="tx1"/>
            </w14:solidFill>
          </w14:textFill>
        </w:rPr>
        <w:fldChar w:fldCharType="separate"/>
      </w:r>
      <w:r>
        <w:rPr>
          <w:rFonts w:hint="eastAsia"/>
          <w:b/>
          <w:bCs/>
          <w:snapToGrid w:val="0"/>
          <w:color w:val="000000" w:themeColor="text1"/>
          <w:sz w:val="28"/>
          <w:szCs w:val="28"/>
          <w14:textFill>
            <w14:solidFill>
              <w14:schemeClr w14:val="tx1"/>
            </w14:solidFill>
          </w14:textFill>
        </w:rPr>
        <w:t>附表</w:t>
      </w:r>
      <w:r>
        <w:rPr>
          <w:color w:val="000000" w:themeColor="text1"/>
          <w:sz w:val="28"/>
          <w:szCs w:val="28"/>
          <w14:textFill>
            <w14:solidFill>
              <w14:schemeClr w14:val="tx1"/>
            </w14:solidFill>
          </w14:textFill>
        </w:rPr>
        <w:tab/>
      </w:r>
      <w:r>
        <w:rPr>
          <w:rFonts w:hint="eastAsia"/>
          <w:snapToGrid w:val="0"/>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68</w:t>
      </w:r>
    </w:p>
    <w:p w14:paraId="3FAD432B">
      <w:pPr>
        <w:pStyle w:val="34"/>
        <w:tabs>
          <w:tab w:val="right" w:leader="dot" w:pos="8844"/>
        </w:tabs>
        <w:spacing w:line="360" w:lineRule="auto"/>
        <w:rPr>
          <w:color w:val="000000" w:themeColor="text1"/>
          <w14:textFill>
            <w14:solidFill>
              <w14:schemeClr w14:val="tx1"/>
            </w14:solidFill>
          </w14:textFill>
        </w:rPr>
      </w:pPr>
      <w:r>
        <w:rPr>
          <w:rFonts w:hint="eastAsia"/>
          <w:snapToGrid w:val="0"/>
          <w:color w:val="000000" w:themeColor="text1"/>
          <w:sz w:val="28"/>
          <w:szCs w:val="28"/>
          <w14:textFill>
            <w14:solidFill>
              <w14:schemeClr w14:val="tx1"/>
            </w14:solidFill>
          </w14:textFill>
        </w:rPr>
        <w:fldChar w:fldCharType="begin"/>
      </w:r>
      <w:r>
        <w:rPr>
          <w:rFonts w:hint="eastAsia"/>
          <w:snapToGrid w:val="0"/>
          <w:color w:val="000000" w:themeColor="text1"/>
          <w:sz w:val="28"/>
          <w:szCs w:val="28"/>
          <w14:textFill>
            <w14:solidFill>
              <w14:schemeClr w14:val="tx1"/>
            </w14:solidFill>
          </w14:textFill>
        </w:rPr>
        <w:instrText xml:space="preserve">HYPERLINK\l_Toc19740</w:instrText>
      </w:r>
      <w:r>
        <w:rPr>
          <w:rFonts w:hint="eastAsia"/>
          <w:snapToGrid w:val="0"/>
          <w:color w:val="000000" w:themeColor="text1"/>
          <w:sz w:val="28"/>
          <w:szCs w:val="28"/>
          <w14:textFill>
            <w14:solidFill>
              <w14:schemeClr w14:val="tx1"/>
            </w14:solidFill>
          </w14:textFill>
        </w:rPr>
        <w:fldChar w:fldCharType="separate"/>
      </w:r>
      <w:r>
        <w:rPr>
          <w:rFonts w:hint="eastAsia"/>
          <w:snapToGrid w:val="0"/>
          <w:color w:val="000000" w:themeColor="text1"/>
          <w:sz w:val="28"/>
          <w:szCs w:val="28"/>
          <w14:textFill>
            <w14:solidFill>
              <w14:schemeClr w14:val="tx1"/>
            </w14:solidFill>
          </w14:textFill>
        </w:rPr>
        <w:t>建设项目污染物排放量汇总表</w:t>
      </w:r>
      <w:r>
        <w:rPr>
          <w:color w:val="000000" w:themeColor="text1"/>
          <w:sz w:val="28"/>
          <w:szCs w:val="28"/>
          <w14:textFill>
            <w14:solidFill>
              <w14:schemeClr w14:val="tx1"/>
            </w14:solidFill>
          </w14:textFill>
        </w:rPr>
        <w:tab/>
      </w:r>
      <w:r>
        <w:rPr>
          <w:rFonts w:hint="eastAsia"/>
          <w:snapToGrid w:val="0"/>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68</w:t>
      </w:r>
    </w:p>
    <w:p w14:paraId="74F69F76">
      <w:pPr>
        <w:pStyle w:val="18"/>
        <w:spacing w:before="0" w:beforeAutospacing="0" w:after="0" w:afterAutospacing="0"/>
        <w:jc w:val="center"/>
        <w:rPr>
          <w:rFonts w:ascii="Times New Roman" w:hAnsi="Times New Roman"/>
          <w:snapToGrid w:val="0"/>
          <w:color w:val="000000" w:themeColor="text1"/>
          <w:szCs w:val="36"/>
          <w14:textFill>
            <w14:solidFill>
              <w14:schemeClr w14:val="tx1"/>
            </w14:solidFill>
          </w14:textFill>
        </w:rPr>
      </w:pPr>
      <w:r>
        <w:rPr>
          <w:rFonts w:hint="eastAsia" w:ascii="Times New Roman" w:hAnsi="Times New Roman"/>
          <w:snapToGrid w:val="0"/>
          <w:color w:val="000000" w:themeColor="text1"/>
          <w:szCs w:val="36"/>
          <w14:textFill>
            <w14:solidFill>
              <w14:schemeClr w14:val="tx1"/>
            </w14:solidFill>
          </w14:textFill>
        </w:rPr>
        <w:fldChar w:fldCharType="end"/>
      </w:r>
    </w:p>
    <w:p w14:paraId="0A74AE0D">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附件1  委托书</w:t>
      </w:r>
    </w:p>
    <w:p w14:paraId="3945CF89">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附件2  营业执照</w:t>
      </w:r>
    </w:p>
    <w:p w14:paraId="4637980E">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附件3  法人身份证</w:t>
      </w:r>
    </w:p>
    <w:p w14:paraId="5DD13065">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附件4  投资项目备案证</w:t>
      </w:r>
    </w:p>
    <w:p w14:paraId="3D3A6E54">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附件5  不动产权证书</w:t>
      </w:r>
    </w:p>
    <w:p w14:paraId="05A76BFA">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附件6  30000头/年肉牛屠宰建设项目环境影响报告表批复</w:t>
      </w:r>
    </w:p>
    <w:p w14:paraId="02E61909">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附件7  30000头/年肉牛屠宰建设项目竣工环保验收意见</w:t>
      </w:r>
    </w:p>
    <w:p w14:paraId="505B1F1F">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附件8  10000吨/年优质牛肉精深加工配送系统改扩建项目环境影响报告表批复</w:t>
      </w:r>
    </w:p>
    <w:p w14:paraId="52C5D296">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附件9  10000吨/年优质牛肉精深加工配送系统改扩建项目竣工环保验收意见</w:t>
      </w:r>
    </w:p>
    <w:p w14:paraId="5887B3AE">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附件10  排污许可证</w:t>
      </w:r>
    </w:p>
    <w:p w14:paraId="2DF70DCD">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附件11  排污许可自行监测</w:t>
      </w:r>
    </w:p>
    <w:p w14:paraId="230FB2CD">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附件12  危废处置协议</w:t>
      </w:r>
    </w:p>
    <w:p w14:paraId="5427868B">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附件13  病死牲畜无害化处理协议</w:t>
      </w:r>
    </w:p>
    <w:p w14:paraId="1C922113">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附件14  牛粪销售合同</w:t>
      </w:r>
    </w:p>
    <w:p w14:paraId="2C534A91">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附件15  羊街镇人民政府关于将云南海潮集团听牧肉牛产业股份有限公司厂区生活污水纳入集镇污水处理系统的复函</w:t>
      </w:r>
    </w:p>
    <w:p w14:paraId="0A2CABAC">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附件16  突发环境事件应急预案备案表</w:t>
      </w:r>
    </w:p>
    <w:p w14:paraId="737F58EE">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附件17  生态环境管控单元查询结果</w:t>
      </w:r>
    </w:p>
    <w:p w14:paraId="778384B1">
      <w:pPr>
        <w:pStyle w:val="18"/>
        <w:spacing w:before="0" w:beforeAutospacing="0" w:after="0" w:afterAutospacing="0" w:line="360" w:lineRule="auto"/>
        <w:jc w:val="both"/>
        <w:rPr>
          <w:rFonts w:ascii="Times New Roman" w:hAnsi="Times New Roman"/>
          <w:snapToGrid w:val="0"/>
          <w:sz w:val="28"/>
          <w:szCs w:val="28"/>
        </w:rPr>
      </w:pPr>
      <w:r>
        <w:rPr>
          <w:rFonts w:ascii="Times New Roman" w:hAnsi="Times New Roman"/>
          <w:snapToGrid w:val="0"/>
          <w:sz w:val="28"/>
          <w:szCs w:val="28"/>
        </w:rPr>
        <w:t>附件18  环境现状监测报告</w:t>
      </w:r>
    </w:p>
    <w:p w14:paraId="0B8664C7">
      <w:pPr>
        <w:pStyle w:val="18"/>
        <w:spacing w:before="0" w:beforeAutospacing="0" w:after="0" w:afterAutospacing="0" w:line="360" w:lineRule="auto"/>
        <w:jc w:val="both"/>
        <w:rPr>
          <w:rFonts w:ascii="Times New Roman" w:hAnsi="Times New Roman"/>
          <w:snapToGrid w:val="0"/>
          <w:sz w:val="28"/>
          <w:szCs w:val="28"/>
        </w:rPr>
      </w:pPr>
      <w:r>
        <w:rPr>
          <w:rFonts w:ascii="Times New Roman" w:hAnsi="Times New Roman"/>
          <w:snapToGrid w:val="0"/>
          <w:sz w:val="28"/>
          <w:szCs w:val="28"/>
        </w:rPr>
        <w:t>附件19  环评合同</w:t>
      </w:r>
    </w:p>
    <w:p w14:paraId="3DD4DE1D">
      <w:pPr>
        <w:pStyle w:val="18"/>
        <w:spacing w:before="0" w:beforeAutospacing="0" w:after="0" w:afterAutospacing="0" w:line="360" w:lineRule="auto"/>
        <w:jc w:val="both"/>
        <w:rPr>
          <w:rFonts w:ascii="Times New Roman" w:hAnsi="Times New Roman"/>
          <w:snapToGrid w:val="0"/>
          <w:sz w:val="28"/>
          <w:szCs w:val="28"/>
        </w:rPr>
      </w:pPr>
      <w:r>
        <w:rPr>
          <w:rFonts w:ascii="Times New Roman" w:hAnsi="Times New Roman"/>
          <w:snapToGrid w:val="0"/>
          <w:sz w:val="28"/>
          <w:szCs w:val="28"/>
        </w:rPr>
        <w:t xml:space="preserve">附件20  </w:t>
      </w:r>
      <w:r>
        <w:rPr>
          <w:rFonts w:hint="eastAsia" w:ascii="Times New Roman" w:hAnsi="Times New Roman"/>
          <w:snapToGrid w:val="0"/>
          <w:sz w:val="28"/>
          <w:szCs w:val="28"/>
        </w:rPr>
        <w:t>内部审查表</w:t>
      </w:r>
    </w:p>
    <w:p w14:paraId="2A59E4BD">
      <w:pPr>
        <w:pStyle w:val="18"/>
        <w:spacing w:before="0" w:beforeAutospacing="0" w:after="0" w:afterAutospacing="0" w:line="360" w:lineRule="auto"/>
        <w:jc w:val="both"/>
        <w:rPr>
          <w:rFonts w:ascii="Times New Roman" w:hAnsi="Times New Roman"/>
          <w:snapToGrid w:val="0"/>
          <w:sz w:val="28"/>
          <w:szCs w:val="28"/>
        </w:rPr>
      </w:pPr>
      <w:r>
        <w:rPr>
          <w:rFonts w:ascii="Times New Roman" w:hAnsi="Times New Roman"/>
          <w:snapToGrid w:val="0"/>
          <w:sz w:val="28"/>
          <w:szCs w:val="28"/>
        </w:rPr>
        <w:t>附件21  进度管理表</w:t>
      </w:r>
    </w:p>
    <w:p w14:paraId="31940D7F">
      <w:pPr>
        <w:pStyle w:val="18"/>
        <w:spacing w:before="0" w:beforeAutospacing="0" w:after="0" w:afterAutospacing="0" w:line="360" w:lineRule="auto"/>
        <w:jc w:val="both"/>
        <w:rPr>
          <w:rFonts w:ascii="Times New Roman" w:hAnsi="Times New Roman"/>
          <w:snapToGrid w:val="0"/>
          <w:color w:val="EE0000"/>
          <w:sz w:val="36"/>
          <w:szCs w:val="36"/>
        </w:rPr>
      </w:pPr>
    </w:p>
    <w:p w14:paraId="524926EE">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附图1  项目地理位置图</w:t>
      </w:r>
    </w:p>
    <w:p w14:paraId="5B6764F5">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附图2  项目区水系图</w:t>
      </w:r>
    </w:p>
    <w:p w14:paraId="2898E572">
      <w:pPr>
        <w:pStyle w:val="18"/>
        <w:spacing w:before="0" w:beforeAutospacing="0" w:after="0" w:afterAutospacing="0" w:line="360" w:lineRule="auto"/>
        <w:jc w:val="both"/>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附图3  项目平面布置图</w:t>
      </w:r>
    </w:p>
    <w:p w14:paraId="0CA7031C">
      <w:pPr>
        <w:pStyle w:val="18"/>
        <w:spacing w:before="0" w:beforeAutospacing="0" w:after="0" w:afterAutospacing="0" w:line="360" w:lineRule="auto"/>
        <w:jc w:val="both"/>
        <w:rPr>
          <w:rFonts w:ascii="Times New Roman" w:hAnsi="Times New Roman"/>
          <w:snapToGrid w:val="0"/>
          <w:sz w:val="28"/>
          <w:szCs w:val="28"/>
        </w:rPr>
      </w:pPr>
      <w:r>
        <w:rPr>
          <w:rFonts w:ascii="Times New Roman" w:hAnsi="Times New Roman"/>
          <w:snapToGrid w:val="0"/>
          <w:sz w:val="28"/>
          <w:szCs w:val="28"/>
        </w:rPr>
        <w:t>附图4</w:t>
      </w:r>
      <w:r>
        <w:rPr>
          <w:rFonts w:hint="eastAsia" w:ascii="Times New Roman" w:hAnsi="Times New Roman"/>
          <w:snapToGrid w:val="0"/>
          <w:sz w:val="28"/>
          <w:szCs w:val="28"/>
        </w:rPr>
        <w:t xml:space="preserve">  </w:t>
      </w:r>
      <w:r>
        <w:rPr>
          <w:rFonts w:ascii="Times New Roman" w:hAnsi="Times New Roman"/>
          <w:snapToGrid w:val="0"/>
          <w:sz w:val="28"/>
          <w:szCs w:val="28"/>
        </w:rPr>
        <w:t>厂区总平面布置图</w:t>
      </w:r>
    </w:p>
    <w:p w14:paraId="7E2F0197">
      <w:pPr>
        <w:pStyle w:val="18"/>
        <w:spacing w:before="0" w:beforeAutospacing="0" w:after="0" w:afterAutospacing="0" w:line="360" w:lineRule="auto"/>
        <w:jc w:val="both"/>
        <w:rPr>
          <w:rFonts w:ascii="Times New Roman" w:hAnsi="Times New Roman"/>
          <w:snapToGrid w:val="0"/>
          <w:sz w:val="28"/>
          <w:szCs w:val="28"/>
        </w:rPr>
      </w:pPr>
      <w:r>
        <w:rPr>
          <w:rFonts w:ascii="Times New Roman" w:hAnsi="Times New Roman"/>
          <w:snapToGrid w:val="0"/>
          <w:sz w:val="28"/>
          <w:szCs w:val="28"/>
        </w:rPr>
        <w:t>附图5</w:t>
      </w:r>
      <w:r>
        <w:rPr>
          <w:rFonts w:hint="eastAsia" w:ascii="Times New Roman" w:hAnsi="Times New Roman"/>
          <w:snapToGrid w:val="0"/>
          <w:sz w:val="28"/>
          <w:szCs w:val="28"/>
        </w:rPr>
        <w:t xml:space="preserve">  </w:t>
      </w:r>
      <w:r>
        <w:rPr>
          <w:rFonts w:ascii="Times New Roman" w:hAnsi="Times New Roman"/>
          <w:snapToGrid w:val="0"/>
          <w:sz w:val="28"/>
          <w:szCs w:val="28"/>
        </w:rPr>
        <w:t>项目周边关系图</w:t>
      </w:r>
    </w:p>
    <w:p w14:paraId="6C5CF570">
      <w:pPr>
        <w:pStyle w:val="18"/>
        <w:spacing w:before="0" w:beforeAutospacing="0" w:after="0" w:afterAutospacing="0" w:line="360" w:lineRule="auto"/>
        <w:jc w:val="both"/>
        <w:rPr>
          <w:rFonts w:ascii="Times New Roman" w:hAnsi="Times New Roman"/>
          <w:snapToGrid w:val="0"/>
          <w:sz w:val="28"/>
          <w:szCs w:val="28"/>
        </w:rPr>
      </w:pPr>
      <w:r>
        <w:rPr>
          <w:rFonts w:ascii="Times New Roman" w:hAnsi="Times New Roman"/>
          <w:snapToGrid w:val="0"/>
          <w:sz w:val="28"/>
          <w:szCs w:val="28"/>
        </w:rPr>
        <w:t>附图6</w:t>
      </w:r>
      <w:r>
        <w:rPr>
          <w:rFonts w:hint="eastAsia" w:ascii="Times New Roman" w:hAnsi="Times New Roman"/>
          <w:snapToGrid w:val="0"/>
          <w:sz w:val="28"/>
          <w:szCs w:val="28"/>
        </w:rPr>
        <w:t xml:space="preserve">  厂区</w:t>
      </w:r>
      <w:r>
        <w:rPr>
          <w:rFonts w:ascii="Times New Roman" w:hAnsi="Times New Roman"/>
          <w:snapToGrid w:val="0"/>
          <w:sz w:val="28"/>
          <w:szCs w:val="28"/>
        </w:rPr>
        <w:t>雨污管网图</w:t>
      </w:r>
    </w:p>
    <w:p w14:paraId="4540C5FE">
      <w:pPr>
        <w:pStyle w:val="18"/>
        <w:spacing w:before="0" w:beforeAutospacing="0" w:after="0" w:afterAutospacing="0" w:line="360" w:lineRule="auto"/>
        <w:jc w:val="both"/>
        <w:rPr>
          <w:rFonts w:ascii="Times New Roman" w:hAnsi="Times New Roman"/>
          <w:snapToGrid w:val="0"/>
          <w:sz w:val="28"/>
          <w:szCs w:val="28"/>
        </w:rPr>
      </w:pPr>
      <w:r>
        <w:rPr>
          <w:rFonts w:ascii="Times New Roman" w:hAnsi="Times New Roman"/>
          <w:snapToGrid w:val="0"/>
          <w:sz w:val="28"/>
          <w:szCs w:val="28"/>
        </w:rPr>
        <w:t>附图7</w:t>
      </w:r>
      <w:r>
        <w:rPr>
          <w:rFonts w:hint="eastAsia" w:ascii="Times New Roman" w:hAnsi="Times New Roman"/>
          <w:snapToGrid w:val="0"/>
          <w:sz w:val="28"/>
          <w:szCs w:val="28"/>
        </w:rPr>
        <w:t xml:space="preserve">  </w:t>
      </w:r>
      <w:r>
        <w:rPr>
          <w:rFonts w:ascii="Times New Roman" w:hAnsi="Times New Roman"/>
          <w:snapToGrid w:val="0"/>
          <w:sz w:val="28"/>
          <w:szCs w:val="28"/>
        </w:rPr>
        <w:t>现状监测点位图</w:t>
      </w:r>
    </w:p>
    <w:p w14:paraId="60F8884C">
      <w:pPr>
        <w:pStyle w:val="18"/>
        <w:spacing w:before="0" w:beforeAutospacing="0" w:after="0" w:afterAutospacing="0" w:line="360" w:lineRule="auto"/>
        <w:jc w:val="both"/>
        <w:rPr>
          <w:rFonts w:ascii="Times New Roman" w:hAnsi="Times New Roman"/>
          <w:snapToGrid w:val="0"/>
          <w:sz w:val="28"/>
          <w:szCs w:val="28"/>
        </w:rPr>
      </w:pPr>
      <w:r>
        <w:rPr>
          <w:rFonts w:ascii="Times New Roman" w:hAnsi="Times New Roman"/>
          <w:snapToGrid w:val="0"/>
          <w:sz w:val="28"/>
          <w:szCs w:val="28"/>
        </w:rPr>
        <w:t>附图8</w:t>
      </w:r>
      <w:r>
        <w:rPr>
          <w:rFonts w:hint="eastAsia" w:ascii="Times New Roman" w:hAnsi="Times New Roman"/>
          <w:snapToGrid w:val="0"/>
          <w:sz w:val="28"/>
          <w:szCs w:val="28"/>
        </w:rPr>
        <w:t xml:space="preserve">  </w:t>
      </w:r>
      <w:r>
        <w:rPr>
          <w:rFonts w:ascii="Times New Roman" w:hAnsi="Times New Roman"/>
          <w:snapToGrid w:val="0"/>
          <w:sz w:val="28"/>
          <w:szCs w:val="28"/>
        </w:rPr>
        <w:t>项目与云南省主体功能区规划关系示意图</w:t>
      </w:r>
    </w:p>
    <w:p w14:paraId="0FBC061F">
      <w:pPr>
        <w:pStyle w:val="18"/>
        <w:spacing w:before="0" w:beforeAutospacing="0" w:after="0" w:afterAutospacing="0" w:line="360" w:lineRule="auto"/>
        <w:jc w:val="both"/>
        <w:rPr>
          <w:rFonts w:ascii="Times New Roman" w:hAnsi="Times New Roman"/>
          <w:snapToGrid w:val="0"/>
          <w:sz w:val="28"/>
          <w:szCs w:val="28"/>
        </w:rPr>
      </w:pPr>
      <w:r>
        <w:rPr>
          <w:rFonts w:ascii="Times New Roman" w:hAnsi="Times New Roman"/>
          <w:snapToGrid w:val="0"/>
          <w:sz w:val="28"/>
          <w:szCs w:val="28"/>
        </w:rPr>
        <w:t>附图9</w:t>
      </w:r>
      <w:r>
        <w:rPr>
          <w:rFonts w:hint="eastAsia" w:ascii="Times New Roman" w:hAnsi="Times New Roman"/>
          <w:snapToGrid w:val="0"/>
          <w:sz w:val="28"/>
          <w:szCs w:val="28"/>
        </w:rPr>
        <w:t xml:space="preserve">  </w:t>
      </w:r>
      <w:r>
        <w:rPr>
          <w:rFonts w:ascii="Times New Roman" w:hAnsi="Times New Roman"/>
          <w:snapToGrid w:val="0"/>
          <w:sz w:val="28"/>
          <w:szCs w:val="28"/>
        </w:rPr>
        <w:t>项目与云南省生态功能区划关系示意图</w:t>
      </w:r>
    </w:p>
    <w:p w14:paraId="199EAFE7">
      <w:pPr>
        <w:pStyle w:val="18"/>
        <w:spacing w:before="0" w:beforeAutospacing="0" w:after="0" w:afterAutospacing="0" w:line="360" w:lineRule="auto"/>
        <w:jc w:val="both"/>
        <w:rPr>
          <w:rFonts w:ascii="Times New Roman" w:hAnsi="Times New Roman"/>
          <w:snapToGrid w:val="0"/>
          <w:sz w:val="28"/>
          <w:szCs w:val="28"/>
        </w:rPr>
      </w:pPr>
      <w:r>
        <w:rPr>
          <w:rFonts w:ascii="Times New Roman" w:hAnsi="Times New Roman"/>
          <w:snapToGrid w:val="0"/>
          <w:sz w:val="28"/>
          <w:szCs w:val="28"/>
        </w:rPr>
        <w:t>附图10</w:t>
      </w:r>
      <w:r>
        <w:rPr>
          <w:rFonts w:hint="eastAsia" w:ascii="Times New Roman" w:hAnsi="Times New Roman"/>
          <w:snapToGrid w:val="0"/>
          <w:sz w:val="28"/>
          <w:szCs w:val="28"/>
        </w:rPr>
        <w:t xml:space="preserve">  </w:t>
      </w:r>
      <w:r>
        <w:rPr>
          <w:rFonts w:ascii="Times New Roman" w:hAnsi="Times New Roman"/>
          <w:snapToGrid w:val="0"/>
          <w:sz w:val="28"/>
          <w:szCs w:val="28"/>
        </w:rPr>
        <w:t>项目与《牛栏江（云南段）水环境保护规划（2009-2030年）》位置关系图</w:t>
      </w:r>
    </w:p>
    <w:p w14:paraId="41E29513">
      <w:pPr>
        <w:pStyle w:val="18"/>
        <w:spacing w:before="0" w:beforeAutospacing="0" w:after="0" w:afterAutospacing="0" w:line="360" w:lineRule="auto"/>
        <w:jc w:val="both"/>
        <w:rPr>
          <w:rFonts w:ascii="Times New Roman" w:hAnsi="Times New Roman"/>
          <w:snapToGrid w:val="0"/>
          <w:sz w:val="28"/>
          <w:szCs w:val="28"/>
        </w:rPr>
      </w:pPr>
      <w:r>
        <w:rPr>
          <w:rFonts w:hint="eastAsia" w:ascii="Times New Roman" w:hAnsi="Times New Roman"/>
          <w:snapToGrid w:val="0"/>
          <w:sz w:val="28"/>
          <w:szCs w:val="28"/>
        </w:rPr>
        <w:t>附图11  项目与昆明市生态环境分区管控关系示意图</w:t>
      </w:r>
    </w:p>
    <w:p w14:paraId="3991C272">
      <w:pPr>
        <w:pStyle w:val="18"/>
        <w:spacing w:before="0" w:beforeAutospacing="0" w:after="0" w:afterAutospacing="0" w:line="360" w:lineRule="auto"/>
        <w:jc w:val="both"/>
        <w:rPr>
          <w:rFonts w:ascii="Times New Roman" w:hAnsi="Times New Roman"/>
          <w:snapToGrid w:val="0"/>
          <w:color w:val="EE0000"/>
          <w:sz w:val="28"/>
          <w:szCs w:val="28"/>
        </w:rPr>
        <w:sectPr>
          <w:headerReference r:id="rId9" w:type="default"/>
          <w:footerReference r:id="rId10" w:type="default"/>
          <w:pgSz w:w="11906" w:h="16838"/>
          <w:pgMar w:top="1701" w:right="1531" w:bottom="1701" w:left="1531" w:header="1474" w:footer="1474" w:gutter="0"/>
          <w:pgNumType w:start="1"/>
          <w:cols w:space="720" w:num="1"/>
          <w:docGrid w:linePitch="312" w:charSpace="0"/>
        </w:sectPr>
      </w:pPr>
    </w:p>
    <w:p w14:paraId="27DD6C67">
      <w:pPr>
        <w:pStyle w:val="18"/>
        <w:spacing w:before="0" w:beforeAutospacing="0" w:after="0" w:afterAutospacing="0"/>
        <w:jc w:val="center"/>
        <w:outlineLvl w:val="0"/>
        <w:rPr>
          <w:rFonts w:ascii="Times New Roman" w:hAnsi="Times New Roman"/>
          <w:snapToGrid w:val="0"/>
          <w:color w:val="000000" w:themeColor="text1"/>
          <w:sz w:val="36"/>
          <w:szCs w:val="36"/>
          <w14:textFill>
            <w14:solidFill>
              <w14:schemeClr w14:val="tx1"/>
            </w14:solidFill>
          </w14:textFill>
        </w:rPr>
      </w:pPr>
      <w:bookmarkStart w:id="3" w:name="_Toc28432"/>
      <w:bookmarkStart w:id="4" w:name="_Toc218862105"/>
      <w:r>
        <w:rPr>
          <w:rFonts w:hint="eastAsia" w:ascii="Times New Roman" w:hAnsi="Times New Roman"/>
          <w:snapToGrid w:val="0"/>
          <w:color w:val="000000" w:themeColor="text1"/>
          <w:sz w:val="36"/>
          <w:szCs w:val="36"/>
          <w14:textFill>
            <w14:solidFill>
              <w14:schemeClr w14:val="tx1"/>
            </w14:solidFill>
          </w14:textFill>
        </w:rPr>
        <w:t>一、建设项目基本情况</w:t>
      </w:r>
      <w:bookmarkEnd w:id="3"/>
      <w:bookmarkEnd w:id="4"/>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14"/>
        <w:gridCol w:w="2142"/>
        <w:gridCol w:w="1857"/>
        <w:gridCol w:w="3857"/>
      </w:tblGrid>
      <w:tr w14:paraId="6ED33A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6" w:type="dxa"/>
            <w:tcMar>
              <w:top w:w="16" w:type="dxa"/>
              <w:left w:w="16" w:type="dxa"/>
              <w:right w:w="16" w:type="dxa"/>
            </w:tcMar>
            <w:vAlign w:val="center"/>
          </w:tcPr>
          <w:p w14:paraId="1985121B">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建设项目</w:t>
            </w:r>
          </w:p>
          <w:p w14:paraId="74946EDA">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名称</w:t>
            </w:r>
          </w:p>
        </w:tc>
        <w:tc>
          <w:tcPr>
            <w:tcW w:w="7796" w:type="dxa"/>
            <w:gridSpan w:val="3"/>
            <w:vAlign w:val="center"/>
          </w:tcPr>
          <w:p w14:paraId="39C73C7E">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云南海潮集团听牧肉牛产业股份有限公司</w:t>
            </w:r>
          </w:p>
          <w:p w14:paraId="7D6D8D50">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50000只/年肉羊屠宰加工及配送系统技术改造项目</w:t>
            </w:r>
          </w:p>
        </w:tc>
      </w:tr>
      <w:tr w14:paraId="13B94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6" w:type="dxa"/>
            <w:tcMar>
              <w:top w:w="16" w:type="dxa"/>
              <w:left w:w="16" w:type="dxa"/>
              <w:right w:w="16" w:type="dxa"/>
            </w:tcMar>
            <w:vAlign w:val="center"/>
          </w:tcPr>
          <w:p w14:paraId="38769935">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项目代码</w:t>
            </w:r>
          </w:p>
        </w:tc>
        <w:tc>
          <w:tcPr>
            <w:tcW w:w="7796" w:type="dxa"/>
            <w:gridSpan w:val="3"/>
            <w:vAlign w:val="center"/>
          </w:tcPr>
          <w:p w14:paraId="38E06617">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2412-530129-04-02-804758</w:t>
            </w:r>
          </w:p>
        </w:tc>
      </w:tr>
      <w:tr w14:paraId="0AC3F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6" w:type="dxa"/>
            <w:tcMar>
              <w:top w:w="16" w:type="dxa"/>
              <w:left w:w="16" w:type="dxa"/>
              <w:right w:w="16" w:type="dxa"/>
            </w:tcMar>
            <w:vAlign w:val="center"/>
          </w:tcPr>
          <w:p w14:paraId="0CB9B6E1">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建设单位</w:t>
            </w:r>
          </w:p>
          <w:p w14:paraId="44DACEF8">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联系人</w:t>
            </w:r>
          </w:p>
        </w:tc>
        <w:tc>
          <w:tcPr>
            <w:tcW w:w="2126" w:type="dxa"/>
            <w:vAlign w:val="center"/>
          </w:tcPr>
          <w:p w14:paraId="1942EC4B">
            <w:pPr>
              <w:adjustRightInd w:val="0"/>
              <w:snapToGrid w:val="0"/>
              <w:jc w:val="center"/>
              <w:rPr>
                <w:rFonts w:cs="宋体"/>
                <w:color w:val="000000" w:themeColor="text1"/>
                <w:sz w:val="24"/>
                <w14:textFill>
                  <w14:solidFill>
                    <w14:schemeClr w14:val="tx1"/>
                  </w14:solidFill>
                </w14:textFill>
              </w:rPr>
            </w:pPr>
          </w:p>
        </w:tc>
        <w:tc>
          <w:tcPr>
            <w:tcW w:w="1843" w:type="dxa"/>
            <w:vAlign w:val="center"/>
          </w:tcPr>
          <w:p w14:paraId="376FB7D0">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联系方式</w:t>
            </w:r>
          </w:p>
        </w:tc>
        <w:tc>
          <w:tcPr>
            <w:tcW w:w="3827" w:type="dxa"/>
            <w:vAlign w:val="center"/>
          </w:tcPr>
          <w:p w14:paraId="53EB73BD">
            <w:pPr>
              <w:adjustRightInd w:val="0"/>
              <w:snapToGrid w:val="0"/>
              <w:jc w:val="center"/>
              <w:rPr>
                <w:rFonts w:cs="宋体"/>
                <w:color w:val="000000" w:themeColor="text1"/>
                <w:sz w:val="24"/>
                <w14:textFill>
                  <w14:solidFill>
                    <w14:schemeClr w14:val="tx1"/>
                  </w14:solidFill>
                </w14:textFill>
              </w:rPr>
            </w:pPr>
          </w:p>
        </w:tc>
      </w:tr>
      <w:tr w14:paraId="6C7366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6" w:type="dxa"/>
            <w:tcMar>
              <w:top w:w="16" w:type="dxa"/>
              <w:left w:w="16" w:type="dxa"/>
              <w:right w:w="16" w:type="dxa"/>
            </w:tcMar>
            <w:vAlign w:val="center"/>
          </w:tcPr>
          <w:p w14:paraId="1AE5813A">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建设地点</w:t>
            </w:r>
          </w:p>
        </w:tc>
        <w:tc>
          <w:tcPr>
            <w:tcW w:w="7796" w:type="dxa"/>
            <w:gridSpan w:val="3"/>
            <w:vAlign w:val="center"/>
          </w:tcPr>
          <w:p w14:paraId="719B4357">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昆明市寻甸县羊街镇龙池村</w:t>
            </w:r>
          </w:p>
        </w:tc>
      </w:tr>
      <w:tr w14:paraId="6A980A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6" w:type="dxa"/>
            <w:tcMar>
              <w:top w:w="16" w:type="dxa"/>
              <w:left w:w="16" w:type="dxa"/>
              <w:right w:w="16" w:type="dxa"/>
            </w:tcMar>
            <w:vAlign w:val="center"/>
          </w:tcPr>
          <w:p w14:paraId="222D4D53">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地理坐标</w:t>
            </w:r>
          </w:p>
        </w:tc>
        <w:tc>
          <w:tcPr>
            <w:tcW w:w="7796" w:type="dxa"/>
            <w:gridSpan w:val="3"/>
            <w:vAlign w:val="center"/>
          </w:tcPr>
          <w:p w14:paraId="3EFC2804">
            <w:pPr>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北纬25度26分47.729秒，东经103度08分01.726秒</w:t>
            </w:r>
          </w:p>
        </w:tc>
      </w:tr>
      <w:tr w14:paraId="69ABBB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6" w:type="dxa"/>
            <w:tcMar>
              <w:top w:w="16" w:type="dxa"/>
              <w:left w:w="16" w:type="dxa"/>
              <w:right w:w="16" w:type="dxa"/>
            </w:tcMar>
            <w:vAlign w:val="center"/>
          </w:tcPr>
          <w:p w14:paraId="65D7C3AA">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国民经济行业类别</w:t>
            </w:r>
          </w:p>
        </w:tc>
        <w:tc>
          <w:tcPr>
            <w:tcW w:w="2126" w:type="dxa"/>
            <w:vAlign w:val="center"/>
          </w:tcPr>
          <w:p w14:paraId="77A136CB">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C135屠宰及肉类</w:t>
            </w:r>
          </w:p>
          <w:p w14:paraId="217A3191">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加工</w:t>
            </w:r>
          </w:p>
        </w:tc>
        <w:tc>
          <w:tcPr>
            <w:tcW w:w="1843" w:type="dxa"/>
            <w:vAlign w:val="center"/>
          </w:tcPr>
          <w:p w14:paraId="5299A3D0">
            <w:pPr>
              <w:adjustRightInd w:val="0"/>
              <w:snapToGrid w:val="0"/>
              <w:jc w:val="center"/>
              <w:rPr>
                <w:rFonts w:cs="宋体"/>
                <w:color w:val="000000" w:themeColor="text1"/>
                <w:sz w:val="24"/>
                <w14:textFill>
                  <w14:solidFill>
                    <w14:schemeClr w14:val="tx1"/>
                  </w14:solidFill>
                </w14:textFill>
              </w:rPr>
            </w:pPr>
            <w:bookmarkStart w:id="5" w:name="_Hlk49843745"/>
            <w:r>
              <w:rPr>
                <w:rFonts w:hint="eastAsia" w:cs="宋体"/>
                <w:color w:val="000000" w:themeColor="text1"/>
                <w:sz w:val="24"/>
                <w14:textFill>
                  <w14:solidFill>
                    <w14:schemeClr w14:val="tx1"/>
                  </w14:solidFill>
                </w14:textFill>
              </w:rPr>
              <w:t>建设项目</w:t>
            </w:r>
          </w:p>
          <w:p w14:paraId="67CC5539">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行业类别</w:t>
            </w:r>
            <w:bookmarkEnd w:id="5"/>
          </w:p>
        </w:tc>
        <w:tc>
          <w:tcPr>
            <w:tcW w:w="3827" w:type="dxa"/>
            <w:vAlign w:val="center"/>
          </w:tcPr>
          <w:p w14:paraId="24EE6BD6">
            <w:pPr>
              <w:adjustRightInd w:val="0"/>
              <w:snapToGrid w:val="0"/>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十、农副食品加工业 18屠宰及肉类加工 135其他屠宰；年加工2万吨及以上的肉类加工</w:t>
            </w:r>
          </w:p>
        </w:tc>
      </w:tr>
      <w:tr w14:paraId="4D46E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6" w:type="dxa"/>
            <w:tcMar>
              <w:top w:w="16" w:type="dxa"/>
              <w:left w:w="16" w:type="dxa"/>
              <w:right w:w="16" w:type="dxa"/>
            </w:tcMar>
            <w:vAlign w:val="center"/>
          </w:tcPr>
          <w:p w14:paraId="7C42E1EC">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建设性质</w:t>
            </w:r>
          </w:p>
        </w:tc>
        <w:tc>
          <w:tcPr>
            <w:tcW w:w="2126" w:type="dxa"/>
            <w:vAlign w:val="center"/>
          </w:tcPr>
          <w:p w14:paraId="2CE20EF3">
            <w:pPr>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□新建（迁建）</w:t>
            </w:r>
          </w:p>
          <w:p w14:paraId="77644FA0">
            <w:pPr>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☑改建</w:t>
            </w:r>
          </w:p>
          <w:p w14:paraId="5E4F94AD">
            <w:pPr>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☑扩建</w:t>
            </w:r>
          </w:p>
          <w:p w14:paraId="2E078BE3">
            <w:pPr>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□技术改造</w:t>
            </w:r>
          </w:p>
        </w:tc>
        <w:tc>
          <w:tcPr>
            <w:tcW w:w="1843" w:type="dxa"/>
            <w:vAlign w:val="center"/>
          </w:tcPr>
          <w:p w14:paraId="5C1FD236">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建设项目</w:t>
            </w:r>
          </w:p>
          <w:p w14:paraId="728E518A">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申报情形</w:t>
            </w:r>
          </w:p>
        </w:tc>
        <w:tc>
          <w:tcPr>
            <w:tcW w:w="3827" w:type="dxa"/>
            <w:vAlign w:val="center"/>
          </w:tcPr>
          <w:p w14:paraId="58DAFF50">
            <w:pPr>
              <w:rPr>
                <w:rFonts w:cs="宋体"/>
                <w:color w:val="000000" w:themeColor="text1"/>
                <w:sz w:val="24"/>
                <w14:textFill>
                  <w14:solidFill>
                    <w14:schemeClr w14:val="tx1"/>
                  </w14:solidFill>
                </w14:textFill>
              </w:rPr>
            </w:pPr>
            <w:r>
              <w:rPr>
                <w:rFonts w:ascii="Segoe UI Symbol" w:hAnsi="Segoe UI Symbol" w:cs="Segoe UI Symbol"/>
                <w:color w:val="000000" w:themeColor="text1"/>
                <w:sz w:val="24"/>
                <w14:textFill>
                  <w14:solidFill>
                    <w14:schemeClr w14:val="tx1"/>
                  </w14:solidFill>
                </w14:textFill>
              </w:rPr>
              <w:t>☑</w:t>
            </w:r>
            <w:r>
              <w:rPr>
                <w:rFonts w:hint="eastAsia" w:cs="宋体"/>
                <w:color w:val="000000" w:themeColor="text1"/>
                <w:sz w:val="24"/>
                <w14:textFill>
                  <w14:solidFill>
                    <w14:schemeClr w14:val="tx1"/>
                  </w14:solidFill>
                </w14:textFill>
              </w:rPr>
              <w:t>首次申报项目</w:t>
            </w:r>
          </w:p>
          <w:p w14:paraId="6481745B">
            <w:pP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□不予批准后再次申报项目</w:t>
            </w:r>
          </w:p>
          <w:p w14:paraId="5559AE29">
            <w:pP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sym w:font="Wingdings 2" w:char="00A3"/>
            </w:r>
            <w:r>
              <w:rPr>
                <w:rFonts w:hint="eastAsia" w:cs="宋体"/>
                <w:color w:val="000000" w:themeColor="text1"/>
                <w:sz w:val="24"/>
                <w14:textFill>
                  <w14:solidFill>
                    <w14:schemeClr w14:val="tx1"/>
                  </w14:solidFill>
                </w14:textFill>
              </w:rPr>
              <w:t>超五年重新审核项目</w:t>
            </w:r>
          </w:p>
          <w:p w14:paraId="6C7B3255">
            <w:pP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□重大变动重新报批项目</w:t>
            </w:r>
          </w:p>
        </w:tc>
      </w:tr>
      <w:tr w14:paraId="3F099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6" w:type="dxa"/>
            <w:tcMar>
              <w:top w:w="16" w:type="dxa"/>
              <w:left w:w="16" w:type="dxa"/>
              <w:right w:w="16" w:type="dxa"/>
            </w:tcMar>
            <w:vAlign w:val="center"/>
          </w:tcPr>
          <w:p w14:paraId="33F68422">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项目审批（核准</w:t>
            </w:r>
            <w:r>
              <w:rPr>
                <w:rFonts w:cs="宋体"/>
                <w:color w:val="000000" w:themeColor="text1"/>
                <w:sz w:val="24"/>
                <w14:textFill>
                  <w14:solidFill>
                    <w14:schemeClr w14:val="tx1"/>
                  </w14:solidFill>
                </w14:textFill>
              </w:rPr>
              <w:t>/</w:t>
            </w:r>
            <w:r>
              <w:rPr>
                <w:rFonts w:hint="eastAsia" w:cs="宋体"/>
                <w:color w:val="000000" w:themeColor="text1"/>
                <w:sz w:val="24"/>
                <w14:textFill>
                  <w14:solidFill>
                    <w14:schemeClr w14:val="tx1"/>
                  </w14:solidFill>
                </w14:textFill>
              </w:rPr>
              <w:t>备案）部门（选填）</w:t>
            </w:r>
          </w:p>
        </w:tc>
        <w:tc>
          <w:tcPr>
            <w:tcW w:w="2126" w:type="dxa"/>
            <w:vAlign w:val="center"/>
          </w:tcPr>
          <w:p w14:paraId="44D4143C">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寻甸县发展</w:t>
            </w:r>
          </w:p>
          <w:p w14:paraId="1337DC87">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和改革局</w:t>
            </w:r>
          </w:p>
        </w:tc>
        <w:tc>
          <w:tcPr>
            <w:tcW w:w="1843" w:type="dxa"/>
            <w:vAlign w:val="center"/>
          </w:tcPr>
          <w:p w14:paraId="6113E827">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项目审批（核准</w:t>
            </w:r>
            <w:r>
              <w:rPr>
                <w:rFonts w:cs="宋体"/>
                <w:color w:val="000000" w:themeColor="text1"/>
                <w:sz w:val="24"/>
                <w14:textFill>
                  <w14:solidFill>
                    <w14:schemeClr w14:val="tx1"/>
                  </w14:solidFill>
                </w14:textFill>
              </w:rPr>
              <w:t>/</w:t>
            </w:r>
            <w:r>
              <w:rPr>
                <w:rFonts w:hint="eastAsia" w:cs="宋体"/>
                <w:color w:val="000000" w:themeColor="text1"/>
                <w:sz w:val="24"/>
                <w14:textFill>
                  <w14:solidFill>
                    <w14:schemeClr w14:val="tx1"/>
                  </w14:solidFill>
                </w14:textFill>
              </w:rPr>
              <w:t>备案）文号（选填）</w:t>
            </w:r>
          </w:p>
        </w:tc>
        <w:tc>
          <w:tcPr>
            <w:tcW w:w="3827" w:type="dxa"/>
            <w:vAlign w:val="center"/>
          </w:tcPr>
          <w:p w14:paraId="53BE1A73">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2412-530129-04-02-804758</w:t>
            </w:r>
          </w:p>
        </w:tc>
      </w:tr>
      <w:tr w14:paraId="4BEB7F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6" w:type="dxa"/>
            <w:tcMar>
              <w:top w:w="16" w:type="dxa"/>
              <w:left w:w="16" w:type="dxa"/>
              <w:right w:w="16" w:type="dxa"/>
            </w:tcMar>
            <w:vAlign w:val="center"/>
          </w:tcPr>
          <w:p w14:paraId="307931D5">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总投资</w:t>
            </w:r>
          </w:p>
          <w:p w14:paraId="6E286D19">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（万元）</w:t>
            </w:r>
          </w:p>
        </w:tc>
        <w:tc>
          <w:tcPr>
            <w:tcW w:w="2126" w:type="dxa"/>
            <w:vAlign w:val="center"/>
          </w:tcPr>
          <w:p w14:paraId="1FEE5570">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515.44</w:t>
            </w:r>
          </w:p>
        </w:tc>
        <w:tc>
          <w:tcPr>
            <w:tcW w:w="1843" w:type="dxa"/>
            <w:tcMar>
              <w:top w:w="16" w:type="dxa"/>
              <w:left w:w="16" w:type="dxa"/>
              <w:right w:w="16" w:type="dxa"/>
            </w:tcMar>
            <w:vAlign w:val="center"/>
          </w:tcPr>
          <w:p w14:paraId="03298C07">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环保投资</w:t>
            </w:r>
          </w:p>
          <w:p w14:paraId="15507F2F">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（万元）</w:t>
            </w:r>
          </w:p>
        </w:tc>
        <w:tc>
          <w:tcPr>
            <w:tcW w:w="3827" w:type="dxa"/>
            <w:vAlign w:val="center"/>
          </w:tcPr>
          <w:p w14:paraId="4C2BEB37">
            <w:pPr>
              <w:adjustRightInd w:val="0"/>
              <w:snapToGrid w:val="0"/>
              <w:jc w:val="center"/>
              <w:rPr>
                <w:rFonts w:cs="宋体"/>
                <w:color w:val="000000" w:themeColor="text1"/>
                <w:sz w:val="24"/>
                <w14:textFill>
                  <w14:solidFill>
                    <w14:schemeClr w14:val="tx1"/>
                  </w14:solidFill>
                </w14:textFill>
              </w:rPr>
            </w:pPr>
            <w:r>
              <w:rPr>
                <w:rFonts w:hint="eastAsia" w:cs="宋体"/>
                <w:sz w:val="24"/>
              </w:rPr>
              <w:t>66.4</w:t>
            </w:r>
          </w:p>
        </w:tc>
      </w:tr>
      <w:tr w14:paraId="531473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6" w:type="dxa"/>
            <w:tcMar>
              <w:top w:w="16" w:type="dxa"/>
              <w:left w:w="16" w:type="dxa"/>
              <w:right w:w="16" w:type="dxa"/>
            </w:tcMar>
            <w:vAlign w:val="center"/>
          </w:tcPr>
          <w:p w14:paraId="247C197A">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环保投资占比（</w:t>
            </w:r>
            <w:r>
              <w:rPr>
                <w:rFonts w:cs="宋体"/>
                <w:color w:val="000000" w:themeColor="text1"/>
                <w:sz w:val="24"/>
                <w14:textFill>
                  <w14:solidFill>
                    <w14:schemeClr w14:val="tx1"/>
                  </w14:solidFill>
                </w14:textFill>
              </w:rPr>
              <w:t>%</w:t>
            </w:r>
            <w:r>
              <w:rPr>
                <w:rFonts w:hint="eastAsia" w:cs="宋体"/>
                <w:color w:val="000000" w:themeColor="text1"/>
                <w:sz w:val="24"/>
                <w14:textFill>
                  <w14:solidFill>
                    <w14:schemeClr w14:val="tx1"/>
                  </w14:solidFill>
                </w14:textFill>
              </w:rPr>
              <w:t>）</w:t>
            </w:r>
          </w:p>
        </w:tc>
        <w:tc>
          <w:tcPr>
            <w:tcW w:w="2126" w:type="dxa"/>
            <w:vAlign w:val="center"/>
          </w:tcPr>
          <w:p w14:paraId="47EA3583">
            <w:pPr>
              <w:adjustRightInd w:val="0"/>
              <w:snapToGrid w:val="0"/>
              <w:jc w:val="center"/>
              <w:rPr>
                <w:rFonts w:cs="宋体"/>
                <w:color w:val="000000" w:themeColor="text1"/>
                <w:sz w:val="24"/>
                <w14:textFill>
                  <w14:solidFill>
                    <w14:schemeClr w14:val="tx1"/>
                  </w14:solidFill>
                </w14:textFill>
              </w:rPr>
            </w:pPr>
            <w:r>
              <w:rPr>
                <w:rFonts w:hint="eastAsia" w:cs="宋体"/>
                <w:sz w:val="24"/>
              </w:rPr>
              <w:t>12.88</w:t>
            </w:r>
          </w:p>
        </w:tc>
        <w:tc>
          <w:tcPr>
            <w:tcW w:w="1843" w:type="dxa"/>
            <w:tcMar>
              <w:top w:w="16" w:type="dxa"/>
              <w:left w:w="16" w:type="dxa"/>
              <w:right w:w="16" w:type="dxa"/>
            </w:tcMar>
            <w:vAlign w:val="center"/>
          </w:tcPr>
          <w:p w14:paraId="7F13B468">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施工工期</w:t>
            </w:r>
          </w:p>
        </w:tc>
        <w:tc>
          <w:tcPr>
            <w:tcW w:w="3827" w:type="dxa"/>
            <w:vAlign w:val="center"/>
          </w:tcPr>
          <w:p w14:paraId="31FD0779">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2个月</w:t>
            </w:r>
          </w:p>
        </w:tc>
      </w:tr>
      <w:tr w14:paraId="20EFC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6" w:type="dxa"/>
            <w:tcMar>
              <w:top w:w="16" w:type="dxa"/>
              <w:left w:w="16" w:type="dxa"/>
              <w:right w:w="16" w:type="dxa"/>
            </w:tcMar>
            <w:vAlign w:val="center"/>
          </w:tcPr>
          <w:p w14:paraId="528D33EC">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是否开工建设</w:t>
            </w:r>
          </w:p>
        </w:tc>
        <w:tc>
          <w:tcPr>
            <w:tcW w:w="2126" w:type="dxa"/>
            <w:vAlign w:val="center"/>
          </w:tcPr>
          <w:p w14:paraId="0E0DCBEA">
            <w:pPr>
              <w:adjustRightInd w:val="0"/>
              <w:snapToGrid w:val="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 否</w:t>
            </w:r>
          </w:p>
          <w:p w14:paraId="4254880E">
            <w:pPr>
              <w:adjustRightInd w:val="0"/>
              <w:snapToGrid w:val="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sym w:font="Wingdings 2" w:char="00A3"/>
            </w:r>
            <w:r>
              <w:rPr>
                <w:rFonts w:hint="eastAsia" w:cs="宋体"/>
                <w:color w:val="000000" w:themeColor="text1"/>
                <w:sz w:val="24"/>
                <w14:textFill>
                  <w14:solidFill>
                    <w14:schemeClr w14:val="tx1"/>
                  </w14:solidFill>
                </w14:textFill>
              </w:rPr>
              <w:t xml:space="preserve"> 是</w:t>
            </w:r>
          </w:p>
        </w:tc>
        <w:tc>
          <w:tcPr>
            <w:tcW w:w="1843" w:type="dxa"/>
            <w:tcMar>
              <w:top w:w="16" w:type="dxa"/>
              <w:left w:w="16" w:type="dxa"/>
              <w:right w:w="16" w:type="dxa"/>
            </w:tcMar>
            <w:vAlign w:val="center"/>
          </w:tcPr>
          <w:p w14:paraId="3FF455D5">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用地（用海）面积（</w:t>
            </w:r>
            <w:r>
              <w:rPr>
                <w:rFonts w:cs="宋体"/>
                <w:color w:val="000000" w:themeColor="text1"/>
                <w:sz w:val="24"/>
                <w14:textFill>
                  <w14:solidFill>
                    <w14:schemeClr w14:val="tx1"/>
                  </w14:solidFill>
                </w14:textFill>
              </w:rPr>
              <w:t>m</w:t>
            </w:r>
            <w:r>
              <w:rPr>
                <w:rFonts w:cs="宋体"/>
                <w:color w:val="000000" w:themeColor="text1"/>
                <w:sz w:val="24"/>
                <w:vertAlign w:val="superscript"/>
                <w14:textFill>
                  <w14:solidFill>
                    <w14:schemeClr w14:val="tx1"/>
                  </w14:solidFill>
                </w14:textFill>
              </w:rPr>
              <w:t>2</w:t>
            </w:r>
            <w:r>
              <w:rPr>
                <w:rFonts w:hint="eastAsia" w:cs="宋体"/>
                <w:color w:val="000000" w:themeColor="text1"/>
                <w:sz w:val="24"/>
                <w14:textFill>
                  <w14:solidFill>
                    <w14:schemeClr w14:val="tx1"/>
                  </w14:solidFill>
                </w14:textFill>
              </w:rPr>
              <w:t>）</w:t>
            </w:r>
          </w:p>
        </w:tc>
        <w:tc>
          <w:tcPr>
            <w:tcW w:w="3827" w:type="dxa"/>
            <w:vAlign w:val="center"/>
          </w:tcPr>
          <w:p w14:paraId="1B8D9091">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1955</w:t>
            </w:r>
          </w:p>
        </w:tc>
      </w:tr>
      <w:tr w14:paraId="26CAD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2" w:hRule="atLeast"/>
          <w:jc w:val="center"/>
        </w:trPr>
        <w:tc>
          <w:tcPr>
            <w:tcW w:w="1006" w:type="dxa"/>
            <w:vAlign w:val="center"/>
          </w:tcPr>
          <w:p w14:paraId="2A0DDC71">
            <w:pPr>
              <w:autoSpaceDE w:val="0"/>
              <w:autoSpaceDN w:val="0"/>
              <w:adjustRightInd w:val="0"/>
              <w:snapToGrid w:val="0"/>
              <w:jc w:val="center"/>
              <w:rPr>
                <w:rFonts w:cs="宋体"/>
                <w:color w:val="000000" w:themeColor="text1"/>
                <w:kern w:val="0"/>
                <w:sz w:val="24"/>
                <w14:textFill>
                  <w14:solidFill>
                    <w14:schemeClr w14:val="tx1"/>
                  </w14:solidFill>
                </w14:textFill>
              </w:rPr>
            </w:pPr>
            <w:r>
              <w:rPr>
                <w:rFonts w:hint="eastAsia" w:cs="宋体"/>
                <w:color w:val="000000" w:themeColor="text1"/>
                <w:kern w:val="0"/>
                <w:sz w:val="24"/>
                <w14:textFill>
                  <w14:solidFill>
                    <w14:schemeClr w14:val="tx1"/>
                  </w14:solidFill>
                </w14:textFill>
              </w:rPr>
              <w:t>专项评价设置情况</w:t>
            </w:r>
          </w:p>
        </w:tc>
        <w:tc>
          <w:tcPr>
            <w:tcW w:w="7796" w:type="dxa"/>
            <w:gridSpan w:val="3"/>
            <w:vAlign w:val="center"/>
          </w:tcPr>
          <w:p w14:paraId="70CEB017">
            <w:pPr>
              <w:pStyle w:val="36"/>
              <w:ind w:firstLine="480"/>
              <w:rPr>
                <w:spacing w:val="0"/>
                <w:lang w:eastAsia="zh-CN"/>
              </w:rPr>
            </w:pPr>
            <w:r>
              <w:rPr>
                <w:rFonts w:hint="eastAsia"/>
                <w:color w:val="000000" w:themeColor="text1"/>
                <w:spacing w:val="0"/>
                <w:lang w:eastAsia="zh-CN"/>
                <w14:textFill>
                  <w14:solidFill>
                    <w14:schemeClr w14:val="tx1"/>
                  </w14:solidFill>
                </w14:textFill>
              </w:rPr>
              <w:t>根据《建设项目环境影响报告表编制技术指南（污染影响类）（试行）》表1确定项目专项评价设置情况。</w:t>
            </w:r>
          </w:p>
          <w:p w14:paraId="444668C7">
            <w:pPr>
              <w:pStyle w:val="29"/>
              <w:outlineLvl w:val="9"/>
              <w:rPr>
                <w:rFonts w:hint="default"/>
              </w:rPr>
            </w:pPr>
            <w:r>
              <w:rPr>
                <w:rFonts w:hint="default"/>
              </w:rPr>
              <w:t>表1-1</w:t>
            </w:r>
            <w:r>
              <w:t xml:space="preserve"> </w:t>
            </w:r>
            <w:r>
              <w:rPr>
                <w:rFonts w:hint="default"/>
              </w:rPr>
              <w:t>专项评价设置原则表</w:t>
            </w:r>
          </w:p>
          <w:tbl>
            <w:tblPr>
              <w:tblStyle w:val="22"/>
              <w:tblW w:w="767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7"/>
              <w:gridCol w:w="3031"/>
              <w:gridCol w:w="3031"/>
              <w:gridCol w:w="938"/>
            </w:tblGrid>
            <w:tr w14:paraId="158477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441" w:type="pct"/>
                  <w:tcBorders>
                    <w:bottom w:val="single" w:color="000000" w:sz="4" w:space="0"/>
                    <w:right w:val="single" w:color="000000" w:sz="4" w:space="0"/>
                  </w:tcBorders>
                  <w:vAlign w:val="center"/>
                </w:tcPr>
                <w:p w14:paraId="5C2E6F09">
                  <w:pPr>
                    <w:pStyle w:val="31"/>
                    <w:rPr>
                      <w:b/>
                      <w:bCs/>
                    </w:rPr>
                  </w:pPr>
                  <w:r>
                    <w:rPr>
                      <w:b/>
                      <w:bCs/>
                    </w:rPr>
                    <w:t>类别</w:t>
                  </w:r>
                </w:p>
              </w:tc>
              <w:tc>
                <w:tcPr>
                  <w:tcW w:w="1974" w:type="pct"/>
                  <w:tcBorders>
                    <w:left w:val="single" w:color="000000" w:sz="4" w:space="0"/>
                    <w:bottom w:val="single" w:color="000000" w:sz="4" w:space="0"/>
                  </w:tcBorders>
                  <w:vAlign w:val="center"/>
                </w:tcPr>
                <w:p w14:paraId="7C6696D0">
                  <w:pPr>
                    <w:pStyle w:val="31"/>
                    <w:rPr>
                      <w:b/>
                      <w:bCs/>
                    </w:rPr>
                  </w:pPr>
                  <w:r>
                    <w:rPr>
                      <w:b/>
                      <w:bCs/>
                    </w:rPr>
                    <w:t>设置原则</w:t>
                  </w:r>
                </w:p>
              </w:tc>
              <w:tc>
                <w:tcPr>
                  <w:tcW w:w="1974" w:type="pct"/>
                  <w:tcBorders>
                    <w:left w:val="single" w:color="000000" w:sz="4" w:space="0"/>
                    <w:bottom w:val="single" w:color="000000" w:sz="4" w:space="0"/>
                  </w:tcBorders>
                  <w:vAlign w:val="center"/>
                </w:tcPr>
                <w:p w14:paraId="06B4B502">
                  <w:pPr>
                    <w:pStyle w:val="31"/>
                    <w:rPr>
                      <w:b/>
                      <w:bCs/>
                    </w:rPr>
                  </w:pPr>
                  <w:r>
                    <w:rPr>
                      <w:b/>
                      <w:bCs/>
                    </w:rPr>
                    <w:t>项目情况</w:t>
                  </w:r>
                </w:p>
              </w:tc>
              <w:tc>
                <w:tcPr>
                  <w:tcW w:w="612" w:type="pct"/>
                  <w:tcBorders>
                    <w:left w:val="single" w:color="000000" w:sz="4" w:space="0"/>
                    <w:bottom w:val="single" w:color="000000" w:sz="4" w:space="0"/>
                  </w:tcBorders>
                  <w:vAlign w:val="center"/>
                </w:tcPr>
                <w:p w14:paraId="5D90C28D">
                  <w:pPr>
                    <w:pStyle w:val="31"/>
                    <w:rPr>
                      <w:b/>
                      <w:bCs/>
                    </w:rPr>
                  </w:pPr>
                  <w:r>
                    <w:rPr>
                      <w:b/>
                      <w:bCs/>
                    </w:rPr>
                    <w:t>专项评价设置情况</w:t>
                  </w:r>
                </w:p>
              </w:tc>
            </w:tr>
            <w:tr w14:paraId="6369A9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441" w:type="pct"/>
                  <w:tcBorders>
                    <w:top w:val="single" w:color="000000" w:sz="4" w:space="0"/>
                    <w:bottom w:val="single" w:color="000000" w:sz="4" w:space="0"/>
                    <w:right w:val="single" w:color="000000" w:sz="4" w:space="0"/>
                  </w:tcBorders>
                  <w:vAlign w:val="center"/>
                </w:tcPr>
                <w:p w14:paraId="15DF14BD">
                  <w:pPr>
                    <w:pStyle w:val="31"/>
                  </w:pPr>
                  <w:r>
                    <w:t>大气</w:t>
                  </w:r>
                </w:p>
              </w:tc>
              <w:tc>
                <w:tcPr>
                  <w:tcW w:w="1974" w:type="pct"/>
                  <w:tcBorders>
                    <w:top w:val="single" w:color="000000" w:sz="4" w:space="0"/>
                    <w:left w:val="single" w:color="000000" w:sz="4" w:space="0"/>
                    <w:bottom w:val="single" w:color="000000" w:sz="4" w:space="0"/>
                  </w:tcBorders>
                  <w:vAlign w:val="center"/>
                </w:tcPr>
                <w:p w14:paraId="2A2B4544">
                  <w:pPr>
                    <w:pStyle w:val="31"/>
                    <w:jc w:val="both"/>
                  </w:pPr>
                  <w:r>
                    <w:t>排放废气含有毒有害污染物</w:t>
                  </w:r>
                  <w:r>
                    <w:rPr>
                      <w:vertAlign w:val="superscript"/>
                    </w:rPr>
                    <w:t>1</w:t>
                  </w:r>
                  <w:r>
                    <w:t>、二噁英、苯并[a]芘、氰化物、氯气且厂界外500</w:t>
                  </w:r>
                  <w:r>
                    <w:rPr>
                      <w:rFonts w:hint="eastAsia"/>
                    </w:rPr>
                    <w:t>m</w:t>
                  </w:r>
                  <w:r>
                    <w:t>范围内有环境空气保护目标的建设项目</w:t>
                  </w:r>
                </w:p>
              </w:tc>
              <w:tc>
                <w:tcPr>
                  <w:tcW w:w="1974" w:type="pct"/>
                  <w:tcBorders>
                    <w:top w:val="single" w:color="000000" w:sz="4" w:space="0"/>
                    <w:left w:val="single" w:color="000000" w:sz="4" w:space="0"/>
                    <w:bottom w:val="single" w:color="000000" w:sz="4" w:space="0"/>
                  </w:tcBorders>
                  <w:vAlign w:val="center"/>
                </w:tcPr>
                <w:p w14:paraId="590D1ACB">
                  <w:pPr>
                    <w:pStyle w:val="31"/>
                    <w:jc w:val="both"/>
                  </w:pPr>
                  <w:r>
                    <w:rPr>
                      <w:lang w:val="zh-CN"/>
                    </w:rPr>
                    <w:t>项目排放废气不涉及有毒有害污染物</w:t>
                  </w:r>
                  <w:r>
                    <w:rPr>
                      <w:vertAlign w:val="superscript"/>
                    </w:rPr>
                    <w:t>1</w:t>
                  </w:r>
                  <w:r>
                    <w:rPr>
                      <w:lang w:val="zh-CN"/>
                    </w:rPr>
                    <w:t>、</w:t>
                  </w:r>
                  <w:r>
                    <w:t>二噁英、苯并[a]芘</w:t>
                  </w:r>
                  <w:r>
                    <w:rPr>
                      <w:lang w:val="zh-CN"/>
                    </w:rPr>
                    <w:t>、氰化物、氯气</w:t>
                  </w:r>
                </w:p>
              </w:tc>
              <w:tc>
                <w:tcPr>
                  <w:tcW w:w="612" w:type="pct"/>
                  <w:tcBorders>
                    <w:top w:val="single" w:color="000000" w:sz="4" w:space="0"/>
                    <w:left w:val="single" w:color="000000" w:sz="4" w:space="0"/>
                    <w:bottom w:val="single" w:color="000000" w:sz="4" w:space="0"/>
                  </w:tcBorders>
                  <w:vAlign w:val="center"/>
                </w:tcPr>
                <w:p w14:paraId="66C9B676">
                  <w:pPr>
                    <w:pStyle w:val="31"/>
                  </w:pPr>
                  <w:r>
                    <w:rPr>
                      <w:rFonts w:hint="eastAsia"/>
                    </w:rPr>
                    <w:t>否</w:t>
                  </w:r>
                </w:p>
              </w:tc>
            </w:tr>
            <w:tr w14:paraId="4D6693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441" w:type="pct"/>
                  <w:tcBorders>
                    <w:top w:val="single" w:color="000000" w:sz="4" w:space="0"/>
                    <w:bottom w:val="single" w:color="000000" w:sz="4" w:space="0"/>
                    <w:right w:val="single" w:color="000000" w:sz="4" w:space="0"/>
                  </w:tcBorders>
                  <w:vAlign w:val="center"/>
                </w:tcPr>
                <w:p w14:paraId="67893B49">
                  <w:pPr>
                    <w:pStyle w:val="31"/>
                  </w:pPr>
                  <w:r>
                    <w:t>地表水</w:t>
                  </w:r>
                </w:p>
              </w:tc>
              <w:tc>
                <w:tcPr>
                  <w:tcW w:w="1974" w:type="pct"/>
                  <w:tcBorders>
                    <w:top w:val="single" w:color="000000" w:sz="4" w:space="0"/>
                    <w:left w:val="single" w:color="000000" w:sz="4" w:space="0"/>
                    <w:bottom w:val="single" w:color="000000" w:sz="4" w:space="0"/>
                  </w:tcBorders>
                  <w:vAlign w:val="center"/>
                </w:tcPr>
                <w:p w14:paraId="16B44E7E">
                  <w:pPr>
                    <w:pStyle w:val="31"/>
                    <w:jc w:val="both"/>
                    <w:rPr>
                      <w:lang w:val="zh-CN"/>
                    </w:rPr>
                  </w:pPr>
                  <w:r>
                    <w:rPr>
                      <w:lang w:val="zh-CN"/>
                    </w:rPr>
                    <w:t>新增工业废水直排建设项目（槽罐车外送污水处理厂的除外）；新增废水直排的污水集中处理厂</w:t>
                  </w:r>
                </w:p>
              </w:tc>
              <w:tc>
                <w:tcPr>
                  <w:tcW w:w="1974" w:type="pct"/>
                  <w:tcBorders>
                    <w:top w:val="single" w:color="000000" w:sz="4" w:space="0"/>
                    <w:left w:val="single" w:color="000000" w:sz="4" w:space="0"/>
                    <w:bottom w:val="single" w:color="000000" w:sz="4" w:space="0"/>
                  </w:tcBorders>
                  <w:vAlign w:val="center"/>
                </w:tcPr>
                <w:p w14:paraId="1E33EBA0">
                  <w:pPr>
                    <w:rPr>
                      <w:lang w:val="zh-CN"/>
                    </w:rPr>
                  </w:pPr>
                  <w:r>
                    <w:t>项目</w:t>
                  </w:r>
                  <w:r>
                    <w:rPr>
                      <w:rFonts w:hint="eastAsia"/>
                    </w:rPr>
                    <w:t>生产废水依托厂区现有生产废水处理站处理达标后用于厂区绿化、洒水降尘</w:t>
                  </w:r>
                  <w:r>
                    <w:t>，</w:t>
                  </w:r>
                  <w:r>
                    <w:rPr>
                      <w:rFonts w:hint="eastAsia"/>
                    </w:rPr>
                    <w:t>不外排</w:t>
                  </w:r>
                </w:p>
              </w:tc>
              <w:tc>
                <w:tcPr>
                  <w:tcW w:w="612" w:type="pct"/>
                  <w:tcBorders>
                    <w:top w:val="single" w:color="000000" w:sz="4" w:space="0"/>
                    <w:left w:val="single" w:color="000000" w:sz="4" w:space="0"/>
                    <w:bottom w:val="single" w:color="000000" w:sz="4" w:space="0"/>
                  </w:tcBorders>
                  <w:vAlign w:val="center"/>
                </w:tcPr>
                <w:p w14:paraId="48E32746">
                  <w:pPr>
                    <w:pStyle w:val="31"/>
                  </w:pPr>
                  <w:r>
                    <w:rPr>
                      <w:rFonts w:hint="eastAsia"/>
                    </w:rPr>
                    <w:t>否</w:t>
                  </w:r>
                </w:p>
              </w:tc>
            </w:tr>
            <w:tr w14:paraId="2B8C60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441" w:type="pct"/>
                  <w:tcBorders>
                    <w:top w:val="single" w:color="000000" w:sz="4" w:space="0"/>
                    <w:bottom w:val="single" w:color="000000" w:sz="4" w:space="0"/>
                    <w:right w:val="single" w:color="000000" w:sz="4" w:space="0"/>
                  </w:tcBorders>
                  <w:vAlign w:val="center"/>
                </w:tcPr>
                <w:p w14:paraId="325CB3C9">
                  <w:pPr>
                    <w:pStyle w:val="31"/>
                  </w:pPr>
                  <w:r>
                    <w:t>环境</w:t>
                  </w:r>
                </w:p>
                <w:p w14:paraId="733864DC">
                  <w:pPr>
                    <w:pStyle w:val="31"/>
                  </w:pPr>
                  <w:r>
                    <w:t>风险</w:t>
                  </w:r>
                </w:p>
              </w:tc>
              <w:tc>
                <w:tcPr>
                  <w:tcW w:w="1974" w:type="pct"/>
                  <w:tcBorders>
                    <w:top w:val="single" w:color="000000" w:sz="4" w:space="0"/>
                    <w:left w:val="single" w:color="000000" w:sz="4" w:space="0"/>
                    <w:bottom w:val="single" w:color="000000" w:sz="4" w:space="0"/>
                  </w:tcBorders>
                  <w:vAlign w:val="center"/>
                </w:tcPr>
                <w:p w14:paraId="558252CB">
                  <w:pPr>
                    <w:pStyle w:val="31"/>
                    <w:jc w:val="both"/>
                    <w:rPr>
                      <w:lang w:val="zh-CN"/>
                    </w:rPr>
                  </w:pPr>
                  <w:r>
                    <w:rPr>
                      <w:lang w:val="zh-CN"/>
                    </w:rPr>
                    <w:t>有毒有害和易燃易爆危险物质存储量超过临界量的建设项目</w:t>
                  </w:r>
                </w:p>
              </w:tc>
              <w:tc>
                <w:tcPr>
                  <w:tcW w:w="1974" w:type="pct"/>
                  <w:tcBorders>
                    <w:top w:val="single" w:color="000000" w:sz="4" w:space="0"/>
                    <w:left w:val="single" w:color="000000" w:sz="4" w:space="0"/>
                    <w:bottom w:val="single" w:color="000000" w:sz="4" w:space="0"/>
                  </w:tcBorders>
                  <w:vAlign w:val="center"/>
                </w:tcPr>
                <w:p w14:paraId="1AC1BA18">
                  <w:pPr>
                    <w:pStyle w:val="31"/>
                    <w:jc w:val="both"/>
                    <w:rPr>
                      <w:lang w:val="zh-CN"/>
                    </w:rPr>
                  </w:pPr>
                  <w:r>
                    <w:t>项目</w:t>
                  </w:r>
                  <w:r>
                    <w:rPr>
                      <w:rFonts w:hint="eastAsia"/>
                    </w:rPr>
                    <w:t>涉及危险物质为废机油、液氨，其最大</w:t>
                  </w:r>
                  <w:r>
                    <w:t>存储量</w:t>
                  </w:r>
                  <w:r>
                    <w:rPr>
                      <w:rFonts w:hint="eastAsia"/>
                    </w:rPr>
                    <w:t>均未</w:t>
                  </w:r>
                  <w:r>
                    <w:t>超过</w:t>
                  </w:r>
                  <w:r>
                    <w:rPr>
                      <w:rFonts w:hint="eastAsia"/>
                    </w:rPr>
                    <w:t>规定</w:t>
                  </w:r>
                  <w:r>
                    <w:t>临界量</w:t>
                  </w:r>
                </w:p>
              </w:tc>
              <w:tc>
                <w:tcPr>
                  <w:tcW w:w="612" w:type="pct"/>
                  <w:tcBorders>
                    <w:top w:val="single" w:color="000000" w:sz="4" w:space="0"/>
                    <w:left w:val="single" w:color="000000" w:sz="4" w:space="0"/>
                    <w:bottom w:val="single" w:color="000000" w:sz="4" w:space="0"/>
                  </w:tcBorders>
                  <w:vAlign w:val="center"/>
                </w:tcPr>
                <w:p w14:paraId="150CEA7C">
                  <w:pPr>
                    <w:pStyle w:val="31"/>
                  </w:pPr>
                  <w:r>
                    <w:rPr>
                      <w:rFonts w:hint="eastAsia"/>
                    </w:rPr>
                    <w:t>否</w:t>
                  </w:r>
                </w:p>
              </w:tc>
            </w:tr>
            <w:tr w14:paraId="4FE274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441" w:type="pct"/>
                  <w:tcBorders>
                    <w:top w:val="single" w:color="000000" w:sz="4" w:space="0"/>
                    <w:bottom w:val="single" w:color="000000" w:sz="4" w:space="0"/>
                    <w:right w:val="single" w:color="000000" w:sz="4" w:space="0"/>
                  </w:tcBorders>
                  <w:vAlign w:val="center"/>
                </w:tcPr>
                <w:p w14:paraId="4363C233">
                  <w:pPr>
                    <w:pStyle w:val="31"/>
                  </w:pPr>
                  <w:r>
                    <w:t>生态</w:t>
                  </w:r>
                </w:p>
              </w:tc>
              <w:tc>
                <w:tcPr>
                  <w:tcW w:w="1974" w:type="pct"/>
                  <w:tcBorders>
                    <w:top w:val="single" w:color="000000" w:sz="4" w:space="0"/>
                    <w:left w:val="single" w:color="000000" w:sz="4" w:space="0"/>
                    <w:bottom w:val="single" w:color="000000" w:sz="4" w:space="0"/>
                  </w:tcBorders>
                  <w:vAlign w:val="center"/>
                </w:tcPr>
                <w:p w14:paraId="651E03D4">
                  <w:pPr>
                    <w:pStyle w:val="31"/>
                    <w:jc w:val="both"/>
                    <w:rPr>
                      <w:lang w:val="zh-CN"/>
                    </w:rPr>
                  </w:pPr>
                  <w:r>
                    <w:rPr>
                      <w:lang w:val="zh-CN"/>
                    </w:rPr>
                    <w:t>取水口下游500</w:t>
                  </w:r>
                  <w:r>
                    <w:rPr>
                      <w:rFonts w:hint="eastAsia"/>
                      <w:lang w:val="zh-CN"/>
                    </w:rPr>
                    <w:t>m</w:t>
                  </w:r>
                  <w:r>
                    <w:rPr>
                      <w:lang w:val="zh-CN"/>
                    </w:rPr>
                    <w:t>范围内有重要水生生物的自然产卵场、索饵场、越冬场和洄游通道的新增河道取水的污染类建设项目</w:t>
                  </w:r>
                </w:p>
              </w:tc>
              <w:tc>
                <w:tcPr>
                  <w:tcW w:w="1974" w:type="pct"/>
                  <w:tcBorders>
                    <w:top w:val="single" w:color="000000" w:sz="4" w:space="0"/>
                    <w:left w:val="single" w:color="000000" w:sz="4" w:space="0"/>
                    <w:bottom w:val="single" w:color="000000" w:sz="4" w:space="0"/>
                  </w:tcBorders>
                  <w:vAlign w:val="center"/>
                </w:tcPr>
                <w:p w14:paraId="4B85CC08">
                  <w:pPr>
                    <w:pStyle w:val="31"/>
                    <w:jc w:val="both"/>
                    <w:rPr>
                      <w:lang w:val="zh-CN"/>
                    </w:rPr>
                  </w:pPr>
                  <w:r>
                    <w:t>项目用水由</w:t>
                  </w:r>
                  <w:r>
                    <w:rPr>
                      <w:rFonts w:hint="eastAsia"/>
                    </w:rPr>
                    <w:t>市政自来水管网</w:t>
                  </w:r>
                  <w:r>
                    <w:t>供给</w:t>
                  </w:r>
                  <w:r>
                    <w:rPr>
                      <w:rFonts w:hint="eastAsia"/>
                    </w:rPr>
                    <w:t>，</w:t>
                  </w:r>
                  <w:r>
                    <w:t>不涉及河道取水</w:t>
                  </w:r>
                </w:p>
              </w:tc>
              <w:tc>
                <w:tcPr>
                  <w:tcW w:w="612" w:type="pct"/>
                  <w:tcBorders>
                    <w:top w:val="single" w:color="000000" w:sz="4" w:space="0"/>
                    <w:left w:val="single" w:color="000000" w:sz="4" w:space="0"/>
                    <w:bottom w:val="single" w:color="000000" w:sz="4" w:space="0"/>
                  </w:tcBorders>
                  <w:vAlign w:val="center"/>
                </w:tcPr>
                <w:p w14:paraId="66F13DF3">
                  <w:pPr>
                    <w:pStyle w:val="31"/>
                  </w:pPr>
                  <w:r>
                    <w:rPr>
                      <w:rFonts w:hint="eastAsia"/>
                    </w:rPr>
                    <w:t>否</w:t>
                  </w:r>
                </w:p>
              </w:tc>
            </w:tr>
            <w:tr w14:paraId="19AC5E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441" w:type="pct"/>
                  <w:tcBorders>
                    <w:top w:val="single" w:color="000000" w:sz="4" w:space="0"/>
                    <w:bottom w:val="single" w:color="000000" w:sz="4" w:space="0"/>
                    <w:right w:val="single" w:color="000000" w:sz="4" w:space="0"/>
                  </w:tcBorders>
                  <w:vAlign w:val="center"/>
                </w:tcPr>
                <w:p w14:paraId="3D9A9CE6">
                  <w:pPr>
                    <w:pStyle w:val="31"/>
                  </w:pPr>
                  <w:r>
                    <w:t>海洋</w:t>
                  </w:r>
                </w:p>
              </w:tc>
              <w:tc>
                <w:tcPr>
                  <w:tcW w:w="1974" w:type="pct"/>
                  <w:tcBorders>
                    <w:top w:val="single" w:color="000000" w:sz="4" w:space="0"/>
                    <w:left w:val="single" w:color="000000" w:sz="4" w:space="0"/>
                    <w:bottom w:val="single" w:color="000000" w:sz="4" w:space="0"/>
                  </w:tcBorders>
                  <w:vAlign w:val="center"/>
                </w:tcPr>
                <w:p w14:paraId="6F81E8B6">
                  <w:pPr>
                    <w:pStyle w:val="31"/>
                    <w:jc w:val="both"/>
                    <w:rPr>
                      <w:lang w:val="zh-CN"/>
                    </w:rPr>
                  </w:pPr>
                  <w:r>
                    <w:rPr>
                      <w:lang w:val="zh-CN"/>
                    </w:rPr>
                    <w:t>直接向海排放污染物的海洋工程建设项目</w:t>
                  </w:r>
                </w:p>
              </w:tc>
              <w:tc>
                <w:tcPr>
                  <w:tcW w:w="1974" w:type="pct"/>
                  <w:tcBorders>
                    <w:top w:val="single" w:color="000000" w:sz="4" w:space="0"/>
                    <w:left w:val="single" w:color="000000" w:sz="4" w:space="0"/>
                    <w:bottom w:val="single" w:color="000000" w:sz="4" w:space="0"/>
                  </w:tcBorders>
                  <w:vAlign w:val="center"/>
                </w:tcPr>
                <w:p w14:paraId="65C9810E">
                  <w:pPr>
                    <w:pStyle w:val="31"/>
                    <w:jc w:val="both"/>
                    <w:rPr>
                      <w:lang w:val="zh-CN"/>
                    </w:rPr>
                  </w:pPr>
                  <w:r>
                    <w:t>项目不</w:t>
                  </w:r>
                  <w:r>
                    <w:rPr>
                      <w:rFonts w:hint="eastAsia"/>
                    </w:rPr>
                    <w:t>涉及</w:t>
                  </w:r>
                  <w:r>
                    <w:t>向</w:t>
                  </w:r>
                  <w:r>
                    <w:rPr>
                      <w:rFonts w:hint="eastAsia"/>
                    </w:rPr>
                    <w:t>海洋</w:t>
                  </w:r>
                  <w:r>
                    <w:t>排放污染物</w:t>
                  </w:r>
                </w:p>
              </w:tc>
              <w:tc>
                <w:tcPr>
                  <w:tcW w:w="612" w:type="pct"/>
                  <w:tcBorders>
                    <w:top w:val="single" w:color="000000" w:sz="4" w:space="0"/>
                    <w:left w:val="single" w:color="000000" w:sz="4" w:space="0"/>
                    <w:bottom w:val="single" w:color="000000" w:sz="4" w:space="0"/>
                  </w:tcBorders>
                  <w:vAlign w:val="center"/>
                </w:tcPr>
                <w:p w14:paraId="7E68E87F">
                  <w:pPr>
                    <w:pStyle w:val="31"/>
                  </w:pPr>
                  <w:r>
                    <w:rPr>
                      <w:rFonts w:hint="eastAsia"/>
                    </w:rPr>
                    <w:t>否</w:t>
                  </w:r>
                </w:p>
              </w:tc>
            </w:tr>
            <w:tr w14:paraId="66CDF5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5000" w:type="pct"/>
                  <w:gridSpan w:val="4"/>
                  <w:tcBorders>
                    <w:top w:val="single" w:color="000000" w:sz="4" w:space="0"/>
                  </w:tcBorders>
                  <w:vAlign w:val="center"/>
                </w:tcPr>
                <w:p w14:paraId="2637C3A1">
                  <w:pPr>
                    <w:pStyle w:val="31"/>
                    <w:jc w:val="both"/>
                  </w:pPr>
                  <w:r>
                    <w:t>1</w:t>
                  </w:r>
                  <w:r>
                    <w:rPr>
                      <w:rFonts w:hint="eastAsia"/>
                    </w:rPr>
                    <w:t>、</w:t>
                  </w:r>
                  <w:r>
                    <w:t>废气中有毒有害污染物指标纳入《有毒有害大气污染物名录》的污染物（不包括无排放标准的污染物）</w:t>
                  </w:r>
                  <w:r>
                    <w:rPr>
                      <w:rFonts w:hint="eastAsia"/>
                    </w:rPr>
                    <w:t>；</w:t>
                  </w:r>
                </w:p>
                <w:p w14:paraId="1D7D5F89">
                  <w:pPr>
                    <w:pStyle w:val="31"/>
                    <w:jc w:val="both"/>
                  </w:pPr>
                  <w:r>
                    <w:t>2</w:t>
                  </w:r>
                  <w:r>
                    <w:rPr>
                      <w:rFonts w:hint="eastAsia"/>
                    </w:rPr>
                    <w:t>、</w:t>
                  </w:r>
                  <w:r>
                    <w:t>环境空气保护目标指自然保护区、风景名胜区、居住区、文化区和农村地区中人群较集中的区域</w:t>
                  </w:r>
                  <w:r>
                    <w:rPr>
                      <w:rFonts w:hint="eastAsia"/>
                    </w:rPr>
                    <w:t>；</w:t>
                  </w:r>
                </w:p>
                <w:p w14:paraId="04AC733F">
                  <w:pPr>
                    <w:pStyle w:val="31"/>
                    <w:jc w:val="both"/>
                  </w:pPr>
                  <w:r>
                    <w:t>3</w:t>
                  </w:r>
                  <w:r>
                    <w:rPr>
                      <w:rFonts w:hint="eastAsia"/>
                    </w:rPr>
                    <w:t>、</w:t>
                  </w:r>
                  <w:r>
                    <w:t>临界量及其计算方法可参考《建设项目环境风险评价技术导则》（HJ</w:t>
                  </w:r>
                  <w:r>
                    <w:rPr>
                      <w:rFonts w:hint="eastAsia"/>
                    </w:rPr>
                    <w:t xml:space="preserve"> </w:t>
                  </w:r>
                  <w:r>
                    <w:t>169）附录B、附录C。</w:t>
                  </w:r>
                </w:p>
              </w:tc>
            </w:tr>
          </w:tbl>
          <w:p w14:paraId="064F2F00">
            <w:pPr>
              <w:autoSpaceDE w:val="0"/>
              <w:autoSpaceDN w:val="0"/>
              <w:adjustRightInd w:val="0"/>
              <w:snapToGrid w:val="0"/>
              <w:spacing w:line="360" w:lineRule="auto"/>
              <w:ind w:firstLine="480" w:firstLineChars="200"/>
              <w:rPr>
                <w:rFonts w:cs="宋体"/>
                <w:color w:val="000000" w:themeColor="text1"/>
                <w:kern w:val="0"/>
                <w:sz w:val="24"/>
                <w14:textFill>
                  <w14:solidFill>
                    <w14:schemeClr w14:val="tx1"/>
                  </w14:solidFill>
                </w14:textFill>
              </w:rPr>
            </w:pPr>
            <w:r>
              <w:rPr>
                <w:rFonts w:hint="eastAsia" w:cs="宋体"/>
                <w:color w:val="000000" w:themeColor="text1"/>
                <w:kern w:val="0"/>
                <w:sz w:val="24"/>
                <w14:textFill>
                  <w14:solidFill>
                    <w14:schemeClr w14:val="tx1"/>
                  </w14:solidFill>
                </w14:textFill>
              </w:rPr>
              <w:t>综上分析，项目不需设置专项评价。</w:t>
            </w:r>
          </w:p>
        </w:tc>
      </w:tr>
      <w:tr w14:paraId="06FA6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vAlign w:val="center"/>
          </w:tcPr>
          <w:p w14:paraId="118381C3">
            <w:pPr>
              <w:autoSpaceDE w:val="0"/>
              <w:autoSpaceDN w:val="0"/>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规划</w:t>
            </w:r>
          </w:p>
          <w:p w14:paraId="4EF8C7CA">
            <w:pPr>
              <w:autoSpaceDE w:val="0"/>
              <w:autoSpaceDN w:val="0"/>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情况</w:t>
            </w:r>
          </w:p>
        </w:tc>
        <w:tc>
          <w:tcPr>
            <w:tcW w:w="7796" w:type="dxa"/>
            <w:gridSpan w:val="3"/>
            <w:vAlign w:val="center"/>
          </w:tcPr>
          <w:p w14:paraId="39157370">
            <w:pPr>
              <w:autoSpaceDE w:val="0"/>
              <w:autoSpaceDN w:val="0"/>
              <w:adjustRightInd w:val="0"/>
              <w:snapToGrid w:val="0"/>
              <w:jc w:val="center"/>
              <w:rPr>
                <w:rFonts w:cs="宋体"/>
                <w:color w:val="000000" w:themeColor="text1"/>
                <w:kern w:val="0"/>
                <w:sz w:val="24"/>
                <w14:textFill>
                  <w14:solidFill>
                    <w14:schemeClr w14:val="tx1"/>
                  </w14:solidFill>
                </w14:textFill>
              </w:rPr>
            </w:pPr>
            <w:r>
              <w:rPr>
                <w:rFonts w:hint="eastAsia" w:cs="宋体"/>
                <w:color w:val="000000" w:themeColor="text1"/>
                <w:kern w:val="0"/>
                <w:sz w:val="24"/>
                <w14:textFill>
                  <w14:solidFill>
                    <w14:schemeClr w14:val="tx1"/>
                  </w14:solidFill>
                </w14:textFill>
              </w:rPr>
              <w:t>无</w:t>
            </w:r>
          </w:p>
        </w:tc>
      </w:tr>
      <w:tr w14:paraId="43747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vAlign w:val="center"/>
          </w:tcPr>
          <w:p w14:paraId="506CE92E">
            <w:pPr>
              <w:adjustRightInd w:val="0"/>
              <w:snapToGrid w:val="0"/>
              <w:jc w:val="center"/>
              <w:rPr>
                <w:rFonts w:cs="宋体"/>
                <w:color w:val="000000" w:themeColor="text1"/>
                <w:kern w:val="0"/>
                <w:sz w:val="24"/>
                <w14:textFill>
                  <w14:solidFill>
                    <w14:schemeClr w14:val="tx1"/>
                  </w14:solidFill>
                </w14:textFill>
              </w:rPr>
            </w:pPr>
            <w:r>
              <w:rPr>
                <w:rFonts w:hint="eastAsia" w:cs="宋体"/>
                <w:color w:val="000000" w:themeColor="text1"/>
                <w:sz w:val="24"/>
                <w14:textFill>
                  <w14:solidFill>
                    <w14:schemeClr w14:val="tx1"/>
                  </w14:solidFill>
                </w14:textFill>
              </w:rPr>
              <w:t>规划环境影响评价情况</w:t>
            </w:r>
          </w:p>
        </w:tc>
        <w:tc>
          <w:tcPr>
            <w:tcW w:w="7796" w:type="dxa"/>
            <w:gridSpan w:val="3"/>
            <w:vAlign w:val="center"/>
          </w:tcPr>
          <w:p w14:paraId="7D3A5FA6">
            <w:pPr>
              <w:autoSpaceDE w:val="0"/>
              <w:autoSpaceDN w:val="0"/>
              <w:adjustRightInd w:val="0"/>
              <w:snapToGrid w:val="0"/>
              <w:jc w:val="center"/>
              <w:rPr>
                <w:rFonts w:cs="宋体"/>
                <w:color w:val="000000" w:themeColor="text1"/>
                <w:kern w:val="0"/>
                <w:sz w:val="24"/>
                <w14:textFill>
                  <w14:solidFill>
                    <w14:schemeClr w14:val="tx1"/>
                  </w14:solidFill>
                </w14:textFill>
              </w:rPr>
            </w:pPr>
            <w:r>
              <w:rPr>
                <w:rFonts w:hint="eastAsia" w:cs="宋体"/>
                <w:color w:val="000000" w:themeColor="text1"/>
                <w:kern w:val="0"/>
                <w:sz w:val="24"/>
                <w14:textFill>
                  <w14:solidFill>
                    <w14:schemeClr w14:val="tx1"/>
                  </w14:solidFill>
                </w14:textFill>
              </w:rPr>
              <w:t>无</w:t>
            </w:r>
          </w:p>
        </w:tc>
      </w:tr>
      <w:tr w14:paraId="4F0E6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vAlign w:val="center"/>
          </w:tcPr>
          <w:p w14:paraId="65114D6A">
            <w:pPr>
              <w:autoSpaceDE w:val="0"/>
              <w:autoSpaceDN w:val="0"/>
              <w:adjustRightInd w:val="0"/>
              <w:snapToGrid w:val="0"/>
              <w:jc w:val="center"/>
              <w:rPr>
                <w:rFonts w:cs="宋体"/>
                <w:color w:val="000000" w:themeColor="text1"/>
                <w:kern w:val="0"/>
                <w:sz w:val="24"/>
                <w14:textFill>
                  <w14:solidFill>
                    <w14:schemeClr w14:val="tx1"/>
                  </w14:solidFill>
                </w14:textFill>
              </w:rPr>
            </w:pPr>
            <w:r>
              <w:rPr>
                <w:rFonts w:hint="eastAsia" w:cs="宋体"/>
                <w:color w:val="000000" w:themeColor="text1"/>
                <w:kern w:val="0"/>
                <w:sz w:val="24"/>
                <w14:textFill>
                  <w14:solidFill>
                    <w14:schemeClr w14:val="tx1"/>
                  </w14:solidFill>
                </w14:textFill>
              </w:rPr>
              <w:t>规划及规划环境影响评价符合性分析</w:t>
            </w:r>
          </w:p>
        </w:tc>
        <w:tc>
          <w:tcPr>
            <w:tcW w:w="7796" w:type="dxa"/>
            <w:gridSpan w:val="3"/>
            <w:vAlign w:val="center"/>
          </w:tcPr>
          <w:p w14:paraId="63D3CA8D">
            <w:pPr>
              <w:autoSpaceDE w:val="0"/>
              <w:autoSpaceDN w:val="0"/>
              <w:adjustRightInd w:val="0"/>
              <w:snapToGrid w:val="0"/>
              <w:jc w:val="center"/>
              <w:rPr>
                <w:rFonts w:cs="宋体"/>
                <w:color w:val="000000" w:themeColor="text1"/>
                <w:kern w:val="0"/>
                <w:sz w:val="24"/>
                <w14:textFill>
                  <w14:solidFill>
                    <w14:schemeClr w14:val="tx1"/>
                  </w14:solidFill>
                </w14:textFill>
              </w:rPr>
            </w:pPr>
            <w:r>
              <w:rPr>
                <w:rFonts w:hint="eastAsia" w:cs="宋体"/>
                <w:color w:val="000000" w:themeColor="text1"/>
                <w:kern w:val="0"/>
                <w:sz w:val="24"/>
                <w14:textFill>
                  <w14:solidFill>
                    <w14:schemeClr w14:val="tx1"/>
                  </w14:solidFill>
                </w14:textFill>
              </w:rPr>
              <w:t>无</w:t>
            </w:r>
          </w:p>
        </w:tc>
      </w:tr>
      <w:tr w14:paraId="2A67D2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vAlign w:val="center"/>
          </w:tcPr>
          <w:p w14:paraId="762EB3CF">
            <w:pPr>
              <w:autoSpaceDE w:val="0"/>
              <w:autoSpaceDN w:val="0"/>
              <w:adjustRightInd w:val="0"/>
              <w:snapToGrid w:val="0"/>
              <w:jc w:val="center"/>
              <w:rPr>
                <w:rFonts w:cs="宋体"/>
                <w:color w:val="000000" w:themeColor="text1"/>
                <w:kern w:val="0"/>
                <w:szCs w:val="21"/>
                <w14:textFill>
                  <w14:solidFill>
                    <w14:schemeClr w14:val="tx1"/>
                  </w14:solidFill>
                </w14:textFill>
              </w:rPr>
            </w:pPr>
            <w:r>
              <w:rPr>
                <w:rFonts w:hint="eastAsia" w:cs="宋体"/>
                <w:color w:val="000000" w:themeColor="text1"/>
                <w:kern w:val="0"/>
                <w:sz w:val="24"/>
                <w14:textFill>
                  <w14:solidFill>
                    <w14:schemeClr w14:val="tx1"/>
                  </w14:solidFill>
                </w14:textFill>
              </w:rPr>
              <w:t>其他符合性分析</w:t>
            </w:r>
            <w:r>
              <w:rPr>
                <w:rStyle w:val="28"/>
                <w:rFonts w:cs="宋体"/>
                <w:color w:val="000000" w:themeColor="text1"/>
                <w:kern w:val="0"/>
                <w:szCs w:val="21"/>
                <w14:textFill>
                  <w14:solidFill>
                    <w14:schemeClr w14:val="tx1"/>
                  </w14:solidFill>
                </w14:textFill>
              </w:rPr>
              <w:commentReference w:id="0"/>
            </w:r>
          </w:p>
        </w:tc>
        <w:tc>
          <w:tcPr>
            <w:tcW w:w="7796" w:type="dxa"/>
            <w:gridSpan w:val="3"/>
            <w:vAlign w:val="center"/>
          </w:tcPr>
          <w:p w14:paraId="78B4F7B8">
            <w:pPr>
              <w:widowControl/>
              <w:spacing w:line="360" w:lineRule="auto"/>
              <w:jc w:val="left"/>
              <w:rPr>
                <w:color w:val="000000" w:themeColor="text1"/>
                <w:sz w:val="28"/>
                <w:szCs w:val="28"/>
                <w14:textFill>
                  <w14:solidFill>
                    <w14:schemeClr w14:val="tx1"/>
                  </w14:solidFill>
                </w14:textFill>
              </w:rPr>
            </w:pPr>
            <w:r>
              <w:rPr>
                <w:b/>
                <w:bCs/>
                <w:color w:val="000000" w:themeColor="text1"/>
                <w:kern w:val="0"/>
                <w:sz w:val="28"/>
                <w:szCs w:val="28"/>
                <w:lang w:bidi="ar"/>
                <w14:textFill>
                  <w14:solidFill>
                    <w14:schemeClr w14:val="tx1"/>
                  </w14:solidFill>
                </w14:textFill>
              </w:rPr>
              <w:t>1</w:t>
            </w:r>
            <w:r>
              <w:rPr>
                <w:rFonts w:hint="eastAsia" w:cs="宋体"/>
                <w:b/>
                <w:bCs/>
                <w:color w:val="000000" w:themeColor="text1"/>
                <w:kern w:val="0"/>
                <w:sz w:val="28"/>
                <w:szCs w:val="28"/>
                <w:lang w:bidi="ar"/>
                <w14:textFill>
                  <w14:solidFill>
                    <w14:schemeClr w14:val="tx1"/>
                  </w14:solidFill>
                </w14:textFill>
              </w:rPr>
              <w:t>、产业政策符合性分析</w:t>
            </w:r>
          </w:p>
          <w:p w14:paraId="33711E22">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根据《产业结构调整指导目录（2024年本）》，“十二、轻工”中24.年屠宰肉羊15万只及以下项目属于限制类（少数民族地区除外）。项目位于昆明市寻甸县（彝族回族聚居区），属于少数民族地区，符合《云南省民族区域自治条例》关于支持民族地区农牧产品加工产业的豁免条款规定。</w:t>
            </w:r>
          </w:p>
          <w:p w14:paraId="190C42FA">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同时，项目已取得寻甸县发改局核发的固定资产投资项目备案证（2412-530129-04-02-804758）。</w:t>
            </w:r>
          </w:p>
          <w:p w14:paraId="519040DC">
            <w:pPr>
              <w:pStyle w:val="36"/>
              <w:ind w:firstLine="480"/>
              <w:rPr>
                <w:color w:val="000000" w:themeColor="text1"/>
                <w:spacing w:val="0"/>
                <w:lang w:eastAsia="zh-CN"/>
                <w14:textFill>
                  <w14:solidFill>
                    <w14:schemeClr w14:val="tx1"/>
                  </w14:solidFill>
                </w14:textFill>
              </w:rPr>
            </w:pPr>
            <w:r>
              <w:rPr>
                <w:rFonts w:cs="Times New Roman"/>
                <w:color w:val="000000" w:themeColor="text1"/>
                <w:spacing w:val="0"/>
                <w:lang w:val="zh-CN" w:eastAsia="zh-CN"/>
                <w14:textFill>
                  <w14:solidFill>
                    <w14:schemeClr w14:val="tx1"/>
                  </w14:solidFill>
                </w14:textFill>
              </w:rPr>
              <w:t>根据《市场准入负面清单（2022年版）》，项目不属于禁止准</w:t>
            </w:r>
            <w:r>
              <w:rPr>
                <w:rFonts w:cs="Times New Roman"/>
                <w:color w:val="000000" w:themeColor="text1"/>
                <w:spacing w:val="0"/>
                <w:lang w:eastAsia="zh-CN"/>
                <w14:textFill>
                  <w14:solidFill>
                    <w14:schemeClr w14:val="tx1"/>
                  </w14:solidFill>
                </w14:textFill>
              </w:rPr>
              <w:t>入</w:t>
            </w:r>
            <w:r>
              <w:rPr>
                <w:rFonts w:cs="Times New Roman"/>
                <w:color w:val="000000" w:themeColor="text1"/>
                <w:spacing w:val="0"/>
                <w:lang w:val="zh-CN" w:eastAsia="zh-CN"/>
                <w14:textFill>
                  <w14:solidFill>
                    <w14:schemeClr w14:val="tx1"/>
                  </w14:solidFill>
                </w14:textFill>
              </w:rPr>
              <w:t>事项</w:t>
            </w:r>
            <w:r>
              <w:rPr>
                <w:rFonts w:hint="eastAsia" w:cs="Times New Roman"/>
                <w:color w:val="000000" w:themeColor="text1"/>
                <w:spacing w:val="0"/>
                <w:lang w:val="zh-CN" w:eastAsia="zh-CN"/>
                <w14:textFill>
                  <w14:solidFill>
                    <w14:schemeClr w14:val="tx1"/>
                  </w14:solidFill>
                </w14:textFill>
              </w:rPr>
              <w:t>、</w:t>
            </w:r>
            <w:r>
              <w:rPr>
                <w:rFonts w:cs="Times New Roman"/>
                <w:color w:val="000000" w:themeColor="text1"/>
                <w:spacing w:val="0"/>
                <w:lang w:val="zh-CN" w:eastAsia="zh-CN"/>
                <w14:textFill>
                  <w14:solidFill>
                    <w14:schemeClr w14:val="tx1"/>
                  </w14:solidFill>
                </w14:textFill>
              </w:rPr>
              <w:t>许可准入事项，</w:t>
            </w:r>
            <w:r>
              <w:rPr>
                <w:rFonts w:hint="eastAsia" w:cs="Times New Roman"/>
                <w:color w:val="000000" w:themeColor="text1"/>
                <w:spacing w:val="0"/>
                <w:lang w:val="zh-CN" w:eastAsia="zh-CN"/>
                <w14:textFill>
                  <w14:solidFill>
                    <w14:schemeClr w14:val="tx1"/>
                  </w14:solidFill>
                </w14:textFill>
              </w:rPr>
              <w:t>属于</w:t>
            </w:r>
            <w:r>
              <w:rPr>
                <w:rFonts w:cs="Times New Roman"/>
                <w:color w:val="000000" w:themeColor="text1"/>
                <w:spacing w:val="0"/>
                <w:lang w:val="zh-CN" w:eastAsia="zh-CN"/>
                <w14:textFill>
                  <w14:solidFill>
                    <w14:schemeClr w14:val="tx1"/>
                  </w14:solidFill>
                </w14:textFill>
              </w:rPr>
              <w:t>市场准入负面清单以外</w:t>
            </w:r>
            <w:r>
              <w:rPr>
                <w:rFonts w:hint="eastAsia" w:cs="Times New Roman"/>
                <w:color w:val="000000" w:themeColor="text1"/>
                <w:spacing w:val="0"/>
                <w:lang w:val="zh-CN" w:eastAsia="zh-CN"/>
                <w14:textFill>
                  <w14:solidFill>
                    <w14:schemeClr w14:val="tx1"/>
                  </w14:solidFill>
                </w14:textFill>
              </w:rPr>
              <w:t>行业</w:t>
            </w:r>
            <w:r>
              <w:rPr>
                <w:rFonts w:cs="Times New Roman"/>
                <w:color w:val="000000" w:themeColor="text1"/>
                <w:spacing w:val="0"/>
                <w:lang w:val="zh-CN" w:eastAsia="zh-CN"/>
                <w14:textFill>
                  <w14:solidFill>
                    <w14:schemeClr w14:val="tx1"/>
                  </w14:solidFill>
                </w14:textFill>
              </w:rPr>
              <w:t>，且不涉及与市场准入相关的禁止性规定</w:t>
            </w:r>
            <w:r>
              <w:rPr>
                <w:rFonts w:hint="eastAsia" w:cs="Times New Roman"/>
                <w:color w:val="000000" w:themeColor="text1"/>
                <w:spacing w:val="0"/>
                <w:lang w:eastAsia="zh-CN"/>
                <w14:textFill>
                  <w14:solidFill>
                    <w14:schemeClr w14:val="tx1"/>
                  </w14:solidFill>
                </w14:textFill>
              </w:rPr>
              <w:t>。</w:t>
            </w:r>
          </w:p>
          <w:p w14:paraId="4EA3B4B6">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综上所述，项目与国家及地方产业政策是相符合的。</w:t>
            </w:r>
          </w:p>
          <w:p w14:paraId="6F321929">
            <w:pPr>
              <w:pStyle w:val="36"/>
              <w:spacing w:line="240" w:lineRule="auto"/>
              <w:ind w:firstLine="0" w:firstLineChars="0"/>
              <w:rPr>
                <w:color w:val="000000" w:themeColor="text1"/>
                <w:spacing w:val="0"/>
                <w:lang w:eastAsia="zh-CN"/>
                <w14:textFill>
                  <w14:solidFill>
                    <w14:schemeClr w14:val="tx1"/>
                  </w14:solidFill>
                </w14:textFill>
              </w:rPr>
            </w:pPr>
          </w:p>
          <w:p w14:paraId="04C26D03">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2、《云南省主体功能区规划》符合性分析</w:t>
            </w:r>
          </w:p>
          <w:p w14:paraId="6CC7542E">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对照《云南省主体功能区规划》，项目所在寻甸县属于国家重点开发区域。国家重点开发区域功能定位为：我国面向西南开放重要桥头堡建设的核心区，连接东南亚、南亚国家的陆路交通枢纽，面向东南亚、南亚对外开放的重要门户；全国重要的烟草、旅游、文化、能源和商贸物流基地，以化工、有色冶炼加工、生物为重点的区域性资源深加工基地，承接产业转移基地和外向型特色优势产业基地；我国城市化发展格局中特色鲜明的高原生态宜居城市群；全省跨越发展的引擎，我国西南地区重要的经济增长极。发展方向：建设高原特色农产品生产基地，发展农产品加工业，稳步提高农产品质量和效益，推进与周边国家的农业合作，建设外销精细蔬菜生产基地、温带鲜切花生产基地和高效林业基地。</w:t>
            </w:r>
          </w:p>
          <w:p w14:paraId="31647ACA">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项目在</w:t>
            </w:r>
            <w:r>
              <w:rPr>
                <w:rFonts w:hint="eastAsia" w:cs="微软雅黑"/>
                <w:spacing w:val="0"/>
                <w:szCs w:val="21"/>
                <w:shd w:val="clear" w:color="auto" w:fill="FFFFFF"/>
                <w:lang w:eastAsia="zh-CN"/>
              </w:rPr>
              <w:t>原听牧肉牛屠宰加工基础上，新增一条肉羊屠宰加工生产线，有助于加快寻甸县</w:t>
            </w:r>
            <w:r>
              <w:rPr>
                <w:rFonts w:hint="eastAsia"/>
                <w:bCs/>
                <w:color w:val="000000" w:themeColor="text1"/>
                <w:spacing w:val="0"/>
                <w:szCs w:val="21"/>
                <w:lang w:eastAsia="zh-CN"/>
                <w14:textFill>
                  <w14:solidFill>
                    <w14:schemeClr w14:val="tx1"/>
                  </w14:solidFill>
                </w14:textFill>
              </w:rPr>
              <w:t>建设优质畜禽生产基地和农畜产品精深加工产业的发展，促进寻甸县社会经济的可持续发展，与国家重点开发区域的功能定位和发展方向是一致的。</w:t>
            </w:r>
          </w:p>
          <w:p w14:paraId="2DA26C4F">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综上所述，项目与《云南省主体功能区规划》是相协调的。</w:t>
            </w:r>
          </w:p>
          <w:p w14:paraId="7A41017E">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3、《云南省生态功能区划》符合性分析</w:t>
            </w:r>
          </w:p>
          <w:p w14:paraId="769B22C3">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对照《云南省生态功能区划》，项目所在寻甸县位于</w:t>
            </w:r>
            <w:r>
              <w:rPr>
                <w:rFonts w:cs="Times New Roman" w:asciiTheme="minorEastAsia" w:hAnsiTheme="minorEastAsia" w:eastAsiaTheme="minorEastAsia"/>
                <w:color w:val="000000" w:themeColor="text1"/>
                <w:spacing w:val="0"/>
                <w:lang w:eastAsia="zh-CN"/>
                <w14:textFill>
                  <w14:solidFill>
                    <w14:schemeClr w14:val="tx1"/>
                  </w14:solidFill>
                </w14:textFill>
              </w:rPr>
              <w:t>Ⅲ</w:t>
            </w:r>
            <w:r>
              <w:rPr>
                <w:rFonts w:cs="Times New Roman" w:eastAsiaTheme="minorEastAsia"/>
                <w:color w:val="000000" w:themeColor="text1"/>
                <w:spacing w:val="0"/>
                <w:lang w:eastAsia="zh-CN"/>
                <w14:textFill>
                  <w14:solidFill>
                    <w14:schemeClr w14:val="tx1"/>
                  </w14:solidFill>
                </w14:textFill>
              </w:rPr>
              <w:t>1-9</w:t>
            </w:r>
            <w:r>
              <w:rPr>
                <w:rFonts w:hint="eastAsia" w:cs="Times New Roman" w:eastAsiaTheme="minorEastAsia"/>
                <w:color w:val="000000" w:themeColor="text1"/>
                <w:spacing w:val="0"/>
                <w:lang w:eastAsia="zh-CN"/>
                <w14:textFill>
                  <w14:solidFill>
                    <w14:schemeClr w14:val="tx1"/>
                  </w14:solidFill>
                </w14:textFill>
              </w:rPr>
              <w:t>普渡河干流、小江上游水土保持生态功能区。主要生态环境问题：森林质量较差、水土流失严重。保护措施与发展方向：保护现有植被，加大封山育林的强度，营造水土保护林，严格退耕还林，提高区域的森林数量与质量。</w:t>
            </w:r>
          </w:p>
          <w:p w14:paraId="1BFE0608">
            <w:pPr>
              <w:pStyle w:val="36"/>
              <w:ind w:firstLine="480"/>
              <w:rPr>
                <w:rFonts w:cs="Times New Roman" w:eastAsiaTheme="minorEastAsia"/>
                <w:color w:val="000000" w:themeColor="text1"/>
                <w:spacing w:val="0"/>
                <w:lang w:eastAsia="zh-CN"/>
                <w14:textFill>
                  <w14:solidFill>
                    <w14:schemeClr w14:val="tx1"/>
                  </w14:solidFill>
                </w14:textFill>
              </w:rPr>
            </w:pPr>
            <w:r>
              <w:rPr>
                <w:rFonts w:cs="Times New Roman" w:eastAsiaTheme="minorEastAsia"/>
                <w:color w:val="000000" w:themeColor="text1"/>
                <w:spacing w:val="0"/>
                <w:lang w:eastAsia="zh-CN"/>
                <w14:textFill>
                  <w14:solidFill>
                    <w14:schemeClr w14:val="tx1"/>
                  </w14:solidFill>
                </w14:textFill>
              </w:rPr>
              <w:t>项目</w:t>
            </w:r>
            <w:r>
              <w:rPr>
                <w:rFonts w:hint="eastAsia" w:cs="Times New Roman" w:eastAsiaTheme="minorEastAsia"/>
                <w:color w:val="000000" w:themeColor="text1"/>
                <w:spacing w:val="0"/>
                <w:lang w:eastAsia="zh-CN"/>
                <w14:textFill>
                  <w14:solidFill>
                    <w14:schemeClr w14:val="tx1"/>
                  </w14:solidFill>
                </w14:textFill>
              </w:rPr>
              <w:t>位于原听牧肉牛屠宰加工厂内</w:t>
            </w:r>
            <w:r>
              <w:rPr>
                <w:rFonts w:cs="Times New Roman" w:eastAsiaTheme="minorEastAsia"/>
                <w:color w:val="000000" w:themeColor="text1"/>
                <w:spacing w:val="0"/>
                <w:lang w:eastAsia="zh-CN"/>
                <w14:textFill>
                  <w14:solidFill>
                    <w14:schemeClr w14:val="tx1"/>
                  </w14:solidFill>
                </w14:textFill>
              </w:rPr>
              <w:t>，</w:t>
            </w:r>
            <w:r>
              <w:rPr>
                <w:rFonts w:hint="eastAsia" w:cs="Times New Roman" w:eastAsiaTheme="minorEastAsia"/>
                <w:color w:val="000000" w:themeColor="text1"/>
                <w:spacing w:val="0"/>
                <w:lang w:eastAsia="zh-CN"/>
                <w14:textFill>
                  <w14:solidFill>
                    <w14:schemeClr w14:val="tx1"/>
                  </w14:solidFill>
                </w14:textFill>
              </w:rPr>
              <w:t>用地性质为工业用地，</w:t>
            </w:r>
            <w:r>
              <w:rPr>
                <w:rFonts w:cs="Times New Roman" w:eastAsiaTheme="minorEastAsia"/>
                <w:color w:val="000000" w:themeColor="text1"/>
                <w:spacing w:val="0"/>
                <w:lang w:eastAsia="zh-CN"/>
                <w14:textFill>
                  <w14:solidFill>
                    <w14:schemeClr w14:val="tx1"/>
                  </w14:solidFill>
                </w14:textFill>
              </w:rPr>
              <w:t>无</w:t>
            </w:r>
            <w:r>
              <w:rPr>
                <w:rFonts w:hint="eastAsia" w:cs="Times New Roman" w:eastAsiaTheme="minorEastAsia"/>
                <w:color w:val="000000" w:themeColor="text1"/>
                <w:spacing w:val="0"/>
                <w:lang w:eastAsia="zh-CN"/>
                <w14:textFill>
                  <w14:solidFill>
                    <w14:schemeClr w14:val="tx1"/>
                  </w14:solidFill>
                </w14:textFill>
              </w:rPr>
              <w:t>新增用地，不涉及耕地。项目厂区已进行地面硬化，无森林、原生植被分布。项目建设不会改变厂区现有土地利用类型，不会破坏植被及植物，造成新增水土流失影响，与生态功能区的保护措施与发展方向不冲突。</w:t>
            </w:r>
          </w:p>
          <w:p w14:paraId="3223E627">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综上所述，项目与《云南省生态功能区划》是相协调的。</w:t>
            </w:r>
          </w:p>
          <w:p w14:paraId="02FFFC8B">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4、《昆明市生态环境分区管控动态更新方案（2023年）》符合性分析</w:t>
            </w:r>
          </w:p>
          <w:p w14:paraId="6347CA4B">
            <w:pPr>
              <w:pStyle w:val="36"/>
              <w:ind w:firstLine="480"/>
              <w:rPr>
                <w:color w:val="000000" w:themeColor="text1"/>
                <w:spacing w:val="0"/>
                <w:lang w:eastAsia="zh-CN"/>
                <w14:textFill>
                  <w14:solidFill>
                    <w14:schemeClr w14:val="tx1"/>
                  </w14:solidFill>
                </w14:textFill>
              </w:rPr>
            </w:pPr>
            <w:r>
              <w:rPr>
                <w:rFonts w:hint="eastAsia"/>
                <w:color w:val="000000" w:themeColor="text1"/>
                <w:spacing w:val="0"/>
                <w:shd w:val="clear" w:color="auto" w:fill="FFFFFF"/>
                <w:lang w:eastAsia="zh-CN"/>
                <w14:textFill>
                  <w14:solidFill>
                    <w14:schemeClr w14:val="tx1"/>
                  </w14:solidFill>
                </w14:textFill>
              </w:rPr>
              <w:t>项目与《昆明市生态环境分区管控动态更新方案（2023年）》符合性分析见表1-2、表1-3、表1-4</w:t>
            </w:r>
            <w:r>
              <w:rPr>
                <w:rFonts w:hint="eastAsia"/>
                <w:color w:val="000000" w:themeColor="text1"/>
                <w:spacing w:val="0"/>
                <w:lang w:eastAsia="zh-CN"/>
                <w14:textFill>
                  <w14:solidFill>
                    <w14:schemeClr w14:val="tx1"/>
                  </w14:solidFill>
                </w14:textFill>
              </w:rPr>
              <w:t>。</w:t>
            </w:r>
          </w:p>
          <w:p w14:paraId="0BBF86CB">
            <w:pPr>
              <w:pStyle w:val="36"/>
              <w:spacing w:line="240" w:lineRule="auto"/>
              <w:ind w:firstLine="0" w:firstLineChars="0"/>
              <w:jc w:val="center"/>
              <w:rPr>
                <w:rFonts w:cs="Times New Roman"/>
                <w:b/>
                <w:bCs/>
                <w:color w:val="000000" w:themeColor="text1"/>
                <w:spacing w:val="0"/>
                <w:sz w:val="21"/>
                <w:lang w:eastAsia="zh-CN"/>
                <w14:textFill>
                  <w14:solidFill>
                    <w14:schemeClr w14:val="tx1"/>
                  </w14:solidFill>
                </w14:textFill>
              </w:rPr>
            </w:pPr>
            <w:r>
              <w:rPr>
                <w:rFonts w:hint="eastAsia" w:cs="Times New Roman"/>
                <w:b/>
                <w:bCs/>
                <w:color w:val="000000" w:themeColor="text1"/>
                <w:spacing w:val="0"/>
                <w:sz w:val="21"/>
                <w:lang w:eastAsia="zh-CN"/>
                <w14:textFill>
                  <w14:solidFill>
                    <w14:schemeClr w14:val="tx1"/>
                  </w14:solidFill>
                </w14:textFill>
              </w:rPr>
              <w:t>表1-2 项目“三线”符合性分析</w:t>
            </w:r>
          </w:p>
          <w:tbl>
            <w:tblPr>
              <w:tblStyle w:val="23"/>
              <w:tblW w:w="7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74"/>
              <w:gridCol w:w="3026"/>
              <w:gridCol w:w="2411"/>
              <w:gridCol w:w="966"/>
            </w:tblGrid>
            <w:tr w14:paraId="68FB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30" w:type="pct"/>
                  <w:gridSpan w:val="2"/>
                  <w:vAlign w:val="center"/>
                </w:tcPr>
                <w:p w14:paraId="4DA2C847">
                  <w:pPr>
                    <w:pStyle w:val="36"/>
                    <w:spacing w:line="240" w:lineRule="auto"/>
                    <w:ind w:firstLine="0" w:firstLineChars="0"/>
                    <w:jc w:val="center"/>
                    <w:rPr>
                      <w:b/>
                      <w:bCs/>
                      <w:color w:val="000000" w:themeColor="text1"/>
                      <w:spacing w:val="0"/>
                      <w:sz w:val="21"/>
                      <w:szCs w:val="21"/>
                      <w:lang w:eastAsia="zh-CN"/>
                      <w14:textFill>
                        <w14:solidFill>
                          <w14:schemeClr w14:val="tx1"/>
                        </w14:solidFill>
                      </w14:textFill>
                    </w:rPr>
                  </w:pPr>
                  <w:r>
                    <w:rPr>
                      <w:rFonts w:hint="eastAsia"/>
                      <w:b/>
                      <w:bCs/>
                      <w:color w:val="000000" w:themeColor="text1"/>
                      <w:spacing w:val="0"/>
                      <w:sz w:val="21"/>
                      <w:szCs w:val="21"/>
                      <w:lang w:eastAsia="zh-CN"/>
                      <w14:textFill>
                        <w14:solidFill>
                          <w14:schemeClr w14:val="tx1"/>
                        </w14:solidFill>
                      </w14:textFill>
                    </w:rPr>
                    <w:t>类别</w:t>
                  </w:r>
                </w:p>
              </w:tc>
              <w:tc>
                <w:tcPr>
                  <w:tcW w:w="1971" w:type="pct"/>
                  <w:vAlign w:val="center"/>
                </w:tcPr>
                <w:p w14:paraId="78EA1DE9">
                  <w:pPr>
                    <w:pStyle w:val="36"/>
                    <w:spacing w:line="240" w:lineRule="auto"/>
                    <w:ind w:firstLine="0" w:firstLineChars="0"/>
                    <w:jc w:val="center"/>
                    <w:rPr>
                      <w:b/>
                      <w:bCs/>
                      <w:color w:val="000000" w:themeColor="text1"/>
                      <w:spacing w:val="0"/>
                      <w:sz w:val="21"/>
                      <w:szCs w:val="21"/>
                      <w:lang w:eastAsia="zh-CN"/>
                      <w14:textFill>
                        <w14:solidFill>
                          <w14:schemeClr w14:val="tx1"/>
                        </w14:solidFill>
                      </w14:textFill>
                    </w:rPr>
                  </w:pPr>
                  <w:r>
                    <w:rPr>
                      <w:rFonts w:hint="eastAsia"/>
                      <w:b/>
                      <w:bCs/>
                      <w:color w:val="000000" w:themeColor="text1"/>
                      <w:spacing w:val="0"/>
                      <w:sz w:val="21"/>
                      <w:szCs w:val="21"/>
                      <w:lang w:eastAsia="zh-CN"/>
                      <w14:textFill>
                        <w14:solidFill>
                          <w14:schemeClr w14:val="tx1"/>
                        </w14:solidFill>
                      </w14:textFill>
                    </w:rPr>
                    <w:t>内容要求</w:t>
                  </w:r>
                </w:p>
              </w:tc>
              <w:tc>
                <w:tcPr>
                  <w:tcW w:w="1570" w:type="pct"/>
                  <w:vAlign w:val="center"/>
                </w:tcPr>
                <w:p w14:paraId="488A76D8">
                  <w:pPr>
                    <w:pStyle w:val="36"/>
                    <w:spacing w:line="240" w:lineRule="auto"/>
                    <w:ind w:firstLine="0" w:firstLineChars="0"/>
                    <w:jc w:val="center"/>
                    <w:rPr>
                      <w:b/>
                      <w:bCs/>
                      <w:color w:val="000000" w:themeColor="text1"/>
                      <w:spacing w:val="0"/>
                      <w:sz w:val="21"/>
                      <w:szCs w:val="21"/>
                      <w:lang w:eastAsia="zh-CN"/>
                      <w14:textFill>
                        <w14:solidFill>
                          <w14:schemeClr w14:val="tx1"/>
                        </w14:solidFill>
                      </w14:textFill>
                    </w:rPr>
                  </w:pPr>
                  <w:r>
                    <w:rPr>
                      <w:rFonts w:hint="eastAsia"/>
                      <w:b/>
                      <w:bCs/>
                      <w:color w:val="000000" w:themeColor="text1"/>
                      <w:spacing w:val="0"/>
                      <w:sz w:val="21"/>
                      <w:szCs w:val="21"/>
                      <w:lang w:eastAsia="zh-CN"/>
                      <w14:textFill>
                        <w14:solidFill>
                          <w14:schemeClr w14:val="tx1"/>
                        </w14:solidFill>
                      </w14:textFill>
                    </w:rPr>
                    <w:t>项目情况</w:t>
                  </w:r>
                </w:p>
              </w:tc>
              <w:tc>
                <w:tcPr>
                  <w:tcW w:w="630" w:type="pct"/>
                  <w:vAlign w:val="center"/>
                </w:tcPr>
                <w:p w14:paraId="02FE1869">
                  <w:pPr>
                    <w:pStyle w:val="36"/>
                    <w:spacing w:line="240" w:lineRule="auto"/>
                    <w:ind w:firstLine="0" w:firstLineChars="0"/>
                    <w:jc w:val="center"/>
                    <w:rPr>
                      <w:b/>
                      <w:bCs/>
                      <w:color w:val="000000" w:themeColor="text1"/>
                      <w:spacing w:val="0"/>
                      <w:sz w:val="21"/>
                      <w:szCs w:val="21"/>
                      <w:lang w:eastAsia="zh-CN"/>
                      <w14:textFill>
                        <w14:solidFill>
                          <w14:schemeClr w14:val="tx1"/>
                        </w14:solidFill>
                      </w14:textFill>
                    </w:rPr>
                  </w:pPr>
                  <w:r>
                    <w:rPr>
                      <w:rFonts w:hint="eastAsia"/>
                      <w:b/>
                      <w:bCs/>
                      <w:color w:val="000000" w:themeColor="text1"/>
                      <w:spacing w:val="0"/>
                      <w:sz w:val="21"/>
                      <w:szCs w:val="21"/>
                      <w:lang w:eastAsia="zh-CN"/>
                      <w14:textFill>
                        <w14:solidFill>
                          <w14:schemeClr w14:val="tx1"/>
                        </w14:solidFill>
                      </w14:textFill>
                    </w:rPr>
                    <w:t>符合性</w:t>
                  </w:r>
                </w:p>
              </w:tc>
            </w:tr>
            <w:tr w14:paraId="5E97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30" w:type="pct"/>
                  <w:gridSpan w:val="2"/>
                  <w:vAlign w:val="center"/>
                </w:tcPr>
                <w:p w14:paraId="0570F8D9">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生态保护红线和一般生态空间</w:t>
                  </w:r>
                </w:p>
              </w:tc>
              <w:tc>
                <w:tcPr>
                  <w:tcW w:w="1971" w:type="pct"/>
                  <w:vAlign w:val="center"/>
                </w:tcPr>
                <w:p w14:paraId="5A073FD3">
                  <w:pPr>
                    <w:pStyle w:val="36"/>
                    <w:spacing w:line="240" w:lineRule="auto"/>
                    <w:ind w:firstLine="0" w:firstLineChars="0"/>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val="zh-CN" w:eastAsia="zh-CN"/>
                      <w14:textFill>
                        <w14:solidFill>
                          <w14:schemeClr w14:val="tx1"/>
                        </w14:solidFill>
                      </w14:textFill>
                    </w:rPr>
                    <w:t>执行云南省人民政府发布的《云南省生态保护红线》，全市生态保护红线总面积为4662.53km</w:t>
                  </w:r>
                  <w:r>
                    <w:rPr>
                      <w:rFonts w:hint="eastAsia"/>
                      <w:color w:val="000000" w:themeColor="text1"/>
                      <w:spacing w:val="0"/>
                      <w:sz w:val="21"/>
                      <w:szCs w:val="21"/>
                      <w:vertAlign w:val="superscript"/>
                      <w:lang w:val="zh-CN" w:eastAsia="zh-CN"/>
                      <w14:textFill>
                        <w14:solidFill>
                          <w14:schemeClr w14:val="tx1"/>
                        </w14:solidFill>
                      </w14:textFill>
                    </w:rPr>
                    <w:t>2</w:t>
                  </w:r>
                  <w:r>
                    <w:rPr>
                      <w:rFonts w:hint="eastAsia"/>
                      <w:color w:val="000000" w:themeColor="text1"/>
                      <w:spacing w:val="0"/>
                      <w:sz w:val="21"/>
                      <w:szCs w:val="21"/>
                      <w:lang w:val="zh-CN" w:eastAsia="zh-CN"/>
                      <w14:textFill>
                        <w14:solidFill>
                          <w14:schemeClr w14:val="tx1"/>
                        </w14:solidFill>
                      </w14:textFill>
                    </w:rPr>
                    <w:t>，占全市国土面积的</w:t>
                  </w:r>
                  <w:r>
                    <w:rPr>
                      <w:rFonts w:hint="eastAsia"/>
                      <w:color w:val="000000" w:themeColor="text1"/>
                      <w:spacing w:val="0"/>
                      <w:sz w:val="21"/>
                      <w:szCs w:val="21"/>
                      <w:lang w:eastAsia="zh-CN"/>
                      <w14:textFill>
                        <w14:solidFill>
                          <w14:schemeClr w14:val="tx1"/>
                        </w14:solidFill>
                      </w14:textFill>
                    </w:rPr>
                    <w:t>2</w:t>
                  </w:r>
                  <w:r>
                    <w:rPr>
                      <w:rFonts w:hint="eastAsia"/>
                      <w:color w:val="000000" w:themeColor="text1"/>
                      <w:spacing w:val="0"/>
                      <w:sz w:val="21"/>
                      <w:szCs w:val="21"/>
                      <w:lang w:val="zh-CN" w:eastAsia="zh-CN"/>
                      <w14:textFill>
                        <w14:solidFill>
                          <w14:schemeClr w14:val="tx1"/>
                        </w14:solidFill>
                      </w14:textFill>
                    </w:rPr>
                    <w:t>2.19%。生态保护红线区按照国家和云南省颁布的生态保护红线有关管控政策办法执行，</w:t>
                  </w:r>
                  <w:r>
                    <w:rPr>
                      <w:rFonts w:hint="eastAsia"/>
                      <w:color w:val="000000" w:themeColor="text1"/>
                      <w:spacing w:val="0"/>
                      <w:sz w:val="21"/>
                      <w:szCs w:val="21"/>
                      <w:lang w:eastAsia="zh-CN"/>
                      <w14:textFill>
                        <w14:solidFill>
                          <w14:schemeClr w14:val="tx1"/>
                        </w14:solidFill>
                      </w14:textFill>
                    </w:rPr>
                    <w:t>原则上按禁止开发区域的要求进行管理，严禁不符合主体功能定位的各类开发活动，严禁任意改变用途，确保生态保护红线生态功能不降低、面积不减少、性质不改变。</w:t>
                  </w:r>
                  <w:r>
                    <w:rPr>
                      <w:rFonts w:hint="eastAsia"/>
                      <w:color w:val="000000" w:themeColor="text1"/>
                      <w:spacing w:val="0"/>
                      <w:sz w:val="21"/>
                      <w:szCs w:val="21"/>
                      <w:lang w:val="zh-CN" w:eastAsia="zh-CN"/>
                      <w14:textFill>
                        <w14:solidFill>
                          <w14:schemeClr w14:val="tx1"/>
                        </w14:solidFill>
                      </w14:textFill>
                    </w:rPr>
                    <w:t>立足已形成的生态保护红线划定工作成果，遵循生态优先原则，将未划入生态保护红线的自然保护地、饮用水水源保护区、重要湿地、基本草原、生态公益林、天然林等生态功能重要、生态环境敏感区域划为一般生态空间。全市一般生态空间面积为 4606.43km</w:t>
                  </w:r>
                  <w:r>
                    <w:rPr>
                      <w:rFonts w:hint="eastAsia"/>
                      <w:color w:val="000000" w:themeColor="text1"/>
                      <w:spacing w:val="0"/>
                      <w:sz w:val="21"/>
                      <w:szCs w:val="21"/>
                      <w:vertAlign w:val="superscript"/>
                      <w:lang w:val="zh-CN" w:eastAsia="zh-CN"/>
                      <w14:textFill>
                        <w14:solidFill>
                          <w14:schemeClr w14:val="tx1"/>
                        </w14:solidFill>
                      </w14:textFill>
                    </w:rPr>
                    <w:t>2</w:t>
                  </w:r>
                  <w:r>
                    <w:rPr>
                      <w:rFonts w:hint="eastAsia"/>
                      <w:color w:val="000000" w:themeColor="text1"/>
                      <w:spacing w:val="0"/>
                      <w:sz w:val="21"/>
                      <w:szCs w:val="21"/>
                      <w:lang w:val="zh-CN" w:eastAsia="zh-CN"/>
                      <w14:textFill>
                        <w14:solidFill>
                          <w14:schemeClr w14:val="tx1"/>
                        </w14:solidFill>
                      </w14:textFill>
                    </w:rPr>
                    <w:t>，占全市国土面积的 21.92%。</w:t>
                  </w:r>
                </w:p>
              </w:tc>
              <w:tc>
                <w:tcPr>
                  <w:tcW w:w="1570" w:type="pct"/>
                  <w:vAlign w:val="center"/>
                </w:tcPr>
                <w:p w14:paraId="632854D2">
                  <w:pPr>
                    <w:pStyle w:val="36"/>
                    <w:spacing w:line="240" w:lineRule="auto"/>
                    <w:ind w:firstLine="0" w:firstLineChars="0"/>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val="zh-CN" w:eastAsia="zh-CN"/>
                      <w14:textFill>
                        <w14:solidFill>
                          <w14:schemeClr w14:val="tx1"/>
                        </w14:solidFill>
                      </w14:textFill>
                    </w:rPr>
                    <w:t>项目位于昆明市寻甸县羊街镇，原听牧肉牛屠宰加工厂内，无新增用地，不涉及生态保护红线、自然保护地、饮用水水源保护区、重要湿地、基本草原、生态公益林、天然林等生态及环境敏感区。</w:t>
                  </w:r>
                </w:p>
              </w:tc>
              <w:tc>
                <w:tcPr>
                  <w:tcW w:w="630" w:type="pct"/>
                  <w:vAlign w:val="center"/>
                </w:tcPr>
                <w:p w14:paraId="1D4AEDF5">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符合</w:t>
                  </w:r>
                </w:p>
              </w:tc>
            </w:tr>
            <w:tr w14:paraId="7A2B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26" w:type="pct"/>
                  <w:vMerge w:val="restart"/>
                  <w:vAlign w:val="center"/>
                </w:tcPr>
                <w:p w14:paraId="78C39303">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环境质量底线</w:t>
                  </w:r>
                </w:p>
              </w:tc>
              <w:tc>
                <w:tcPr>
                  <w:tcW w:w="504" w:type="pct"/>
                  <w:vAlign w:val="center"/>
                </w:tcPr>
                <w:p w14:paraId="01EBD2BB">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水环境质量底线</w:t>
                  </w:r>
                </w:p>
              </w:tc>
              <w:tc>
                <w:tcPr>
                  <w:tcW w:w="1971" w:type="pct"/>
                  <w:vAlign w:val="center"/>
                </w:tcPr>
                <w:p w14:paraId="4EFFEE21">
                  <w:pPr>
                    <w:pStyle w:val="36"/>
                    <w:spacing w:line="240" w:lineRule="auto"/>
                    <w:ind w:firstLine="0" w:firstLineChars="0"/>
                    <w:rPr>
                      <w:color w:val="000000" w:themeColor="text1"/>
                      <w:spacing w:val="0"/>
                      <w:sz w:val="21"/>
                      <w:szCs w:val="21"/>
                      <w:lang w:eastAsia="zh-CN"/>
                      <w14:textFill>
                        <w14:solidFill>
                          <w14:schemeClr w14:val="tx1"/>
                        </w14:solidFill>
                      </w14:textFill>
                    </w:rPr>
                  </w:pPr>
                  <w:r>
                    <w:rPr>
                      <w:color w:val="000000" w:themeColor="text1"/>
                      <w:spacing w:val="0"/>
                      <w:sz w:val="21"/>
                      <w:szCs w:val="21"/>
                      <w:lang w:val="zh-CN" w:eastAsia="zh-CN"/>
                      <w14:textFill>
                        <w14:solidFill>
                          <w14:schemeClr w14:val="tx1"/>
                        </w14:solidFill>
                      </w14:textFill>
                    </w:rPr>
                    <w:t>到2025年，全</w:t>
                  </w:r>
                  <w:r>
                    <w:rPr>
                      <w:rFonts w:hint="eastAsia"/>
                      <w:color w:val="000000" w:themeColor="text1"/>
                      <w:spacing w:val="0"/>
                      <w:sz w:val="21"/>
                      <w:szCs w:val="21"/>
                      <w:lang w:eastAsia="zh-CN"/>
                      <w14:textFill>
                        <w14:solidFill>
                          <w14:schemeClr w14:val="tx1"/>
                        </w14:solidFill>
                      </w14:textFill>
                    </w:rPr>
                    <w:t>市</w:t>
                  </w:r>
                  <w:r>
                    <w:rPr>
                      <w:color w:val="000000" w:themeColor="text1"/>
                      <w:spacing w:val="0"/>
                      <w:sz w:val="21"/>
                      <w:szCs w:val="21"/>
                      <w:lang w:val="zh-CN" w:eastAsia="zh-CN"/>
                      <w14:textFill>
                        <w14:solidFill>
                          <w14:schemeClr w14:val="tx1"/>
                        </w14:solidFill>
                      </w14:textFill>
                    </w:rPr>
                    <w:t>水环境质量总体改善，纳入国家和省级考核的地表水监测断面水质优良率稳步提升，滇池流域、阳宗海流域水环境质量明显改善，水生态系统功能逐步恢复，滇池草海水质达</w:t>
                  </w:r>
                  <w:r>
                    <w:rPr>
                      <w:rFonts w:asciiTheme="minorEastAsia" w:hAnsiTheme="minorEastAsia" w:eastAsiaTheme="minorEastAsia"/>
                      <w:color w:val="000000" w:themeColor="text1"/>
                      <w:spacing w:val="0"/>
                      <w:sz w:val="21"/>
                      <w:szCs w:val="21"/>
                      <w:lang w:val="zh-CN" w:eastAsia="zh-CN"/>
                      <w14:textFill>
                        <w14:solidFill>
                          <w14:schemeClr w14:val="tx1"/>
                        </w14:solidFill>
                      </w14:textFill>
                    </w:rPr>
                    <w:t>Ⅳ</w:t>
                  </w:r>
                  <w:r>
                    <w:rPr>
                      <w:color w:val="000000" w:themeColor="text1"/>
                      <w:spacing w:val="0"/>
                      <w:sz w:val="21"/>
                      <w:szCs w:val="21"/>
                      <w:lang w:val="zh-CN" w:eastAsia="zh-CN"/>
                      <w14:textFill>
                        <w14:solidFill>
                          <w14:schemeClr w14:val="tx1"/>
                        </w14:solidFill>
                      </w14:textFill>
                    </w:rPr>
                    <w:t>类，滇池外海水质达</w:t>
                  </w:r>
                  <w:r>
                    <w:rPr>
                      <w:rFonts w:ascii="宋体" w:hAnsi="宋体"/>
                      <w:color w:val="000000" w:themeColor="text1"/>
                      <w:spacing w:val="0"/>
                      <w:sz w:val="21"/>
                      <w:szCs w:val="21"/>
                      <w:lang w:val="zh-CN" w:eastAsia="zh-CN"/>
                      <w14:textFill>
                        <w14:solidFill>
                          <w14:schemeClr w14:val="tx1"/>
                        </w14:solidFill>
                      </w14:textFill>
                    </w:rPr>
                    <w:t>Ⅳ</w:t>
                  </w:r>
                  <w:r>
                    <w:rPr>
                      <w:color w:val="000000" w:themeColor="text1"/>
                      <w:spacing w:val="0"/>
                      <w:sz w:val="21"/>
                      <w:szCs w:val="21"/>
                      <w:lang w:val="zh-CN" w:eastAsia="zh-CN"/>
                      <w14:textFill>
                        <w14:solidFill>
                          <w14:schemeClr w14:val="tx1"/>
                        </w14:solidFill>
                      </w14:textFill>
                    </w:rPr>
                    <w:t>类，阳宗海水质达</w:t>
                  </w:r>
                  <w:r>
                    <w:rPr>
                      <w:rFonts w:ascii="宋体" w:hAnsi="宋体"/>
                      <w:color w:val="000000" w:themeColor="text1"/>
                      <w:spacing w:val="0"/>
                      <w:sz w:val="21"/>
                      <w:szCs w:val="21"/>
                      <w:lang w:val="zh-CN" w:eastAsia="zh-CN"/>
                      <w14:textFill>
                        <w14:solidFill>
                          <w14:schemeClr w14:val="tx1"/>
                        </w14:solidFill>
                      </w14:textFill>
                    </w:rPr>
                    <w:t>Ⅲ</w:t>
                  </w:r>
                  <w:r>
                    <w:rPr>
                      <w:color w:val="000000" w:themeColor="text1"/>
                      <w:spacing w:val="0"/>
                      <w:sz w:val="21"/>
                      <w:szCs w:val="21"/>
                      <w:lang w:val="zh-CN" w:eastAsia="zh-CN"/>
                      <w14:textFill>
                        <w14:solidFill>
                          <w14:schemeClr w14:val="tx1"/>
                        </w14:solidFill>
                      </w14:textFill>
                    </w:rPr>
                    <w:t>类，集中式饮用水源水质巩固改善。到2035年，地表水体水质优良率全面提升，各监测断面水质达到水环境功能要求，消除劣</w:t>
                  </w:r>
                  <w:r>
                    <w:rPr>
                      <w:rFonts w:ascii="宋体" w:hAnsi="宋体"/>
                      <w:color w:val="000000" w:themeColor="text1"/>
                      <w:spacing w:val="0"/>
                      <w:sz w:val="21"/>
                      <w:szCs w:val="21"/>
                      <w:lang w:val="zh-CN" w:eastAsia="zh-CN"/>
                      <w14:textFill>
                        <w14:solidFill>
                          <w14:schemeClr w14:val="tx1"/>
                        </w14:solidFill>
                      </w14:textFill>
                    </w:rPr>
                    <w:t>Ⅴ</w:t>
                  </w:r>
                  <w:r>
                    <w:rPr>
                      <w:color w:val="000000" w:themeColor="text1"/>
                      <w:spacing w:val="0"/>
                      <w:sz w:val="21"/>
                      <w:szCs w:val="21"/>
                      <w:lang w:val="zh-CN" w:eastAsia="zh-CN"/>
                      <w14:textFill>
                        <w14:solidFill>
                          <w14:schemeClr w14:val="tx1"/>
                        </w14:solidFill>
                      </w14:textFill>
                    </w:rPr>
                    <w:t>类水体，集中式饮用水水源水质稳定达标。</w:t>
                  </w:r>
                </w:p>
              </w:tc>
              <w:tc>
                <w:tcPr>
                  <w:tcW w:w="1570" w:type="pct"/>
                  <w:vAlign w:val="center"/>
                </w:tcPr>
                <w:p w14:paraId="1470C717">
                  <w:pPr>
                    <w:pStyle w:val="36"/>
                    <w:spacing w:line="240" w:lineRule="auto"/>
                    <w:ind w:firstLine="0" w:firstLineChars="0"/>
                    <w:rPr>
                      <w:color w:val="000000" w:themeColor="text1"/>
                      <w:spacing w:val="0"/>
                      <w:sz w:val="21"/>
                      <w:szCs w:val="21"/>
                      <w:lang w:val="zh-CN"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项目区地表水体果马河规划水平年水功能区水质目标为</w:t>
                  </w:r>
                  <w:r>
                    <w:rPr>
                      <w:rFonts w:ascii="宋体" w:hAnsi="宋体" w:cs="Times New Roman"/>
                      <w:color w:val="000000" w:themeColor="text1"/>
                      <w:spacing w:val="0"/>
                      <w:sz w:val="21"/>
                      <w:szCs w:val="21"/>
                      <w:lang w:eastAsia="zh-CN"/>
                      <w14:textFill>
                        <w14:solidFill>
                          <w14:schemeClr w14:val="tx1"/>
                        </w14:solidFill>
                      </w14:textFill>
                    </w:rPr>
                    <w:t>Ⅲ</w:t>
                  </w:r>
                  <w:r>
                    <w:rPr>
                      <w:rFonts w:hint="eastAsia"/>
                      <w:color w:val="000000" w:themeColor="text1"/>
                      <w:spacing w:val="0"/>
                      <w:sz w:val="21"/>
                      <w:szCs w:val="21"/>
                      <w:lang w:eastAsia="zh-CN"/>
                      <w14:textFill>
                        <w14:solidFill>
                          <w14:schemeClr w14:val="tx1"/>
                        </w14:solidFill>
                      </w14:textFill>
                    </w:rPr>
                    <w:t>类。</w:t>
                  </w:r>
                  <w:r>
                    <w:rPr>
                      <w:rFonts w:hint="eastAsia"/>
                      <w:color w:val="000000" w:themeColor="text1"/>
                      <w:spacing w:val="0"/>
                      <w:sz w:val="21"/>
                      <w:szCs w:val="21"/>
                      <w:lang w:val="zh-CN" w:eastAsia="zh-CN"/>
                      <w14:textFill>
                        <w14:solidFill>
                          <w14:schemeClr w14:val="tx1"/>
                        </w14:solidFill>
                      </w14:textFill>
                    </w:rPr>
                    <w:t>根据《寻甸县2026年第一季度环境质量公报》，</w:t>
                  </w:r>
                  <w:r>
                    <w:rPr>
                      <w:rFonts w:hint="eastAsia"/>
                      <w:color w:val="000000" w:themeColor="text1"/>
                      <w:spacing w:val="0"/>
                      <w:sz w:val="21"/>
                      <w:szCs w:val="21"/>
                      <w:lang w:eastAsia="zh-CN"/>
                      <w14:textFill>
                        <w14:solidFill>
                          <w14:schemeClr w14:val="tx1"/>
                        </w14:solidFill>
                      </w14:textFill>
                    </w:rPr>
                    <w:t>果马河李家坝断面水质类别满足水质目标</w:t>
                  </w:r>
                  <w:r>
                    <w:rPr>
                      <w:rFonts w:ascii="宋体" w:hAnsi="宋体" w:cs="Times New Roman"/>
                      <w:color w:val="000000" w:themeColor="text1"/>
                      <w:spacing w:val="0"/>
                      <w:sz w:val="21"/>
                      <w:szCs w:val="21"/>
                      <w:lang w:eastAsia="zh-CN"/>
                      <w14:textFill>
                        <w14:solidFill>
                          <w14:schemeClr w14:val="tx1"/>
                        </w14:solidFill>
                      </w14:textFill>
                    </w:rPr>
                    <w:t>Ⅲ</w:t>
                  </w:r>
                  <w:r>
                    <w:rPr>
                      <w:rFonts w:hint="eastAsia"/>
                      <w:color w:val="000000" w:themeColor="text1"/>
                      <w:spacing w:val="0"/>
                      <w:sz w:val="21"/>
                      <w:szCs w:val="21"/>
                      <w:lang w:eastAsia="zh-CN"/>
                      <w14:textFill>
                        <w14:solidFill>
                          <w14:schemeClr w14:val="tx1"/>
                        </w14:solidFill>
                      </w14:textFill>
                    </w:rPr>
                    <w:t>类要求。</w:t>
                  </w:r>
                </w:p>
                <w:p w14:paraId="4B5F498C">
                  <w:pPr>
                    <w:pStyle w:val="36"/>
                    <w:spacing w:line="240" w:lineRule="auto"/>
                    <w:ind w:firstLine="0" w:firstLineChars="0"/>
                    <w:rPr>
                      <w:color w:val="FF0000"/>
                      <w:spacing w:val="0"/>
                      <w:sz w:val="21"/>
                      <w:szCs w:val="21"/>
                      <w:lang w:eastAsia="zh-CN"/>
                    </w:rPr>
                  </w:pPr>
                  <w:r>
                    <w:rPr>
                      <w:rFonts w:hint="eastAsia"/>
                      <w:color w:val="000000" w:themeColor="text1"/>
                      <w:spacing w:val="0"/>
                      <w:sz w:val="21"/>
                      <w:szCs w:val="21"/>
                      <w:lang w:eastAsia="zh-CN"/>
                      <w14:textFill>
                        <w14:solidFill>
                          <w14:schemeClr w14:val="tx1"/>
                        </w14:solidFill>
                      </w14:textFill>
                    </w:rPr>
                    <w:t>项目生产废水依托厂区现有生产废水处理站处理达标后用于厂区绿化、洒水降尘。</w:t>
                  </w:r>
                  <w:r>
                    <w:rPr>
                      <w:rFonts w:hint="eastAsia"/>
                      <w:spacing w:val="0"/>
                      <w:sz w:val="21"/>
                      <w:szCs w:val="21"/>
                      <w:lang w:eastAsia="zh-CN"/>
                    </w:rPr>
                    <w:t>生活污水经隔油池、化粪池预处理后接入市政污水管网，最终进入羊街镇污水处理站处理。</w:t>
                  </w:r>
                </w:p>
              </w:tc>
              <w:tc>
                <w:tcPr>
                  <w:tcW w:w="630" w:type="pct"/>
                  <w:vAlign w:val="center"/>
                </w:tcPr>
                <w:p w14:paraId="21955D5F">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符合</w:t>
                  </w:r>
                </w:p>
              </w:tc>
            </w:tr>
            <w:tr w14:paraId="2E17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26" w:type="pct"/>
                  <w:vMerge w:val="continue"/>
                  <w:vAlign w:val="center"/>
                </w:tcPr>
                <w:p w14:paraId="7E58660E">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p>
              </w:tc>
              <w:tc>
                <w:tcPr>
                  <w:tcW w:w="504" w:type="pct"/>
                  <w:vAlign w:val="center"/>
                </w:tcPr>
                <w:p w14:paraId="20502E2F">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大气环境质量底线</w:t>
                  </w:r>
                </w:p>
              </w:tc>
              <w:tc>
                <w:tcPr>
                  <w:tcW w:w="1971" w:type="pct"/>
                  <w:vAlign w:val="center"/>
                </w:tcPr>
                <w:p w14:paraId="3F0887BB">
                  <w:pPr>
                    <w:pStyle w:val="36"/>
                    <w:spacing w:line="240" w:lineRule="auto"/>
                    <w:ind w:firstLine="0" w:firstLineChars="0"/>
                    <w:rPr>
                      <w:color w:val="000000" w:themeColor="text1"/>
                      <w:spacing w:val="0"/>
                      <w:sz w:val="21"/>
                      <w:szCs w:val="21"/>
                      <w:lang w:eastAsia="zh-CN"/>
                      <w14:textFill>
                        <w14:solidFill>
                          <w14:schemeClr w14:val="tx1"/>
                        </w14:solidFill>
                      </w14:textFill>
                    </w:rPr>
                  </w:pPr>
                  <w:r>
                    <w:rPr>
                      <w:color w:val="000000" w:themeColor="text1"/>
                      <w:spacing w:val="0"/>
                      <w:sz w:val="21"/>
                      <w:szCs w:val="21"/>
                      <w:lang w:val="zh-CN" w:eastAsia="zh-CN"/>
                      <w14:textFill>
                        <w14:solidFill>
                          <w14:schemeClr w14:val="tx1"/>
                        </w14:solidFill>
                      </w14:textFill>
                    </w:rPr>
                    <w:t>到2025年，全市环境空气质量总体保持优良，主城建成区空气质量优良天数占比达99%以上，SO</w:t>
                  </w:r>
                  <w:r>
                    <w:rPr>
                      <w:color w:val="000000" w:themeColor="text1"/>
                      <w:spacing w:val="0"/>
                      <w:sz w:val="21"/>
                      <w:szCs w:val="21"/>
                      <w:vertAlign w:val="subscript"/>
                      <w:lang w:val="zh-CN" w:eastAsia="zh-CN"/>
                      <w14:textFill>
                        <w14:solidFill>
                          <w14:schemeClr w14:val="tx1"/>
                        </w14:solidFill>
                      </w14:textFill>
                    </w:rPr>
                    <w:t>2</w:t>
                  </w:r>
                  <w:r>
                    <w:rPr>
                      <w:color w:val="000000" w:themeColor="text1"/>
                      <w:spacing w:val="0"/>
                      <w:sz w:val="21"/>
                      <w:szCs w:val="21"/>
                      <w:lang w:val="zh-CN" w:eastAsia="zh-CN"/>
                      <w14:textFill>
                        <w14:solidFill>
                          <w14:schemeClr w14:val="tx1"/>
                        </w14:solidFill>
                      </w14:textFill>
                    </w:rPr>
                    <w:t>和NO</w:t>
                  </w:r>
                  <w:r>
                    <w:rPr>
                      <w:color w:val="000000" w:themeColor="text1"/>
                      <w:spacing w:val="0"/>
                      <w:sz w:val="21"/>
                      <w:szCs w:val="21"/>
                      <w:vertAlign w:val="subscript"/>
                      <w:lang w:val="zh-CN" w:eastAsia="zh-CN"/>
                      <w14:textFill>
                        <w14:solidFill>
                          <w14:schemeClr w14:val="tx1"/>
                        </w14:solidFill>
                      </w14:textFill>
                    </w:rPr>
                    <w:t>X</w:t>
                  </w:r>
                  <w:r>
                    <w:rPr>
                      <w:color w:val="000000" w:themeColor="text1"/>
                      <w:spacing w:val="0"/>
                      <w:sz w:val="21"/>
                      <w:szCs w:val="21"/>
                      <w:lang w:val="zh-CN" w:eastAsia="zh-CN"/>
                      <w14:textFill>
                        <w14:solidFill>
                          <w14:schemeClr w14:val="tx1"/>
                        </w14:solidFill>
                      </w14:textFill>
                    </w:rPr>
                    <w:t>排放总量控制在省下达目标以内，主城区空气中颗粒物（PM</w:t>
                  </w:r>
                  <w:r>
                    <w:rPr>
                      <w:color w:val="000000" w:themeColor="text1"/>
                      <w:spacing w:val="0"/>
                      <w:sz w:val="21"/>
                      <w:szCs w:val="21"/>
                      <w:vertAlign w:val="subscript"/>
                      <w:lang w:val="zh-CN" w:eastAsia="zh-CN"/>
                      <w14:textFill>
                        <w14:solidFill>
                          <w14:schemeClr w14:val="tx1"/>
                        </w14:solidFill>
                      </w14:textFill>
                    </w:rPr>
                    <w:t>10</w:t>
                  </w:r>
                  <w:r>
                    <w:rPr>
                      <w:color w:val="000000" w:themeColor="text1"/>
                      <w:spacing w:val="0"/>
                      <w:sz w:val="21"/>
                      <w:szCs w:val="21"/>
                      <w:lang w:val="zh-CN" w:eastAsia="zh-CN"/>
                      <w14:textFill>
                        <w14:solidFill>
                          <w14:schemeClr w14:val="tx1"/>
                        </w14:solidFill>
                      </w14:textFill>
                    </w:rPr>
                    <w:t>、PM</w:t>
                  </w:r>
                  <w:r>
                    <w:rPr>
                      <w:color w:val="000000" w:themeColor="text1"/>
                      <w:spacing w:val="0"/>
                      <w:sz w:val="21"/>
                      <w:szCs w:val="21"/>
                      <w:vertAlign w:val="subscript"/>
                      <w:lang w:val="zh-CN" w:eastAsia="zh-CN"/>
                      <w14:textFill>
                        <w14:solidFill>
                          <w14:schemeClr w14:val="tx1"/>
                        </w14:solidFill>
                      </w14:textFill>
                    </w:rPr>
                    <w:t>2.5</w:t>
                  </w:r>
                  <w:r>
                    <w:rPr>
                      <w:color w:val="000000" w:themeColor="text1"/>
                      <w:spacing w:val="0"/>
                      <w:sz w:val="21"/>
                      <w:szCs w:val="21"/>
                      <w:lang w:val="zh-CN" w:eastAsia="zh-CN"/>
                      <w14:textFill>
                        <w14:solidFill>
                          <w14:schemeClr w14:val="tx1"/>
                        </w14:solidFill>
                      </w14:textFill>
                    </w:rPr>
                    <w:t>）稳定达《环境空气质量标准》二级标准以上。到2035年</w:t>
                  </w:r>
                  <w:r>
                    <w:rPr>
                      <w:rFonts w:hint="eastAsia"/>
                      <w:color w:val="000000" w:themeColor="text1"/>
                      <w:spacing w:val="0"/>
                      <w:sz w:val="21"/>
                      <w:szCs w:val="21"/>
                      <w:lang w:val="zh-CN" w:eastAsia="zh-CN"/>
                      <w14:textFill>
                        <w14:solidFill>
                          <w14:schemeClr w14:val="tx1"/>
                        </w14:solidFill>
                      </w14:textFill>
                    </w:rPr>
                    <w:t>，</w:t>
                  </w:r>
                  <w:r>
                    <w:rPr>
                      <w:color w:val="000000" w:themeColor="text1"/>
                      <w:spacing w:val="0"/>
                      <w:sz w:val="21"/>
                      <w:szCs w:val="21"/>
                      <w:lang w:val="zh-CN" w:eastAsia="zh-CN"/>
                      <w14:textFill>
                        <w14:solidFill>
                          <w14:schemeClr w14:val="tx1"/>
                        </w14:solidFill>
                      </w14:textFill>
                    </w:rPr>
                    <w:t>全市环境空气质量全面改善，各县（市）区、开发（度假）区环境空气质量稳定达到国家二级标准。</w:t>
                  </w:r>
                </w:p>
              </w:tc>
              <w:tc>
                <w:tcPr>
                  <w:tcW w:w="1570" w:type="pct"/>
                  <w:vAlign w:val="center"/>
                </w:tcPr>
                <w:p w14:paraId="1C5F2CFA">
                  <w:pPr>
                    <w:pStyle w:val="36"/>
                    <w:spacing w:line="240" w:lineRule="auto"/>
                    <w:ind w:firstLine="0" w:firstLineChars="0"/>
                    <w:rPr>
                      <w:color w:val="000000" w:themeColor="text1"/>
                      <w:spacing w:val="0"/>
                      <w:sz w:val="21"/>
                      <w:szCs w:val="21"/>
                      <w:lang w:val="zh-CN" w:eastAsia="zh-CN"/>
                      <w14:textFill>
                        <w14:solidFill>
                          <w14:schemeClr w14:val="tx1"/>
                        </w14:solidFill>
                      </w14:textFill>
                    </w:rPr>
                  </w:pPr>
                  <w:r>
                    <w:rPr>
                      <w:rFonts w:hint="eastAsia"/>
                      <w:color w:val="000000" w:themeColor="text1"/>
                      <w:spacing w:val="0"/>
                      <w:sz w:val="21"/>
                      <w:szCs w:val="21"/>
                      <w:lang w:val="zh-CN" w:eastAsia="zh-CN"/>
                      <w14:textFill>
                        <w14:solidFill>
                          <w14:schemeClr w14:val="tx1"/>
                        </w14:solidFill>
                      </w14:textFill>
                    </w:rPr>
                    <w:t>项目区属于环境空气功能二类区。根据《寻甸县2026年第一季度环境质量公报》，全县环境空气质量优良天数占比为100%，满足《环境空气质量标准》（GB3095-2026）二级标准。</w:t>
                  </w:r>
                </w:p>
                <w:p w14:paraId="0E210C98">
                  <w:pPr>
                    <w:widowControl/>
                    <w:rPr>
                      <w:color w:val="EE0000"/>
                      <w:szCs w:val="21"/>
                      <w:lang w:val="zh-CN"/>
                    </w:rPr>
                  </w:pPr>
                  <w:r>
                    <w:rPr>
                      <w:rFonts w:hint="eastAsia"/>
                      <w:szCs w:val="21"/>
                      <w:lang w:val="zh-CN"/>
                    </w:rPr>
                    <w:t>项目通过及时清理粪便，冲洗地面，加强车间机械通风，喷洒生物除臭剂，加装封闭围栏，污水臭氧催化氧化塔内密闭处理，预留恶臭污染物集中收集、处理、导排设施等措施，减缓对环境空气的影响，</w:t>
                  </w:r>
                  <w:r>
                    <w:rPr>
                      <w:szCs w:val="21"/>
                      <w:lang w:val="zh-CN"/>
                    </w:rPr>
                    <w:t>不会改变</w:t>
                  </w:r>
                  <w:r>
                    <w:rPr>
                      <w:rFonts w:hint="eastAsia"/>
                      <w:szCs w:val="21"/>
                      <w:lang w:val="zh-CN"/>
                    </w:rPr>
                    <w:t>区域</w:t>
                  </w:r>
                  <w:r>
                    <w:rPr>
                      <w:szCs w:val="21"/>
                      <w:lang w:val="zh-CN"/>
                    </w:rPr>
                    <w:t>环境空气</w:t>
                  </w:r>
                  <w:r>
                    <w:rPr>
                      <w:rFonts w:hint="eastAsia"/>
                      <w:szCs w:val="21"/>
                      <w:lang w:val="zh-CN"/>
                    </w:rPr>
                    <w:t>质量</w:t>
                  </w:r>
                  <w:r>
                    <w:rPr>
                      <w:szCs w:val="21"/>
                      <w:lang w:val="zh-CN"/>
                    </w:rPr>
                    <w:t>功能。</w:t>
                  </w:r>
                </w:p>
              </w:tc>
              <w:tc>
                <w:tcPr>
                  <w:tcW w:w="630" w:type="pct"/>
                  <w:vAlign w:val="center"/>
                </w:tcPr>
                <w:p w14:paraId="24ECDE44">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符合</w:t>
                  </w:r>
                </w:p>
              </w:tc>
            </w:tr>
            <w:tr w14:paraId="6FCD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26" w:type="pct"/>
                  <w:vMerge w:val="continue"/>
                  <w:vAlign w:val="center"/>
                </w:tcPr>
                <w:p w14:paraId="58E04F96">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p>
              </w:tc>
              <w:tc>
                <w:tcPr>
                  <w:tcW w:w="504" w:type="pct"/>
                  <w:vAlign w:val="center"/>
                </w:tcPr>
                <w:p w14:paraId="305A218F">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土壤环境风险防控底线</w:t>
                  </w:r>
                </w:p>
              </w:tc>
              <w:tc>
                <w:tcPr>
                  <w:tcW w:w="1971" w:type="pct"/>
                  <w:vAlign w:val="center"/>
                </w:tcPr>
                <w:p w14:paraId="0CC62C4A">
                  <w:pPr>
                    <w:pStyle w:val="36"/>
                    <w:spacing w:line="240" w:lineRule="auto"/>
                    <w:ind w:firstLine="0" w:firstLineChars="0"/>
                    <w:rPr>
                      <w:color w:val="000000" w:themeColor="text1"/>
                      <w:spacing w:val="0"/>
                      <w:sz w:val="21"/>
                      <w:szCs w:val="21"/>
                      <w:lang w:eastAsia="zh-CN"/>
                      <w14:textFill>
                        <w14:solidFill>
                          <w14:schemeClr w14:val="tx1"/>
                        </w14:solidFill>
                      </w14:textFill>
                    </w:rPr>
                  </w:pPr>
                  <w:r>
                    <w:rPr>
                      <w:color w:val="000000" w:themeColor="text1"/>
                      <w:spacing w:val="0"/>
                      <w:sz w:val="21"/>
                      <w:szCs w:val="21"/>
                      <w:lang w:val="zh-CN" w:eastAsia="zh-CN"/>
                      <w14:textFill>
                        <w14:solidFill>
                          <w14:schemeClr w14:val="tx1"/>
                        </w14:solidFill>
                      </w14:textFill>
                    </w:rPr>
                    <w:t>到2025年，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到2035年，土壤环境质量稳中向好，农用地和建设用地土壤环境安全得到有效保障，土壤环境风险得到全面管控。</w:t>
                  </w:r>
                </w:p>
              </w:tc>
              <w:tc>
                <w:tcPr>
                  <w:tcW w:w="1570" w:type="pct"/>
                  <w:vAlign w:val="center"/>
                </w:tcPr>
                <w:p w14:paraId="299DD559">
                  <w:pPr>
                    <w:pStyle w:val="36"/>
                    <w:spacing w:line="240" w:lineRule="auto"/>
                    <w:ind w:firstLine="0" w:firstLineChars="0"/>
                    <w:rPr>
                      <w:color w:val="000000" w:themeColor="text1"/>
                      <w:spacing w:val="0"/>
                      <w:sz w:val="21"/>
                      <w:szCs w:val="21"/>
                      <w:lang w:eastAsia="zh-CN"/>
                      <w14:textFill>
                        <w14:solidFill>
                          <w14:schemeClr w14:val="tx1"/>
                        </w14:solidFill>
                      </w14:textFill>
                    </w:rPr>
                  </w:pPr>
                  <w:r>
                    <w:rPr>
                      <w:color w:val="000000" w:themeColor="text1"/>
                      <w:spacing w:val="0"/>
                      <w:sz w:val="21"/>
                      <w:szCs w:val="21"/>
                      <w:lang w:val="zh-CN" w:eastAsia="zh-CN"/>
                      <w14:textFill>
                        <w14:solidFill>
                          <w14:schemeClr w14:val="tx1"/>
                        </w14:solidFill>
                      </w14:textFill>
                    </w:rPr>
                    <w:t>项目</w:t>
                  </w:r>
                  <w:r>
                    <w:rPr>
                      <w:rFonts w:hint="eastAsia"/>
                      <w:color w:val="000000" w:themeColor="text1"/>
                      <w:spacing w:val="0"/>
                      <w:sz w:val="21"/>
                      <w:szCs w:val="21"/>
                      <w:lang w:val="zh-CN" w:eastAsia="zh-CN"/>
                      <w14:textFill>
                        <w14:solidFill>
                          <w14:schemeClr w14:val="tx1"/>
                        </w14:solidFill>
                      </w14:textFill>
                    </w:rPr>
                    <w:t>位于原听牧肉牛屠宰加工厂内</w:t>
                  </w:r>
                  <w:r>
                    <w:rPr>
                      <w:color w:val="000000" w:themeColor="text1"/>
                      <w:spacing w:val="0"/>
                      <w:sz w:val="21"/>
                      <w:szCs w:val="21"/>
                      <w:lang w:val="zh-CN" w:eastAsia="zh-CN"/>
                      <w14:textFill>
                        <w14:solidFill>
                          <w14:schemeClr w14:val="tx1"/>
                        </w14:solidFill>
                      </w14:textFill>
                    </w:rPr>
                    <w:t>，</w:t>
                  </w:r>
                  <w:r>
                    <w:rPr>
                      <w:rFonts w:hint="eastAsia"/>
                      <w:color w:val="000000" w:themeColor="text1"/>
                      <w:spacing w:val="0"/>
                      <w:sz w:val="21"/>
                      <w:szCs w:val="21"/>
                      <w:lang w:val="zh-CN" w:eastAsia="zh-CN"/>
                      <w14:textFill>
                        <w14:solidFill>
                          <w14:schemeClr w14:val="tx1"/>
                        </w14:solidFill>
                      </w14:textFill>
                    </w:rPr>
                    <w:t>用地性质为工业用地，</w:t>
                  </w:r>
                  <w:r>
                    <w:rPr>
                      <w:color w:val="000000" w:themeColor="text1"/>
                      <w:spacing w:val="0"/>
                      <w:sz w:val="21"/>
                      <w:szCs w:val="21"/>
                      <w:lang w:val="zh-CN" w:eastAsia="zh-CN"/>
                      <w14:textFill>
                        <w14:solidFill>
                          <w14:schemeClr w14:val="tx1"/>
                        </w14:solidFill>
                      </w14:textFill>
                    </w:rPr>
                    <w:t>无</w:t>
                  </w:r>
                  <w:r>
                    <w:rPr>
                      <w:rFonts w:hint="eastAsia"/>
                      <w:color w:val="000000" w:themeColor="text1"/>
                      <w:spacing w:val="0"/>
                      <w:sz w:val="21"/>
                      <w:szCs w:val="21"/>
                      <w:lang w:val="zh-CN" w:eastAsia="zh-CN"/>
                      <w14:textFill>
                        <w14:solidFill>
                          <w14:schemeClr w14:val="tx1"/>
                        </w14:solidFill>
                      </w14:textFill>
                    </w:rPr>
                    <w:t>新增用地。</w:t>
                  </w:r>
                  <w:r>
                    <w:rPr>
                      <w:rFonts w:hint="eastAsia"/>
                      <w:color w:val="000000" w:themeColor="text1"/>
                      <w:spacing w:val="0"/>
                      <w:sz w:val="21"/>
                      <w:szCs w:val="21"/>
                      <w:lang w:eastAsia="zh-CN"/>
                      <w14:textFill>
                        <w14:solidFill>
                          <w14:schemeClr w14:val="tx1"/>
                        </w14:solidFill>
                      </w14:textFill>
                    </w:rPr>
                    <w:t>项目生产废水依托厂区现有生产废水处理站处理达标后用于厂区绿化、洒水降尘。</w:t>
                  </w:r>
                  <w:r>
                    <w:rPr>
                      <w:rFonts w:hint="eastAsia"/>
                      <w:spacing w:val="0"/>
                      <w:sz w:val="21"/>
                      <w:szCs w:val="21"/>
                      <w:lang w:eastAsia="zh-CN"/>
                    </w:rPr>
                    <w:t>生活污水经隔油池、化粪池预处理后接入市政污水管网，最终进入羊街镇污水处理站处理。</w:t>
                  </w:r>
                  <w:r>
                    <w:rPr>
                      <w:rFonts w:hint="eastAsia"/>
                      <w:color w:val="000000" w:themeColor="text1"/>
                      <w:spacing w:val="0"/>
                      <w:sz w:val="21"/>
                      <w:szCs w:val="21"/>
                      <w:lang w:val="zh-CN" w:eastAsia="zh-CN"/>
                      <w14:textFill>
                        <w14:solidFill>
                          <w14:schemeClr w14:val="tx1"/>
                        </w14:solidFill>
                      </w14:textFill>
                    </w:rPr>
                    <w:t>危险废物收集于危废贮存间，委托云南达济再生资源回收利用有限公司处置。项目建设未对区域土壤环境质量产生影响。</w:t>
                  </w:r>
                </w:p>
              </w:tc>
              <w:tc>
                <w:tcPr>
                  <w:tcW w:w="630" w:type="pct"/>
                  <w:vAlign w:val="center"/>
                </w:tcPr>
                <w:p w14:paraId="270E6F3B">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符合</w:t>
                  </w:r>
                </w:p>
              </w:tc>
            </w:tr>
            <w:tr w14:paraId="7A55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26" w:type="pct"/>
                  <w:vMerge w:val="restart"/>
                  <w:vAlign w:val="center"/>
                </w:tcPr>
                <w:p w14:paraId="4AACA3F3">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资源利用上线</w:t>
                  </w:r>
                </w:p>
              </w:tc>
              <w:tc>
                <w:tcPr>
                  <w:tcW w:w="504" w:type="pct"/>
                  <w:vAlign w:val="center"/>
                </w:tcPr>
                <w:p w14:paraId="5C1A859B">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水资源利用上限</w:t>
                  </w:r>
                </w:p>
              </w:tc>
              <w:tc>
                <w:tcPr>
                  <w:tcW w:w="1971" w:type="pct"/>
                  <w:vAlign w:val="center"/>
                </w:tcPr>
                <w:p w14:paraId="7368461E">
                  <w:pPr>
                    <w:pStyle w:val="36"/>
                    <w:spacing w:line="240" w:lineRule="auto"/>
                    <w:ind w:firstLine="0" w:firstLineChars="0"/>
                    <w:rPr>
                      <w:color w:val="000000" w:themeColor="text1"/>
                      <w:spacing w:val="0"/>
                      <w:sz w:val="21"/>
                      <w:szCs w:val="21"/>
                      <w:lang w:val="zh-CN" w:eastAsia="zh-CN"/>
                      <w14:textFill>
                        <w14:solidFill>
                          <w14:schemeClr w14:val="tx1"/>
                        </w14:solidFill>
                      </w14:textFill>
                    </w:rPr>
                  </w:pPr>
                  <w:r>
                    <w:rPr>
                      <w:color w:val="000000" w:themeColor="text1"/>
                      <w:spacing w:val="0"/>
                      <w:sz w:val="21"/>
                      <w:szCs w:val="21"/>
                      <w:lang w:val="zh-CN" w:eastAsia="zh-CN"/>
                      <w14:textFill>
                        <w14:solidFill>
                          <w14:schemeClr w14:val="tx1"/>
                        </w14:solidFill>
                      </w14:textFill>
                    </w:rPr>
                    <w:t>按照国家、省、市有关要求和规划，按时完成全市用水总量、用水效率、限制纳污</w:t>
                  </w:r>
                  <w:r>
                    <w:rPr>
                      <w:rFonts w:hint="eastAsia"/>
                      <w:color w:val="000000" w:themeColor="text1"/>
                      <w:spacing w:val="0"/>
                      <w:sz w:val="21"/>
                      <w:szCs w:val="21"/>
                      <w:lang w:val="zh-CN" w:eastAsia="zh-CN"/>
                      <w14:textFill>
                        <w14:solidFill>
                          <w14:schemeClr w14:val="tx1"/>
                        </w14:solidFill>
                      </w14:textFill>
                    </w:rPr>
                    <w:t>“</w:t>
                  </w:r>
                  <w:r>
                    <w:rPr>
                      <w:color w:val="000000" w:themeColor="text1"/>
                      <w:spacing w:val="0"/>
                      <w:sz w:val="21"/>
                      <w:szCs w:val="21"/>
                      <w:lang w:val="zh-CN" w:eastAsia="zh-CN"/>
                      <w14:textFill>
                        <w14:solidFill>
                          <w14:schemeClr w14:val="tx1"/>
                        </w14:solidFill>
                      </w14:textFill>
                    </w:rPr>
                    <w:t>三条红线</w:t>
                  </w:r>
                  <w:r>
                    <w:rPr>
                      <w:rFonts w:hint="eastAsia"/>
                      <w:color w:val="000000" w:themeColor="text1"/>
                      <w:spacing w:val="0"/>
                      <w:sz w:val="21"/>
                      <w:szCs w:val="21"/>
                      <w:lang w:val="zh-CN" w:eastAsia="zh-CN"/>
                      <w14:textFill>
                        <w14:solidFill>
                          <w14:schemeClr w14:val="tx1"/>
                        </w14:solidFill>
                      </w14:textFill>
                    </w:rPr>
                    <w:t>”</w:t>
                  </w:r>
                  <w:r>
                    <w:rPr>
                      <w:color w:val="000000" w:themeColor="text1"/>
                      <w:spacing w:val="0"/>
                      <w:sz w:val="21"/>
                      <w:szCs w:val="21"/>
                      <w:lang w:val="zh-CN" w:eastAsia="zh-CN"/>
                      <w14:textFill>
                        <w14:solidFill>
                          <w14:schemeClr w14:val="tx1"/>
                        </w14:solidFill>
                      </w14:textFill>
                    </w:rPr>
                    <w:t>水资源上限控制指标</w:t>
                  </w:r>
                  <w:r>
                    <w:rPr>
                      <w:rFonts w:hint="eastAsia"/>
                      <w:color w:val="000000" w:themeColor="text1"/>
                      <w:spacing w:val="0"/>
                      <w:sz w:val="21"/>
                      <w:szCs w:val="21"/>
                      <w:lang w:val="zh-CN" w:eastAsia="zh-CN"/>
                      <w14:textFill>
                        <w14:solidFill>
                          <w14:schemeClr w14:val="tx1"/>
                        </w14:solidFill>
                      </w14:textFill>
                    </w:rPr>
                    <w:t>。</w:t>
                  </w:r>
                </w:p>
              </w:tc>
              <w:tc>
                <w:tcPr>
                  <w:tcW w:w="1570" w:type="pct"/>
                  <w:vAlign w:val="center"/>
                </w:tcPr>
                <w:p w14:paraId="0256EF94">
                  <w:pPr>
                    <w:widowControl/>
                    <w:rPr>
                      <w:rFonts w:cs="宋体"/>
                      <w:szCs w:val="21"/>
                      <w:lang w:val="zh-CN"/>
                    </w:rPr>
                  </w:pPr>
                  <w:r>
                    <w:rPr>
                      <w:rFonts w:hint="eastAsia" w:cs="宋体"/>
                      <w:szCs w:val="21"/>
                    </w:rPr>
                    <w:t>项目</w:t>
                  </w:r>
                  <w:r>
                    <w:rPr>
                      <w:rFonts w:hint="eastAsia"/>
                    </w:rPr>
                    <w:t>用水由市政自来水管网供给，不会突破用水总量控制指标。</w:t>
                  </w:r>
                </w:p>
              </w:tc>
              <w:tc>
                <w:tcPr>
                  <w:tcW w:w="630" w:type="pct"/>
                  <w:vAlign w:val="center"/>
                </w:tcPr>
                <w:p w14:paraId="5C31B763">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符合</w:t>
                  </w:r>
                </w:p>
              </w:tc>
            </w:tr>
            <w:tr w14:paraId="5AA6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26" w:type="pct"/>
                  <w:vMerge w:val="continue"/>
                  <w:vAlign w:val="center"/>
                </w:tcPr>
                <w:p w14:paraId="32BC4DF7">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p>
              </w:tc>
              <w:tc>
                <w:tcPr>
                  <w:tcW w:w="504" w:type="pct"/>
                  <w:vAlign w:val="center"/>
                </w:tcPr>
                <w:p w14:paraId="7D07D1C5">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能源利用上线</w:t>
                  </w:r>
                </w:p>
              </w:tc>
              <w:tc>
                <w:tcPr>
                  <w:tcW w:w="1971" w:type="pct"/>
                  <w:vAlign w:val="center"/>
                </w:tcPr>
                <w:p w14:paraId="300778FD">
                  <w:pPr>
                    <w:pStyle w:val="36"/>
                    <w:spacing w:line="240" w:lineRule="auto"/>
                    <w:ind w:firstLine="0" w:firstLineChars="0"/>
                    <w:rPr>
                      <w:color w:val="000000" w:themeColor="text1"/>
                      <w:spacing w:val="0"/>
                      <w:sz w:val="21"/>
                      <w:szCs w:val="21"/>
                      <w:lang w:val="zh-CN" w:eastAsia="zh-CN"/>
                      <w14:textFill>
                        <w14:solidFill>
                          <w14:schemeClr w14:val="tx1"/>
                        </w14:solidFill>
                      </w14:textFill>
                    </w:rPr>
                  </w:pPr>
                  <w:r>
                    <w:rPr>
                      <w:color w:val="000000" w:themeColor="text1"/>
                      <w:spacing w:val="0"/>
                      <w:sz w:val="21"/>
                      <w:szCs w:val="21"/>
                      <w:lang w:val="zh-CN" w:eastAsia="zh-CN"/>
                      <w14:textFill>
                        <w14:solidFill>
                          <w14:schemeClr w14:val="tx1"/>
                        </w14:solidFill>
                      </w14:textFill>
                    </w:rPr>
                    <w:t>按时完成单位GDP能耗下降率、能源消费总量等能源控制指标。</w:t>
                  </w:r>
                </w:p>
              </w:tc>
              <w:tc>
                <w:tcPr>
                  <w:tcW w:w="1570" w:type="pct"/>
                  <w:vAlign w:val="center"/>
                </w:tcPr>
                <w:p w14:paraId="29B956A8">
                  <w:pPr>
                    <w:pStyle w:val="36"/>
                    <w:spacing w:line="240" w:lineRule="auto"/>
                    <w:ind w:firstLine="0" w:firstLineChars="0"/>
                    <w:rPr>
                      <w:color w:val="000000" w:themeColor="text1"/>
                      <w:spacing w:val="0"/>
                      <w:sz w:val="21"/>
                      <w:szCs w:val="21"/>
                      <w:lang w:val="zh-CN" w:eastAsia="zh-CN"/>
                      <w14:textFill>
                        <w14:solidFill>
                          <w14:schemeClr w14:val="tx1"/>
                        </w14:solidFill>
                      </w14:textFill>
                    </w:rPr>
                  </w:pPr>
                  <w:r>
                    <w:rPr>
                      <w:spacing w:val="0"/>
                      <w:sz w:val="21"/>
                      <w:szCs w:val="21"/>
                      <w:lang w:val="zh-CN" w:eastAsia="zh-CN"/>
                    </w:rPr>
                    <w:t>项目</w:t>
                  </w:r>
                  <w:r>
                    <w:rPr>
                      <w:rFonts w:hint="eastAsia"/>
                      <w:spacing w:val="0"/>
                      <w:sz w:val="21"/>
                      <w:szCs w:val="21"/>
                      <w:lang w:eastAsia="zh-CN"/>
                    </w:rPr>
                    <w:t>用电由电网供应，不属于高耗能行业，</w:t>
                  </w:r>
                  <w:r>
                    <w:rPr>
                      <w:rFonts w:hint="eastAsia"/>
                      <w:spacing w:val="0"/>
                      <w:sz w:val="21"/>
                      <w:szCs w:val="21"/>
                      <w:lang w:val="zh-CN" w:eastAsia="zh-CN"/>
                    </w:rPr>
                    <w:t>不会突破能源总量控制指标</w:t>
                  </w:r>
                  <w:r>
                    <w:rPr>
                      <w:spacing w:val="0"/>
                      <w:sz w:val="21"/>
                      <w:szCs w:val="21"/>
                      <w:lang w:val="zh-CN" w:eastAsia="zh-CN"/>
                    </w:rPr>
                    <w:t>。</w:t>
                  </w:r>
                </w:p>
              </w:tc>
              <w:tc>
                <w:tcPr>
                  <w:tcW w:w="630" w:type="pct"/>
                  <w:vAlign w:val="center"/>
                </w:tcPr>
                <w:p w14:paraId="463E2F37">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符合</w:t>
                  </w:r>
                </w:p>
              </w:tc>
            </w:tr>
            <w:tr w14:paraId="3E1D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26" w:type="pct"/>
                  <w:vMerge w:val="continue"/>
                  <w:vAlign w:val="center"/>
                </w:tcPr>
                <w:p w14:paraId="3574B890">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p>
              </w:tc>
              <w:tc>
                <w:tcPr>
                  <w:tcW w:w="504" w:type="pct"/>
                  <w:vAlign w:val="center"/>
                </w:tcPr>
                <w:p w14:paraId="59D9415B">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土地资源利用上线</w:t>
                  </w:r>
                </w:p>
              </w:tc>
              <w:tc>
                <w:tcPr>
                  <w:tcW w:w="1971" w:type="pct"/>
                  <w:vAlign w:val="center"/>
                </w:tcPr>
                <w:p w14:paraId="7EAD201D">
                  <w:pPr>
                    <w:pStyle w:val="36"/>
                    <w:spacing w:line="240" w:lineRule="auto"/>
                    <w:ind w:firstLine="0" w:firstLineChars="0"/>
                    <w:rPr>
                      <w:rFonts w:cs="微软雅黑"/>
                      <w:color w:val="000000" w:themeColor="text1"/>
                      <w:spacing w:val="0"/>
                      <w:sz w:val="21"/>
                      <w:szCs w:val="21"/>
                      <w:shd w:val="clear" w:color="auto" w:fill="FFFFFF"/>
                      <w:lang w:val="zh-CN" w:eastAsia="zh-CN"/>
                      <w14:textFill>
                        <w14:solidFill>
                          <w14:schemeClr w14:val="tx1"/>
                        </w14:solidFill>
                      </w14:textFill>
                    </w:rPr>
                  </w:pPr>
                  <w:r>
                    <w:rPr>
                      <w:rFonts w:hint="eastAsia" w:cs="微软雅黑"/>
                      <w:color w:val="000000" w:themeColor="text1"/>
                      <w:spacing w:val="0"/>
                      <w:sz w:val="21"/>
                      <w:szCs w:val="21"/>
                      <w:shd w:val="clear" w:color="auto" w:fill="FFFFFF"/>
                      <w:lang w:eastAsia="zh-CN"/>
                      <w14:textFill>
                        <w14:solidFill>
                          <w14:schemeClr w14:val="tx1"/>
                        </w14:solidFill>
                      </w14:textFill>
                    </w:rPr>
                    <w:t>按时完成耕地保有量、基面积、建设用地总规模等土地资源利用上限控制指标</w:t>
                  </w:r>
                  <w:r>
                    <w:rPr>
                      <w:rFonts w:cs="微软雅黑"/>
                      <w:color w:val="000000" w:themeColor="text1"/>
                      <w:spacing w:val="0"/>
                      <w:sz w:val="21"/>
                      <w:szCs w:val="21"/>
                      <w:shd w:val="clear" w:color="auto" w:fill="FFFFFF"/>
                      <w:lang w:eastAsia="zh-CN"/>
                      <w14:textFill>
                        <w14:solidFill>
                          <w14:schemeClr w14:val="tx1"/>
                        </w14:solidFill>
                      </w14:textFill>
                    </w:rPr>
                    <w:t>。</w:t>
                  </w:r>
                </w:p>
              </w:tc>
              <w:tc>
                <w:tcPr>
                  <w:tcW w:w="1570" w:type="pct"/>
                  <w:vAlign w:val="center"/>
                </w:tcPr>
                <w:p w14:paraId="52B5F37E">
                  <w:pPr>
                    <w:pStyle w:val="36"/>
                    <w:spacing w:line="240" w:lineRule="auto"/>
                    <w:ind w:firstLine="0" w:firstLineChars="0"/>
                    <w:rPr>
                      <w:rFonts w:cs="微软雅黑"/>
                      <w:color w:val="000000" w:themeColor="text1"/>
                      <w:spacing w:val="0"/>
                      <w:sz w:val="21"/>
                      <w:szCs w:val="21"/>
                      <w:shd w:val="clear" w:color="auto" w:fill="FFFFFF"/>
                      <w:lang w:val="zh-CN" w:eastAsia="zh-CN"/>
                      <w14:textFill>
                        <w14:solidFill>
                          <w14:schemeClr w14:val="tx1"/>
                        </w14:solidFill>
                      </w14:textFill>
                    </w:rPr>
                  </w:pPr>
                  <w:r>
                    <w:rPr>
                      <w:rFonts w:hint="eastAsia" w:cs="微软雅黑"/>
                      <w:spacing w:val="0"/>
                      <w:sz w:val="21"/>
                      <w:szCs w:val="21"/>
                      <w:shd w:val="clear" w:color="auto" w:fill="FFFFFF"/>
                      <w:lang w:eastAsia="zh-CN"/>
                    </w:rPr>
                    <w:t>项目位于原听牧肉牛屠宰加工厂内，用地性质为工业用地，无新增用地。</w:t>
                  </w:r>
                </w:p>
              </w:tc>
              <w:tc>
                <w:tcPr>
                  <w:tcW w:w="630" w:type="pct"/>
                  <w:vAlign w:val="center"/>
                </w:tcPr>
                <w:p w14:paraId="294B0576">
                  <w:pPr>
                    <w:pStyle w:val="36"/>
                    <w:spacing w:line="240" w:lineRule="auto"/>
                    <w:ind w:firstLine="0" w:firstLineChars="0"/>
                    <w:jc w:val="center"/>
                    <w:rPr>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符合</w:t>
                  </w:r>
                </w:p>
              </w:tc>
            </w:tr>
          </w:tbl>
          <w:p w14:paraId="5A9E93E5">
            <w:pPr>
              <w:pStyle w:val="36"/>
              <w:spacing w:line="240" w:lineRule="auto"/>
              <w:ind w:firstLine="0" w:firstLineChars="0"/>
              <w:rPr>
                <w:color w:val="000000" w:themeColor="text1"/>
                <w:spacing w:val="0"/>
                <w:lang w:eastAsia="zh-CN"/>
                <w14:textFill>
                  <w14:solidFill>
                    <w14:schemeClr w14:val="tx1"/>
                  </w14:solidFill>
                </w14:textFill>
              </w:rPr>
            </w:pPr>
          </w:p>
          <w:p w14:paraId="0080B744">
            <w:pPr>
              <w:pStyle w:val="36"/>
              <w:spacing w:line="240" w:lineRule="auto"/>
              <w:ind w:firstLine="0" w:firstLineChars="0"/>
              <w:rPr>
                <w:color w:val="000000" w:themeColor="text1"/>
                <w:spacing w:val="0"/>
                <w:lang w:eastAsia="zh-CN"/>
                <w14:textFill>
                  <w14:solidFill>
                    <w14:schemeClr w14:val="tx1"/>
                  </w14:solidFill>
                </w14:textFill>
              </w:rPr>
            </w:pPr>
          </w:p>
          <w:p w14:paraId="4B30F2DC">
            <w:pPr>
              <w:pStyle w:val="36"/>
              <w:spacing w:line="240" w:lineRule="auto"/>
              <w:ind w:firstLine="0" w:firstLineChars="0"/>
              <w:rPr>
                <w:color w:val="000000" w:themeColor="text1"/>
                <w:spacing w:val="0"/>
                <w:lang w:eastAsia="zh-CN"/>
                <w14:textFill>
                  <w14:solidFill>
                    <w14:schemeClr w14:val="tx1"/>
                  </w14:solidFill>
                </w14:textFill>
              </w:rPr>
            </w:pPr>
          </w:p>
          <w:p w14:paraId="04821BC5">
            <w:pPr>
              <w:pStyle w:val="36"/>
              <w:spacing w:line="240" w:lineRule="auto"/>
              <w:ind w:firstLine="0" w:firstLineChars="0"/>
              <w:rPr>
                <w:color w:val="000000" w:themeColor="text1"/>
                <w:spacing w:val="0"/>
                <w:lang w:eastAsia="zh-CN"/>
                <w14:textFill>
                  <w14:solidFill>
                    <w14:schemeClr w14:val="tx1"/>
                  </w14:solidFill>
                </w14:textFill>
              </w:rPr>
            </w:pPr>
          </w:p>
          <w:p w14:paraId="109C9ACD">
            <w:pPr>
              <w:widowControl/>
              <w:jc w:val="center"/>
              <w:rPr>
                <w:b/>
                <w:bCs/>
                <w:color w:val="000000" w:themeColor="text1"/>
                <w:szCs w:val="21"/>
                <w14:textFill>
                  <w14:solidFill>
                    <w14:schemeClr w14:val="tx1"/>
                  </w14:solidFill>
                </w14:textFill>
              </w:rPr>
            </w:pPr>
            <w:r>
              <w:rPr>
                <w:rFonts w:hint="eastAsia" w:cs="宋体"/>
                <w:b/>
                <w:bCs/>
                <w:color w:val="000000" w:themeColor="text1"/>
                <w:kern w:val="0"/>
                <w:szCs w:val="21"/>
                <w:lang w:bidi="ar"/>
                <w14:textFill>
                  <w14:solidFill>
                    <w14:schemeClr w14:val="tx1"/>
                  </w14:solidFill>
                </w14:textFill>
              </w:rPr>
              <w:t>表</w:t>
            </w:r>
            <w:r>
              <w:rPr>
                <w:b/>
                <w:bCs/>
                <w:color w:val="000000" w:themeColor="text1"/>
                <w:kern w:val="0"/>
                <w:szCs w:val="21"/>
                <w:lang w:bidi="ar"/>
                <w14:textFill>
                  <w14:solidFill>
                    <w14:schemeClr w14:val="tx1"/>
                  </w14:solidFill>
                </w14:textFill>
              </w:rPr>
              <w:t>1-</w:t>
            </w:r>
            <w:r>
              <w:rPr>
                <w:rFonts w:hint="eastAsia"/>
                <w:b/>
                <w:bCs/>
                <w:color w:val="000000" w:themeColor="text1"/>
                <w:kern w:val="0"/>
                <w:szCs w:val="21"/>
                <w:lang w:bidi="ar"/>
                <w14:textFill>
                  <w14:solidFill>
                    <w14:schemeClr w14:val="tx1"/>
                  </w14:solidFill>
                </w14:textFill>
              </w:rPr>
              <w:t>3 项目</w:t>
            </w:r>
            <w:r>
              <w:rPr>
                <w:rFonts w:hint="eastAsia" w:cs="宋体"/>
                <w:b/>
                <w:bCs/>
                <w:color w:val="000000" w:themeColor="text1"/>
                <w:kern w:val="0"/>
                <w:szCs w:val="21"/>
                <w:lang w:bidi="ar"/>
                <w14:textFill>
                  <w14:solidFill>
                    <w14:schemeClr w14:val="tx1"/>
                  </w14:solidFill>
                </w14:textFill>
              </w:rPr>
              <w:t>生态环境管控总体要求符合性分析</w:t>
            </w:r>
          </w:p>
          <w:tbl>
            <w:tblPr>
              <w:tblStyle w:val="22"/>
              <w:tblW w:w="7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650"/>
              <w:gridCol w:w="3168"/>
              <w:gridCol w:w="2487"/>
              <w:gridCol w:w="890"/>
            </w:tblGrid>
            <w:tr w14:paraId="19BC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43" w:type="dxa"/>
                  <w:gridSpan w:val="2"/>
                  <w:vAlign w:val="center"/>
                </w:tcPr>
                <w:p w14:paraId="62EB5F72">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类别</w:t>
                  </w:r>
                </w:p>
              </w:tc>
              <w:tc>
                <w:tcPr>
                  <w:tcW w:w="3168" w:type="dxa"/>
                  <w:vAlign w:val="center"/>
                </w:tcPr>
                <w:p w14:paraId="7AB9825C">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内容要求</w:t>
                  </w:r>
                </w:p>
              </w:tc>
              <w:tc>
                <w:tcPr>
                  <w:tcW w:w="2487" w:type="dxa"/>
                  <w:vAlign w:val="center"/>
                </w:tcPr>
                <w:p w14:paraId="39CAFD7B">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项目情况</w:t>
                  </w:r>
                </w:p>
              </w:tc>
              <w:tc>
                <w:tcPr>
                  <w:tcW w:w="890" w:type="dxa"/>
                  <w:vAlign w:val="center"/>
                </w:tcPr>
                <w:p w14:paraId="3B6B2D7A">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符合性</w:t>
                  </w:r>
                </w:p>
              </w:tc>
            </w:tr>
            <w:tr w14:paraId="7449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3" w:type="dxa"/>
                  <w:vMerge w:val="restart"/>
                  <w:vAlign w:val="center"/>
                </w:tcPr>
                <w:p w14:paraId="6EAE06FD">
                  <w:pPr>
                    <w:widowControl/>
                    <w:jc w:val="center"/>
                    <w:rPr>
                      <w:b/>
                      <w:bCs/>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昆明市生态环境管控总体要求</w:t>
                  </w:r>
                </w:p>
              </w:tc>
              <w:tc>
                <w:tcPr>
                  <w:tcW w:w="650" w:type="dxa"/>
                  <w:vAlign w:val="center"/>
                </w:tcPr>
                <w:p w14:paraId="254EF845">
                  <w:pPr>
                    <w:widowControl/>
                    <w:jc w:val="center"/>
                    <w:rPr>
                      <w:b/>
                      <w:bCs/>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空间布局约束</w:t>
                  </w:r>
                </w:p>
              </w:tc>
              <w:tc>
                <w:tcPr>
                  <w:tcW w:w="3168" w:type="dxa"/>
                  <w:vAlign w:val="center"/>
                </w:tcPr>
                <w:p w14:paraId="6F40B7D3">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1、根据《昆明市国土空间总体规划（2021-2035年）》进行空间管控。</w:t>
                  </w:r>
                </w:p>
                <w:p w14:paraId="440F54E3">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2、牛栏江流域内，严格按照《云南省牛栏江保护条例》相关要求对水环境进行分区管控。</w:t>
                  </w:r>
                </w:p>
                <w:p w14:paraId="5FB81E22">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3、滇池流域内，严格按照《云南省滇池湖滨生态红线及湖泊生态黄线“两线”划定方案》相关要求进行分区管控。</w:t>
                  </w:r>
                </w:p>
                <w:p w14:paraId="61973952">
                  <w:pPr>
                    <w:widowControl/>
                    <w:rPr>
                      <w:b/>
                      <w:bCs/>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4、阳宗海流域内，严格按照《云南省阳宗海湖滨生态红线及湖泊生态黄线“两线”划定方案》相关要求进行分区管控。</w:t>
                  </w:r>
                </w:p>
              </w:tc>
              <w:tc>
                <w:tcPr>
                  <w:tcW w:w="2487" w:type="dxa"/>
                  <w:vAlign w:val="center"/>
                </w:tcPr>
                <w:p w14:paraId="017ED8DB">
                  <w:pPr>
                    <w:pStyle w:val="6"/>
                    <w:jc w:val="both"/>
                    <w:rPr>
                      <w:sz w:val="21"/>
                      <w:szCs w:val="21"/>
                      <w:lang w:bidi="ar"/>
                    </w:rPr>
                  </w:pPr>
                  <w:r>
                    <w:rPr>
                      <w:rFonts w:hint="eastAsia"/>
                      <w:sz w:val="21"/>
                      <w:szCs w:val="21"/>
                      <w:lang w:bidi="ar"/>
                    </w:rPr>
                    <w:t>1、项目与《昆明市国土空间总体规划（2021-2035年）》是相协调的。</w:t>
                  </w:r>
                </w:p>
                <w:p w14:paraId="7A5209C5">
                  <w:pPr>
                    <w:pStyle w:val="6"/>
                    <w:jc w:val="both"/>
                    <w:rPr>
                      <w:sz w:val="21"/>
                      <w:szCs w:val="21"/>
                      <w:lang w:bidi="ar"/>
                    </w:rPr>
                  </w:pPr>
                  <w:r>
                    <w:rPr>
                      <w:rFonts w:hint="eastAsia"/>
                      <w:sz w:val="21"/>
                      <w:szCs w:val="21"/>
                      <w:lang w:bidi="ar"/>
                    </w:rPr>
                    <w:t>2、项目位于《云南省牛栏江保护条例》中的重点污染控制区。项目不涉及重点污染控制区的禁止行为，生产废水依托厂区现有生产废水处理站处理达标后</w:t>
                  </w:r>
                  <w:r>
                    <w:rPr>
                      <w:rFonts w:hint="eastAsia"/>
                      <w:color w:val="000000" w:themeColor="text1"/>
                      <w:sz w:val="21"/>
                      <w:szCs w:val="21"/>
                      <w14:textFill>
                        <w14:solidFill>
                          <w14:schemeClr w14:val="tx1"/>
                        </w14:solidFill>
                      </w14:textFill>
                    </w:rPr>
                    <w:t>用于厂区绿化、洒水降尘。</w:t>
                  </w:r>
                  <w:r>
                    <w:rPr>
                      <w:rFonts w:hint="eastAsia"/>
                      <w:sz w:val="21"/>
                      <w:szCs w:val="21"/>
                    </w:rPr>
                    <w:t>生活污水经隔油池、化粪池预处理后接入市政污水管网，最终进入羊街镇污水处理站处理。</w:t>
                  </w:r>
                  <w:r>
                    <w:rPr>
                      <w:rFonts w:hint="eastAsia"/>
                      <w:sz w:val="21"/>
                      <w:szCs w:val="21"/>
                      <w:lang w:bidi="ar"/>
                    </w:rPr>
                    <w:t>项目与《云南省牛栏江保护条例》的水环境分区管控要求相协调。</w:t>
                  </w:r>
                </w:p>
                <w:p w14:paraId="58BF7848">
                  <w:pPr>
                    <w:pStyle w:val="6"/>
                    <w:jc w:val="both"/>
                    <w:rPr>
                      <w:sz w:val="21"/>
                      <w:szCs w:val="21"/>
                      <w:lang w:bidi="ar"/>
                    </w:rPr>
                  </w:pPr>
                  <w:r>
                    <w:rPr>
                      <w:rFonts w:hint="eastAsia"/>
                      <w:sz w:val="21"/>
                      <w:szCs w:val="21"/>
                      <w:lang w:bidi="ar"/>
                    </w:rPr>
                    <w:t>3、项目不涉及。</w:t>
                  </w:r>
                </w:p>
                <w:p w14:paraId="384DBDF5">
                  <w:pPr>
                    <w:pStyle w:val="6"/>
                    <w:jc w:val="both"/>
                    <w:rPr>
                      <w:b/>
                      <w:bCs/>
                      <w:color w:val="000000" w:themeColor="text1"/>
                      <w:sz w:val="21"/>
                      <w:szCs w:val="21"/>
                      <w:lang w:bidi="ar"/>
                      <w14:textFill>
                        <w14:solidFill>
                          <w14:schemeClr w14:val="tx1"/>
                        </w14:solidFill>
                      </w14:textFill>
                    </w:rPr>
                  </w:pPr>
                  <w:r>
                    <w:rPr>
                      <w:rFonts w:hint="eastAsia"/>
                      <w:sz w:val="21"/>
                      <w:szCs w:val="21"/>
                      <w:lang w:bidi="ar"/>
                    </w:rPr>
                    <w:t>4、项目不涉及。</w:t>
                  </w:r>
                </w:p>
              </w:tc>
              <w:tc>
                <w:tcPr>
                  <w:tcW w:w="890" w:type="dxa"/>
                  <w:vAlign w:val="center"/>
                </w:tcPr>
                <w:p w14:paraId="197D3AE5">
                  <w:pPr>
                    <w:widowControl/>
                    <w:jc w:val="center"/>
                    <w:rPr>
                      <w:b/>
                      <w:bCs/>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符合</w:t>
                  </w:r>
                </w:p>
              </w:tc>
            </w:tr>
            <w:tr w14:paraId="1AEC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3" w:type="dxa"/>
                  <w:vMerge w:val="continue"/>
                  <w:vAlign w:val="center"/>
                </w:tcPr>
                <w:p w14:paraId="34DD39F0">
                  <w:pPr>
                    <w:widowControl/>
                    <w:jc w:val="center"/>
                    <w:rPr>
                      <w:b/>
                      <w:bCs/>
                      <w:color w:val="000000" w:themeColor="text1"/>
                      <w:kern w:val="0"/>
                      <w:szCs w:val="21"/>
                      <w:lang w:bidi="ar"/>
                      <w14:textFill>
                        <w14:solidFill>
                          <w14:schemeClr w14:val="tx1"/>
                        </w14:solidFill>
                      </w14:textFill>
                    </w:rPr>
                  </w:pPr>
                </w:p>
              </w:tc>
              <w:tc>
                <w:tcPr>
                  <w:tcW w:w="650" w:type="dxa"/>
                  <w:vAlign w:val="center"/>
                </w:tcPr>
                <w:p w14:paraId="26047FBC">
                  <w:pPr>
                    <w:widowControl/>
                    <w:jc w:val="center"/>
                    <w:rPr>
                      <w:b/>
                      <w:bCs/>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污染物排放管控</w:t>
                  </w:r>
                </w:p>
              </w:tc>
              <w:tc>
                <w:tcPr>
                  <w:tcW w:w="3168" w:type="dxa"/>
                  <w:vAlign w:val="center"/>
                </w:tcPr>
                <w:p w14:paraId="08F597E5">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到2025年，昆明市地表水国、省控断面达到或好于</w:t>
                  </w:r>
                  <w:r>
                    <w:rPr>
                      <w:rFonts w:ascii="宋体" w:hAnsi="宋体"/>
                      <w:color w:val="000000" w:themeColor="text1"/>
                      <w:szCs w:val="21"/>
                      <w14:textFill>
                        <w14:solidFill>
                          <w14:schemeClr w14:val="tx1"/>
                        </w14:solidFill>
                      </w14:textFill>
                    </w:rPr>
                    <w:t>Ⅲ</w:t>
                  </w:r>
                  <w:r>
                    <w:rPr>
                      <w:color w:val="000000" w:themeColor="text1"/>
                      <w:szCs w:val="21"/>
                      <w14:textFill>
                        <w14:solidFill>
                          <w14:schemeClr w14:val="tx1"/>
                        </w14:solidFill>
                      </w14:textFill>
                    </w:rPr>
                    <w:t>类水体比例应达到81.5%；滇池草海水质稳定达到</w:t>
                  </w:r>
                  <w:r>
                    <w:rPr>
                      <w:rFonts w:ascii="宋体" w:hAnsi="宋体"/>
                      <w:color w:val="000000" w:themeColor="text1"/>
                      <w:szCs w:val="21"/>
                      <w14:textFill>
                        <w14:solidFill>
                          <w14:schemeClr w14:val="tx1"/>
                        </w14:solidFill>
                      </w14:textFill>
                    </w:rPr>
                    <w:t>Ⅳ</w:t>
                  </w:r>
                  <w:r>
                    <w:rPr>
                      <w:color w:val="000000" w:themeColor="text1"/>
                      <w:szCs w:val="21"/>
                      <w14:textFill>
                        <w14:solidFill>
                          <w14:schemeClr w14:val="tx1"/>
                        </w14:solidFill>
                      </w14:textFill>
                    </w:rPr>
                    <w:t>类、外海水质达到</w:t>
                  </w:r>
                  <w:r>
                    <w:rPr>
                      <w:rFonts w:ascii="宋体" w:hAnsi="宋体"/>
                      <w:color w:val="000000" w:themeColor="text1"/>
                      <w:szCs w:val="21"/>
                      <w14:textFill>
                        <w14:solidFill>
                          <w14:schemeClr w14:val="tx1"/>
                        </w14:solidFill>
                      </w14:textFill>
                    </w:rPr>
                    <w:t>Ⅳ</w:t>
                  </w:r>
                  <w:r>
                    <w:rPr>
                      <w:color w:val="000000" w:themeColor="text1"/>
                      <w:szCs w:val="21"/>
                      <w14:textFill>
                        <w14:solidFill>
                          <w14:schemeClr w14:val="tx1"/>
                        </w14:solidFill>
                      </w14:textFill>
                    </w:rPr>
                    <w:t>类，阳宗海水质稳定达到</w:t>
                  </w:r>
                  <w:r>
                    <w:rPr>
                      <w:rFonts w:ascii="宋体" w:hAnsi="宋体"/>
                      <w:color w:val="000000" w:themeColor="text1"/>
                      <w:szCs w:val="21"/>
                      <w14:textFill>
                        <w14:solidFill>
                          <w14:schemeClr w14:val="tx1"/>
                        </w14:solidFill>
                      </w14:textFill>
                    </w:rPr>
                    <w:t>Ⅲ</w:t>
                  </w:r>
                  <w:r>
                    <w:rPr>
                      <w:color w:val="000000" w:themeColor="text1"/>
                      <w:szCs w:val="21"/>
                      <w14:textFill>
                        <w14:solidFill>
                          <w14:schemeClr w14:val="tx1"/>
                        </w14:solidFill>
                      </w14:textFill>
                    </w:rPr>
                    <w:t>类水标准，县级及以上集中式饮用水水源地水质达标率100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COD</w:t>
                  </w:r>
                  <w:r>
                    <w:rPr>
                      <w:color w:val="000000" w:themeColor="text1"/>
                      <w:szCs w:val="21"/>
                      <w14:textFill>
                        <w14:solidFill>
                          <w14:schemeClr w14:val="tx1"/>
                        </w14:solidFill>
                      </w14:textFill>
                    </w:rPr>
                    <w:t>重点工程减排量10243t，氨氮重点工程减排量1009t。</w:t>
                  </w:r>
                </w:p>
                <w:p w14:paraId="75F98D9F">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到2025年，昆明市环境空气质量优良天数比例应达到99.1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，城市细颗粒物（PM</w:t>
                  </w:r>
                  <w:r>
                    <w:rPr>
                      <w:color w:val="000000" w:themeColor="text1"/>
                      <w:szCs w:val="21"/>
                      <w:vertAlign w:val="subscript"/>
                      <w14:textFill>
                        <w14:solidFill>
                          <w14:schemeClr w14:val="tx1"/>
                        </w14:solidFill>
                      </w14:textFill>
                    </w:rPr>
                    <w:t>2.5</w:t>
                  </w:r>
                  <w:r>
                    <w:rPr>
                      <w:color w:val="000000" w:themeColor="text1"/>
                      <w:szCs w:val="21"/>
                      <w14:textFill>
                        <w14:solidFill>
                          <w14:schemeClr w14:val="tx1"/>
                        </w14:solidFill>
                      </w14:textFill>
                    </w:rPr>
                    <w:t>）平均浓度应达到24μg/m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color w:val="000000" w:themeColor="text1"/>
                      <w:szCs w:val="21"/>
                      <w:lang w:val="zh-CN"/>
                      <w14:textFill>
                        <w14:solidFill>
                          <w14:schemeClr w14:val="tx1"/>
                        </w14:solidFill>
                      </w14:textFill>
                    </w:rPr>
                    <w:t>NO</w:t>
                  </w:r>
                  <w:r>
                    <w:rPr>
                      <w:color w:val="000000" w:themeColor="text1"/>
                      <w:szCs w:val="21"/>
                      <w:vertAlign w:val="subscript"/>
                      <w:lang w:val="zh-CN"/>
                      <w14:textFill>
                        <w14:solidFill>
                          <w14:schemeClr w14:val="tx1"/>
                        </w14:solidFill>
                      </w14:textFill>
                    </w:rPr>
                    <w:t>X</w:t>
                  </w:r>
                  <w:r>
                    <w:rPr>
                      <w:color w:val="000000" w:themeColor="text1"/>
                      <w:szCs w:val="21"/>
                      <w14:textFill>
                        <w14:solidFill>
                          <w14:schemeClr w14:val="tx1"/>
                        </w14:solidFill>
                      </w14:textFill>
                    </w:rPr>
                    <w:t>重点工程减排量2237t，挥发性有机物重点工程减排量1684t。</w:t>
                  </w:r>
                </w:p>
                <w:p w14:paraId="7DB40B15">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2025年底前，全面完成钢铁企业超低排放改造。持续开展燃煤锅炉整治，推进65</w:t>
                  </w:r>
                  <w:r>
                    <w:rPr>
                      <w:rFonts w:hint="eastAsia"/>
                      <w:color w:val="000000" w:themeColor="text1"/>
                      <w:szCs w:val="21"/>
                      <w14:textFill>
                        <w14:solidFill>
                          <w14:schemeClr w14:val="tx1"/>
                        </w14:solidFill>
                      </w14:textFill>
                    </w:rPr>
                    <w:t>t/h</w:t>
                  </w:r>
                  <w:r>
                    <w:rPr>
                      <w:color w:val="000000" w:themeColor="text1"/>
                      <w:szCs w:val="21"/>
                      <w14:textFill>
                        <w14:solidFill>
                          <w14:schemeClr w14:val="tx1"/>
                        </w14:solidFill>
                      </w14:textFill>
                    </w:rPr>
                    <w:t>以上燃煤锅炉超低排放改造。燃气锅炉推行低氮燃烧，</w:t>
                  </w:r>
                  <w:r>
                    <w:rPr>
                      <w:color w:val="000000" w:themeColor="text1"/>
                      <w:szCs w:val="21"/>
                      <w:lang w:val="zh-CN"/>
                      <w14:textFill>
                        <w14:solidFill>
                          <w14:schemeClr w14:val="tx1"/>
                        </w14:solidFill>
                      </w14:textFill>
                    </w:rPr>
                    <w:t>NO</w:t>
                  </w:r>
                  <w:r>
                    <w:rPr>
                      <w:color w:val="000000" w:themeColor="text1"/>
                      <w:szCs w:val="21"/>
                      <w:vertAlign w:val="subscript"/>
                      <w:lang w:val="zh-CN"/>
                      <w14:textFill>
                        <w14:solidFill>
                          <w14:schemeClr w14:val="tx1"/>
                        </w14:solidFill>
                      </w14:textFill>
                    </w:rPr>
                    <w:t>X</w:t>
                  </w:r>
                  <w:r>
                    <w:rPr>
                      <w:color w:val="000000" w:themeColor="text1"/>
                      <w:szCs w:val="21"/>
                      <w14:textFill>
                        <w14:solidFill>
                          <w14:schemeClr w14:val="tx1"/>
                        </w14:solidFill>
                      </w14:textFill>
                    </w:rPr>
                    <w:t>排放浓度不高于50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。重点涉气排放企业逐步取消烟气旁路，因安全生产无法取消的，安装在线监管系统。</w:t>
                  </w:r>
                </w:p>
                <w:p w14:paraId="25CAED3F">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建立完善源头、过程和末端的VOCs全过程控制体系，实施VOCs排放总量控制。</w:t>
                  </w:r>
                </w:p>
                <w:p w14:paraId="15A51715">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推进农业废弃物综合利用，2025年底前综合利用率达90%以上。</w:t>
                  </w:r>
                </w:p>
                <w:p w14:paraId="18CB8392">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滇池流域：2025年底前，完成流域内城镇雨污分流改造，城镇污水收集率达95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以上，农村生活污水收集处理率达75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以上，畜禽粪污综合利用率达90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以上，城市生活垃圾处理率达97</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以上，实现农村生活垃圾分类投放、统一运输、集中处理。</w:t>
                  </w:r>
                </w:p>
                <w:p w14:paraId="0D85347D">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阳宗海流域：推进农业废弃物综合利用，2025年底前农作物综合利用率达90%以上，畜禽粪污综合利用率达96%以上，农膜回收利用率达85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以上。2025年底前，完成流域内城镇雨污分流改造，城镇污水收集率达95%以上，农村生活污水收集处理率达75%以上，畜禽粪污综合利用率达90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以上，城镇生活垃圾处理率达97%以上，实现农村生活垃圾分类投放、统一运输、集中处理。</w:t>
                  </w:r>
                </w:p>
                <w:p w14:paraId="64123BAA">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督促指导磷石膏生产企业配套建设（或委托建设）相应能力的磷石膏无害化处理设施，采用水洗、焙烧、浮选、中和等技术对磷石膏进行无害化处理，确保在2025年新产生磷石膏实现100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无害化处理，从根本上降低磷石膏污染隐患。无害化处理后暂时不能利用的磷石膏，应当按生态环境、应急管理要求依法依规安全环保分类存放。</w:t>
                  </w:r>
                </w:p>
                <w:p w14:paraId="7973348D">
                  <w:pPr>
                    <w:widowControl/>
                    <w:rPr>
                      <w:b/>
                      <w:bCs/>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推动昆明市磷石膏综合利用率2023年达到52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，2024年达到64%，2025年确保达到73%，力争达到75%；到2025年底，中心城区污泥无害化处置率达到95%以上，县城污泥无害化处置率达到90%以上。</w:t>
                  </w:r>
                </w:p>
              </w:tc>
              <w:tc>
                <w:tcPr>
                  <w:tcW w:w="2487" w:type="dxa"/>
                  <w:vAlign w:val="center"/>
                </w:tcPr>
                <w:p w14:paraId="6A99A667">
                  <w:pPr>
                    <w:widowControl/>
                    <w:rPr>
                      <w:color w:val="EE0000"/>
                      <w:szCs w:val="21"/>
                    </w:rPr>
                  </w:pPr>
                  <w:r>
                    <w:rPr>
                      <w:rFonts w:hint="eastAsia" w:cs="宋体"/>
                      <w:color w:val="000000" w:themeColor="text1"/>
                      <w:kern w:val="0"/>
                      <w:szCs w:val="21"/>
                      <w:lang w:bidi="ar"/>
                      <w14:textFill>
                        <w14:solidFill>
                          <w14:schemeClr w14:val="tx1"/>
                        </w14:solidFill>
                      </w14:textFill>
                    </w:rPr>
                    <w:t>1、</w:t>
                  </w:r>
                  <w:r>
                    <w:rPr>
                      <w:rFonts w:hint="eastAsia"/>
                      <w:color w:val="000000" w:themeColor="text1"/>
                      <w:szCs w:val="21"/>
                      <w14:textFill>
                        <w14:solidFill>
                          <w14:schemeClr w14:val="tx1"/>
                        </w14:solidFill>
                      </w14:textFill>
                    </w:rPr>
                    <w:t>项目区地表水体果马河规划水平年水功能区水质目标为</w:t>
                  </w:r>
                  <w:r>
                    <w:rPr>
                      <w:rFonts w:ascii="宋体" w:hAnsi="宋体"/>
                      <w:color w:val="000000" w:themeColor="text1"/>
                      <w:szCs w:val="21"/>
                      <w14:textFill>
                        <w14:solidFill>
                          <w14:schemeClr w14:val="tx1"/>
                        </w14:solidFill>
                      </w14:textFill>
                    </w:rPr>
                    <w:t>Ⅲ</w:t>
                  </w:r>
                  <w:r>
                    <w:rPr>
                      <w:rFonts w:hint="eastAsia"/>
                      <w:color w:val="000000" w:themeColor="text1"/>
                      <w:szCs w:val="21"/>
                      <w14:textFill>
                        <w14:solidFill>
                          <w14:schemeClr w14:val="tx1"/>
                        </w14:solidFill>
                      </w14:textFill>
                    </w:rPr>
                    <w:t>类。</w:t>
                  </w:r>
                  <w:r>
                    <w:rPr>
                      <w:rFonts w:hint="eastAsia"/>
                      <w:color w:val="000000" w:themeColor="text1"/>
                      <w:szCs w:val="21"/>
                      <w:lang w:val="zh-CN"/>
                      <w14:textFill>
                        <w14:solidFill>
                          <w14:schemeClr w14:val="tx1"/>
                        </w14:solidFill>
                      </w14:textFill>
                    </w:rPr>
                    <w:t>根据《寻甸县2026年第一季度环境质量公报》，</w:t>
                  </w:r>
                  <w:r>
                    <w:rPr>
                      <w:rFonts w:hint="eastAsia"/>
                      <w:color w:val="000000" w:themeColor="text1"/>
                      <w:szCs w:val="21"/>
                      <w14:textFill>
                        <w14:solidFill>
                          <w14:schemeClr w14:val="tx1"/>
                        </w14:solidFill>
                      </w14:textFill>
                    </w:rPr>
                    <w:t>果马河李家坝断面水质类别满足水质目标</w:t>
                  </w:r>
                  <w:r>
                    <w:rPr>
                      <w:rFonts w:ascii="宋体" w:hAnsi="宋体"/>
                      <w:color w:val="000000" w:themeColor="text1"/>
                      <w:szCs w:val="21"/>
                      <w14:textFill>
                        <w14:solidFill>
                          <w14:schemeClr w14:val="tx1"/>
                        </w14:solidFill>
                      </w14:textFill>
                    </w:rPr>
                    <w:t>Ⅲ</w:t>
                  </w:r>
                  <w:r>
                    <w:rPr>
                      <w:rFonts w:hint="eastAsia"/>
                      <w:color w:val="000000" w:themeColor="text1"/>
                      <w:szCs w:val="21"/>
                      <w14:textFill>
                        <w14:solidFill>
                          <w14:schemeClr w14:val="tx1"/>
                        </w14:solidFill>
                      </w14:textFill>
                    </w:rPr>
                    <w:t>类要求。</w:t>
                  </w:r>
                </w:p>
                <w:p w14:paraId="58164D20">
                  <w:pPr>
                    <w:widowControl/>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项目生产废水依托厂区现有生产废水处理站处理达标后用于厂区绿化、洒水降尘。</w:t>
                  </w:r>
                  <w:r>
                    <w:rPr>
                      <w:rFonts w:hint="eastAsia"/>
                      <w:szCs w:val="21"/>
                    </w:rPr>
                    <w:t>生活污水经隔油池、化粪池预处理后接入市政污水管网，最终进入羊街镇污水处理站处理。</w:t>
                  </w:r>
                </w:p>
                <w:p w14:paraId="44449474">
                  <w:pPr>
                    <w:widowControl/>
                    <w:rPr>
                      <w:color w:val="000000" w:themeColor="text1"/>
                      <w:szCs w:val="21"/>
                      <w:lang w:val="zh-CN"/>
                      <w14:textFill>
                        <w14:solidFill>
                          <w14:schemeClr w14:val="tx1"/>
                        </w14:solidFill>
                      </w14:textFill>
                    </w:rPr>
                  </w:pPr>
                  <w:r>
                    <w:rPr>
                      <w:rFonts w:hint="eastAsia" w:cs="宋体"/>
                      <w:color w:val="000000" w:themeColor="text1"/>
                      <w:szCs w:val="21"/>
                      <w:lang w:bidi="ar"/>
                      <w14:textFill>
                        <w14:solidFill>
                          <w14:schemeClr w14:val="tx1"/>
                        </w14:solidFill>
                      </w14:textFill>
                    </w:rPr>
                    <w:t>2、</w:t>
                  </w:r>
                  <w:r>
                    <w:rPr>
                      <w:rFonts w:hint="eastAsia"/>
                      <w:color w:val="000000" w:themeColor="text1"/>
                      <w:szCs w:val="21"/>
                      <w:lang w:val="zh-CN"/>
                      <w14:textFill>
                        <w14:solidFill>
                          <w14:schemeClr w14:val="tx1"/>
                        </w14:solidFill>
                      </w14:textFill>
                    </w:rPr>
                    <w:t>项目区属于环境空气功能二类区。根据《寻甸县2026年第一季度环境质量公报》，全县环境空气质量优良天数占比为100%，满足《环境空气质量标准》（GB3095-2026）二级标准。</w:t>
                  </w:r>
                </w:p>
                <w:p w14:paraId="75F67E7D">
                  <w:pPr>
                    <w:widowControl/>
                    <w:rPr>
                      <w:szCs w:val="21"/>
                      <w:lang w:val="zh-CN"/>
                    </w:rPr>
                  </w:pPr>
                  <w:r>
                    <w:rPr>
                      <w:rFonts w:hint="eastAsia"/>
                      <w:szCs w:val="21"/>
                      <w:lang w:val="zh-CN"/>
                    </w:rPr>
                    <w:t>项目通过及时清理粪便，冲洗地面，加强车间机械通风，喷洒生物除臭剂，加装封闭围栏，污水臭氧催化氧化塔内密闭处理，预留恶臭污染物集中收集、处理、导排设施等措施，减缓对环境空气的影响，</w:t>
                  </w:r>
                  <w:r>
                    <w:rPr>
                      <w:szCs w:val="21"/>
                      <w:lang w:val="zh-CN"/>
                    </w:rPr>
                    <w:t>不会改变</w:t>
                  </w:r>
                  <w:r>
                    <w:rPr>
                      <w:rFonts w:hint="eastAsia"/>
                      <w:szCs w:val="21"/>
                      <w:lang w:val="zh-CN"/>
                    </w:rPr>
                    <w:t>区域</w:t>
                  </w:r>
                  <w:r>
                    <w:rPr>
                      <w:szCs w:val="21"/>
                      <w:lang w:val="zh-CN"/>
                    </w:rPr>
                    <w:t>环境空气</w:t>
                  </w:r>
                  <w:r>
                    <w:rPr>
                      <w:rFonts w:hint="eastAsia"/>
                      <w:szCs w:val="21"/>
                      <w:lang w:val="zh-CN"/>
                    </w:rPr>
                    <w:t>质量</w:t>
                  </w:r>
                  <w:r>
                    <w:rPr>
                      <w:szCs w:val="21"/>
                      <w:lang w:val="zh-CN"/>
                    </w:rPr>
                    <w:t>功能。</w:t>
                  </w:r>
                </w:p>
                <w:p w14:paraId="293D22C2">
                  <w:pPr>
                    <w:pStyle w:val="6"/>
                    <w:jc w:val="both"/>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3、项目不涉及。</w:t>
                  </w:r>
                </w:p>
                <w:p w14:paraId="44603D0B">
                  <w:pPr>
                    <w:pStyle w:val="6"/>
                    <w:jc w:val="both"/>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4、项目不涉及。</w:t>
                  </w:r>
                </w:p>
                <w:p w14:paraId="32969695">
                  <w:pPr>
                    <w:pStyle w:val="6"/>
                    <w:jc w:val="both"/>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5、项目不涉及。</w:t>
                  </w:r>
                </w:p>
                <w:p w14:paraId="0D0A6080">
                  <w:pPr>
                    <w:pStyle w:val="6"/>
                    <w:jc w:val="both"/>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6、项目不涉及。</w:t>
                  </w:r>
                </w:p>
                <w:p w14:paraId="75B02B61">
                  <w:pPr>
                    <w:pStyle w:val="6"/>
                    <w:jc w:val="both"/>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7、项目不涉及。</w:t>
                  </w:r>
                </w:p>
                <w:p w14:paraId="5EB3B180">
                  <w:pPr>
                    <w:pStyle w:val="6"/>
                    <w:jc w:val="both"/>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8、项目不涉及。</w:t>
                  </w:r>
                </w:p>
                <w:p w14:paraId="61FDC1F4">
                  <w:pPr>
                    <w:pStyle w:val="6"/>
                    <w:jc w:val="both"/>
                    <w:rPr>
                      <w:rFonts w:cs="宋体"/>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9、项目不涉及。</w:t>
                  </w:r>
                </w:p>
              </w:tc>
              <w:tc>
                <w:tcPr>
                  <w:tcW w:w="890" w:type="dxa"/>
                  <w:vAlign w:val="center"/>
                </w:tcPr>
                <w:p w14:paraId="5F069770">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符合</w:t>
                  </w:r>
                </w:p>
              </w:tc>
            </w:tr>
            <w:tr w14:paraId="54B8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3" w:type="dxa"/>
                  <w:vMerge w:val="continue"/>
                  <w:vAlign w:val="center"/>
                </w:tcPr>
                <w:p w14:paraId="027DBD55">
                  <w:pPr>
                    <w:widowControl/>
                    <w:jc w:val="center"/>
                    <w:rPr>
                      <w:b/>
                      <w:bCs/>
                      <w:color w:val="000000" w:themeColor="text1"/>
                      <w:kern w:val="0"/>
                      <w:szCs w:val="21"/>
                      <w:lang w:bidi="ar"/>
                      <w14:textFill>
                        <w14:solidFill>
                          <w14:schemeClr w14:val="tx1"/>
                        </w14:solidFill>
                      </w14:textFill>
                    </w:rPr>
                  </w:pPr>
                </w:p>
              </w:tc>
              <w:tc>
                <w:tcPr>
                  <w:tcW w:w="650" w:type="dxa"/>
                  <w:vAlign w:val="center"/>
                </w:tcPr>
                <w:p w14:paraId="2CD51F33">
                  <w:pPr>
                    <w:widowControl/>
                    <w:jc w:val="center"/>
                    <w:rPr>
                      <w:b/>
                      <w:bCs/>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环境风险防控</w:t>
                  </w:r>
                </w:p>
              </w:tc>
              <w:tc>
                <w:tcPr>
                  <w:tcW w:w="3168" w:type="dxa"/>
                  <w:vAlign w:val="center"/>
                </w:tcPr>
                <w:p w14:paraId="014703E9">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1、加大放射性物质、电磁辐射、危险废物、医疗废物、尾矿库渣场、危险化学品、重金属等风险要素防控力度，全过程监控风险要素产生、使用、储存、运输、处理处置，实现智能化预警与报警，有效降低各类环境风险。</w:t>
                  </w:r>
                </w:p>
                <w:p w14:paraId="3876B02D">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2、针对持久性有机污染物、内分泌干扰物等新污染物，制定实施新污染物治理行动方案，开展新污染物筛查与评估，建立清单，开展化学物质生产使用信息调查，实施调查监测和环境风险评估。</w:t>
                  </w:r>
                </w:p>
                <w:p w14:paraId="1DFB058F">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235E612A">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4、开展“千吨万人”农村饮用水水源保护区环境风险排查整治，加强农村水源水质监测。</w:t>
                  </w:r>
                </w:p>
                <w:p w14:paraId="14A2AB29">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071ABFA6">
                  <w:pPr>
                    <w:widowControl/>
                    <w:rPr>
                      <w:b/>
                      <w:bCs/>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6、严格新（改、扩）建尾矿库环境准入，健全尾矿库环境监管清单，加强尾矿库分类分级环境监管。严格落实《云南省尾矿库专项整治工作实施方案》。</w:t>
                  </w:r>
                </w:p>
              </w:tc>
              <w:tc>
                <w:tcPr>
                  <w:tcW w:w="2487" w:type="dxa"/>
                  <w:vAlign w:val="center"/>
                </w:tcPr>
                <w:p w14:paraId="1151BD04">
                  <w:pPr>
                    <w:widowControl/>
                    <w:rPr>
                      <w:color w:val="000000" w:themeColor="text1"/>
                      <w:szCs w:val="21"/>
                      <w:lang w:val="zh-CN"/>
                      <w14:textFill>
                        <w14:solidFill>
                          <w14:schemeClr w14:val="tx1"/>
                        </w14:solidFill>
                      </w14:textFill>
                    </w:rPr>
                  </w:pPr>
                  <w:r>
                    <w:rPr>
                      <w:rFonts w:hint="eastAsia" w:cs="宋体"/>
                      <w:color w:val="000000" w:themeColor="text1"/>
                      <w:kern w:val="0"/>
                      <w:szCs w:val="21"/>
                      <w:lang w:bidi="ar"/>
                      <w14:textFill>
                        <w14:solidFill>
                          <w14:schemeClr w14:val="tx1"/>
                        </w14:solidFill>
                      </w14:textFill>
                    </w:rPr>
                    <w:t>1、</w:t>
                  </w:r>
                  <w:r>
                    <w:rPr>
                      <w:rFonts w:hint="eastAsia"/>
                      <w:color w:val="000000" w:themeColor="text1"/>
                      <w:szCs w:val="21"/>
                      <w:lang w:val="zh-CN"/>
                      <w14:textFill>
                        <w14:solidFill>
                          <w14:schemeClr w14:val="tx1"/>
                        </w14:solidFill>
                      </w14:textFill>
                    </w:rPr>
                    <w:t>项目危险废物收集于危废贮存间，委托云南达济再生资源回收利用有限公司处置。</w:t>
                  </w:r>
                </w:p>
                <w:p w14:paraId="60D9BA7D">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2、项目不涉及。</w:t>
                  </w:r>
                </w:p>
                <w:p w14:paraId="597101C6">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3、项目不涉及。</w:t>
                  </w:r>
                </w:p>
                <w:p w14:paraId="76F6ED1D">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4、项目不涉及。</w:t>
                  </w:r>
                </w:p>
                <w:p w14:paraId="14F22440">
                  <w:pPr>
                    <w:pStyle w:val="6"/>
                    <w:jc w:val="both"/>
                    <w:rPr>
                      <w:rFonts w:cs="宋体"/>
                      <w:sz w:val="21"/>
                      <w:szCs w:val="21"/>
                      <w:lang w:bidi="ar"/>
                    </w:rPr>
                  </w:pPr>
                  <w:r>
                    <w:rPr>
                      <w:rFonts w:hint="eastAsia" w:cs="宋体"/>
                      <w:sz w:val="21"/>
                      <w:szCs w:val="21"/>
                      <w:lang w:bidi="ar"/>
                    </w:rPr>
                    <w:t>5、项目不涉及。</w:t>
                  </w:r>
                </w:p>
                <w:p w14:paraId="1BD43A35">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6、项目不涉及。</w:t>
                  </w:r>
                </w:p>
              </w:tc>
              <w:tc>
                <w:tcPr>
                  <w:tcW w:w="890" w:type="dxa"/>
                  <w:vAlign w:val="center"/>
                </w:tcPr>
                <w:p w14:paraId="37C9D334">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符合</w:t>
                  </w:r>
                </w:p>
              </w:tc>
            </w:tr>
            <w:tr w14:paraId="73A8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3" w:type="dxa"/>
                  <w:vMerge w:val="continue"/>
                  <w:vAlign w:val="center"/>
                </w:tcPr>
                <w:p w14:paraId="3C274327">
                  <w:pPr>
                    <w:widowControl/>
                    <w:jc w:val="center"/>
                    <w:rPr>
                      <w:b/>
                      <w:bCs/>
                      <w:color w:val="000000" w:themeColor="text1"/>
                      <w:kern w:val="0"/>
                      <w:szCs w:val="21"/>
                      <w:lang w:bidi="ar"/>
                      <w14:textFill>
                        <w14:solidFill>
                          <w14:schemeClr w14:val="tx1"/>
                        </w14:solidFill>
                      </w14:textFill>
                    </w:rPr>
                  </w:pPr>
                </w:p>
              </w:tc>
              <w:tc>
                <w:tcPr>
                  <w:tcW w:w="650" w:type="dxa"/>
                  <w:vAlign w:val="center"/>
                </w:tcPr>
                <w:p w14:paraId="4947F24E">
                  <w:pPr>
                    <w:widowControl/>
                    <w:jc w:val="center"/>
                    <w:rPr>
                      <w:b/>
                      <w:bCs/>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资源开发利用效率</w:t>
                  </w:r>
                </w:p>
              </w:tc>
              <w:tc>
                <w:tcPr>
                  <w:tcW w:w="3168" w:type="dxa"/>
                  <w:vAlign w:val="center"/>
                </w:tcPr>
                <w:p w14:paraId="6CFC6D04">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1、到2025年，基本建成与经济社会高质量发展和生态文明建设要求相适应、与由全面建成小康社会向基本实现现代化迈进起步期相协同的水安全保障体系。</w:t>
                  </w:r>
                </w:p>
                <w:p w14:paraId="32FEC53B">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2、节水型生产和生活方式初步建立，用水效率和效益显著提高，全社会节水意识明显增强，新时代节水型社会基本建成。全市用水总量控制在35.48亿m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以内，万元GDP用水量较2020年下降10%，万元工业增加值用水量较2020年下降10%，农田灌溉水有效利用系数提高到0.55以上。</w:t>
                  </w:r>
                </w:p>
                <w:p w14:paraId="4595F62A">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3、万元工业增加值用水量低于30m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w:t>
                  </w:r>
                </w:p>
                <w:p w14:paraId="2AF3725C">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4、2025年底前，全市单位地区生产总值能源消耗较2020年下降14%，能源消费总量得到合理控制。</w:t>
                  </w:r>
                </w:p>
                <w:p w14:paraId="6919A276">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5、单位GDP能源消耗累计下降23.6%，不低于省级下达目标。</w:t>
                  </w:r>
                </w:p>
                <w:p w14:paraId="4E1540D2">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6、对照国家有关高耗能行业重点领域能效标杆水平，实施钢铁、有色金属、冶炼等17个高耗能行业节能降碳改造升级，加快提升重点行业、企业能效水平。</w:t>
                  </w:r>
                </w:p>
                <w:p w14:paraId="4E4F41C3">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7、加强节能监察和探索用能预算管理，实施电机、变压器等重点用能设备能效提升三年行动，推广先进节能技术。</w:t>
                  </w:r>
                </w:p>
                <w:p w14:paraId="36EDB0E6">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8、到2025年，钢铁行业全面完成超低排放改造。</w:t>
                  </w:r>
                </w:p>
                <w:p w14:paraId="6DF584F2">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9、加快推进有色、化工、印染、烟草等行业清洁生产和工业废水资源化利用。</w:t>
                  </w:r>
                </w:p>
                <w:p w14:paraId="5E6A7E1D">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10、到2025年，全市新建大型及以上数据中心绿色低碳等级达到4A以上，电源使用效率（PUE）达到1.3以下，逐步组织电源使用效率超过1.5的数据中心进行节能降碳改造。</w:t>
                  </w:r>
                </w:p>
                <w:p w14:paraId="406F0C4A">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11、“十四五”期间，全市规模以上工业单位增加值能耗下降14.5%，万元工业增加值用水量下降12%。</w:t>
                  </w:r>
                </w:p>
                <w:p w14:paraId="0639B5E2">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12、到2025年，通过实施节能降碳提升工程，钢铁、电解铝、水泥、平板玻璃、炼油、乙烯、合成氨、电石等重点行业产能和数据中心达到能效标杆水平的比例超过30%。</w:t>
                  </w:r>
                </w:p>
                <w:p w14:paraId="701EAB6E">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13、公共机构单位建筑面积碳排放量比2020年下降7%。</w:t>
                  </w:r>
                </w:p>
                <w:p w14:paraId="16EBE75A">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14、非化石能源消费占一次能源消费比重达到40%以上，完成省级下达目标。</w:t>
                  </w:r>
                </w:p>
                <w:p w14:paraId="5A37C49C">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15、单位GDP二氧化碳排放累计下降23%，不低于省级下达目标。16、严把新上项目的碳排放关，严格环境影响评价审批，加强固定资产投资项目节能审查，推动新建“两高一低”项目能效水平应提尽提。</w:t>
                  </w:r>
                </w:p>
                <w:p w14:paraId="175692C3">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5ED33F70">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18、加快淘汰落后和低端低效产能退出。</w:t>
                  </w:r>
                </w:p>
                <w:p w14:paraId="68276A95">
                  <w:pPr>
                    <w:widowControl/>
                    <w:rPr>
                      <w:b/>
                      <w:bCs/>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19、指导金融机构加强“两高一低”项目贷前审核。</w:t>
                  </w:r>
                </w:p>
              </w:tc>
              <w:tc>
                <w:tcPr>
                  <w:tcW w:w="2487" w:type="dxa"/>
                  <w:vAlign w:val="center"/>
                </w:tcPr>
                <w:p w14:paraId="4B30C493">
                  <w:pPr>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1、项目不涉及。</w:t>
                  </w:r>
                </w:p>
                <w:p w14:paraId="28F20B34">
                  <w:pPr>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2、</w:t>
                  </w:r>
                  <w:r>
                    <w:rPr>
                      <w:rFonts w:hint="eastAsia" w:cs="宋体"/>
                      <w:szCs w:val="21"/>
                    </w:rPr>
                    <w:t>项目</w:t>
                  </w:r>
                  <w:r>
                    <w:rPr>
                      <w:rFonts w:hint="eastAsia"/>
                    </w:rPr>
                    <w:t>用水由市政自来水管网供给，不会突破用水总量控制指标。</w:t>
                  </w:r>
                </w:p>
                <w:p w14:paraId="567AADE7">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3、项目不涉及。</w:t>
                  </w:r>
                </w:p>
                <w:p w14:paraId="17808469">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4、项目不涉及。</w:t>
                  </w:r>
                </w:p>
                <w:p w14:paraId="1EEE7427">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5、项目不涉及。</w:t>
                  </w:r>
                </w:p>
                <w:p w14:paraId="039E93F0">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6、项目不涉及。</w:t>
                  </w:r>
                </w:p>
                <w:p w14:paraId="768C229F">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7、项目不涉及。</w:t>
                  </w:r>
                </w:p>
                <w:p w14:paraId="75045C7D">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8、项目不涉及。</w:t>
                  </w:r>
                </w:p>
                <w:p w14:paraId="099AB770">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9、项目不涉及。</w:t>
                  </w:r>
                </w:p>
                <w:p w14:paraId="2A3A0792">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10、项目不涉及。</w:t>
                  </w:r>
                </w:p>
                <w:p w14:paraId="612A7614">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11、项目不涉及。</w:t>
                  </w:r>
                </w:p>
                <w:p w14:paraId="220993C6">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12、项目不涉及。</w:t>
                  </w:r>
                </w:p>
                <w:p w14:paraId="17BC7BD5">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13、项目不涉及。</w:t>
                  </w:r>
                </w:p>
                <w:p w14:paraId="2C3FFC31">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14、项目不涉及。</w:t>
                  </w:r>
                </w:p>
                <w:p w14:paraId="4535F662">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15、项目不涉及。</w:t>
                  </w:r>
                </w:p>
                <w:p w14:paraId="14BABD33">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16、项目不涉及。</w:t>
                  </w:r>
                </w:p>
                <w:p w14:paraId="1EA76896">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17、项目不涉及。</w:t>
                  </w:r>
                </w:p>
                <w:p w14:paraId="5B74502A">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18、项目不涉及。</w:t>
                  </w:r>
                </w:p>
                <w:p w14:paraId="68A48E86">
                  <w:pPr>
                    <w:pStyle w:val="6"/>
                    <w:jc w:val="both"/>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19、项目不涉及。</w:t>
                  </w:r>
                </w:p>
              </w:tc>
              <w:tc>
                <w:tcPr>
                  <w:tcW w:w="890" w:type="dxa"/>
                  <w:vAlign w:val="center"/>
                </w:tcPr>
                <w:p w14:paraId="0BFC9335">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符合</w:t>
                  </w:r>
                </w:p>
              </w:tc>
            </w:tr>
          </w:tbl>
          <w:p w14:paraId="4C5F7B06">
            <w:pPr>
              <w:widowControl/>
              <w:rPr>
                <w:rFonts w:cs="宋体"/>
                <w:b/>
                <w:bCs/>
                <w:color w:val="000000" w:themeColor="text1"/>
                <w:kern w:val="0"/>
                <w:szCs w:val="21"/>
                <w:lang w:bidi="ar"/>
                <w14:textFill>
                  <w14:solidFill>
                    <w14:schemeClr w14:val="tx1"/>
                  </w14:solidFill>
                </w14:textFill>
              </w:rPr>
            </w:pPr>
          </w:p>
          <w:p w14:paraId="50AD539D">
            <w:pPr>
              <w:widowControl/>
              <w:jc w:val="center"/>
              <w:rPr>
                <w:rFonts w:cs="宋体"/>
                <w:b/>
                <w:bCs/>
                <w:color w:val="000000" w:themeColor="text1"/>
                <w:kern w:val="0"/>
                <w:szCs w:val="21"/>
                <w:lang w:bidi="ar"/>
                <w14:textFill>
                  <w14:solidFill>
                    <w14:schemeClr w14:val="tx1"/>
                  </w14:solidFill>
                </w14:textFill>
              </w:rPr>
            </w:pPr>
            <w:r>
              <w:rPr>
                <w:rFonts w:hint="eastAsia" w:cs="宋体"/>
                <w:b/>
                <w:bCs/>
                <w:color w:val="000000" w:themeColor="text1"/>
                <w:kern w:val="0"/>
                <w:szCs w:val="21"/>
                <w:lang w:bidi="ar"/>
                <w14:textFill>
                  <w14:solidFill>
                    <w14:schemeClr w14:val="tx1"/>
                  </w14:solidFill>
                </w14:textFill>
              </w:rPr>
              <w:t>表1-4 项目生态环境准入清单符合性分析</w:t>
            </w:r>
          </w:p>
          <w:tbl>
            <w:tblPr>
              <w:tblStyle w:val="22"/>
              <w:tblW w:w="7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893"/>
              <w:gridCol w:w="2614"/>
              <w:gridCol w:w="2212"/>
              <w:gridCol w:w="892"/>
            </w:tblGrid>
            <w:tr w14:paraId="45FF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85" w:type="dxa"/>
                  <w:vAlign w:val="center"/>
                </w:tcPr>
                <w:p w14:paraId="246D875A">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管控单元</w:t>
                  </w:r>
                </w:p>
              </w:tc>
              <w:tc>
                <w:tcPr>
                  <w:tcW w:w="893" w:type="dxa"/>
                  <w:vAlign w:val="center"/>
                </w:tcPr>
                <w:p w14:paraId="18EE4EF4">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类别</w:t>
                  </w:r>
                </w:p>
              </w:tc>
              <w:tc>
                <w:tcPr>
                  <w:tcW w:w="2614" w:type="dxa"/>
                  <w:vAlign w:val="center"/>
                </w:tcPr>
                <w:p w14:paraId="0957B685">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内容要求</w:t>
                  </w:r>
                </w:p>
              </w:tc>
              <w:tc>
                <w:tcPr>
                  <w:tcW w:w="2212" w:type="dxa"/>
                  <w:vAlign w:val="center"/>
                </w:tcPr>
                <w:p w14:paraId="0501B18F">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项目情况</w:t>
                  </w:r>
                </w:p>
              </w:tc>
              <w:tc>
                <w:tcPr>
                  <w:tcW w:w="892" w:type="dxa"/>
                  <w:vAlign w:val="center"/>
                </w:tcPr>
                <w:p w14:paraId="2D0578FE">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符合性</w:t>
                  </w:r>
                </w:p>
              </w:tc>
            </w:tr>
            <w:tr w14:paraId="3EE4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85" w:type="dxa"/>
                  <w:vMerge w:val="restart"/>
                  <w:vAlign w:val="center"/>
                </w:tcPr>
                <w:p w14:paraId="72BA0C09">
                  <w:pPr>
                    <w:widowControl/>
                    <w:jc w:val="center"/>
                    <w:rPr>
                      <w:b/>
                      <w:bCs/>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寻甸回族彝族自治县乡镇生活污染重点管控单元</w:t>
                  </w:r>
                </w:p>
              </w:tc>
              <w:tc>
                <w:tcPr>
                  <w:tcW w:w="893" w:type="dxa"/>
                  <w:vAlign w:val="center"/>
                </w:tcPr>
                <w:p w14:paraId="666CB851">
                  <w:pPr>
                    <w:widowControl/>
                    <w:jc w:val="center"/>
                    <w:rPr>
                      <w:color w:val="000000" w:themeColor="text1"/>
                      <w:kern w:val="0"/>
                      <w:szCs w:val="21"/>
                      <w:lang w:bidi="ar"/>
                      <w14:textFill>
                        <w14:solidFill>
                          <w14:schemeClr w14:val="tx1"/>
                        </w14:solidFill>
                      </w14:textFill>
                    </w:rPr>
                  </w:pPr>
                  <w:r>
                    <w:rPr>
                      <w:rFonts w:cs="宋体"/>
                      <w:color w:val="000000" w:themeColor="text1"/>
                      <w:szCs w:val="21"/>
                      <w14:textFill>
                        <w14:solidFill>
                          <w14:schemeClr w14:val="tx1"/>
                        </w14:solidFill>
                      </w14:textFill>
                    </w:rPr>
                    <w:t>空间布局约束</w:t>
                  </w:r>
                </w:p>
              </w:tc>
              <w:tc>
                <w:tcPr>
                  <w:tcW w:w="2614" w:type="dxa"/>
                  <w:vAlign w:val="center"/>
                </w:tcPr>
                <w:p w14:paraId="73E7EFC9">
                  <w:pPr>
                    <w:widowControl/>
                    <w:rPr>
                      <w:b/>
                      <w:bCs/>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引导人口和产业向城镇开发区集聚，向文化汇聚地和休闲中心发展。</w:t>
                  </w:r>
                </w:p>
              </w:tc>
              <w:tc>
                <w:tcPr>
                  <w:tcW w:w="2212" w:type="dxa"/>
                  <w:vAlign w:val="center"/>
                </w:tcPr>
                <w:p w14:paraId="23E6F598">
                  <w:pPr>
                    <w:widowControl/>
                    <w:rPr>
                      <w:b/>
                      <w:bCs/>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项目不涉及。</w:t>
                  </w:r>
                </w:p>
              </w:tc>
              <w:tc>
                <w:tcPr>
                  <w:tcW w:w="892" w:type="dxa"/>
                  <w:vAlign w:val="center"/>
                </w:tcPr>
                <w:p w14:paraId="6E68A08F">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符合</w:t>
                  </w:r>
                </w:p>
              </w:tc>
            </w:tr>
            <w:tr w14:paraId="549B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85" w:type="dxa"/>
                  <w:vMerge w:val="continue"/>
                  <w:vAlign w:val="center"/>
                </w:tcPr>
                <w:p w14:paraId="5C5197FD">
                  <w:pPr>
                    <w:widowControl/>
                    <w:jc w:val="center"/>
                    <w:rPr>
                      <w:rFonts w:cs="宋体"/>
                      <w:color w:val="000000" w:themeColor="text1"/>
                      <w:kern w:val="0"/>
                      <w:szCs w:val="21"/>
                      <w:lang w:bidi="ar"/>
                      <w14:textFill>
                        <w14:solidFill>
                          <w14:schemeClr w14:val="tx1"/>
                        </w14:solidFill>
                      </w14:textFill>
                    </w:rPr>
                  </w:pPr>
                </w:p>
              </w:tc>
              <w:tc>
                <w:tcPr>
                  <w:tcW w:w="893" w:type="dxa"/>
                  <w:vAlign w:val="center"/>
                </w:tcPr>
                <w:p w14:paraId="41409994">
                  <w:pPr>
                    <w:widowControl/>
                    <w:jc w:val="center"/>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污染物排放管控</w:t>
                  </w:r>
                </w:p>
              </w:tc>
              <w:tc>
                <w:tcPr>
                  <w:tcW w:w="2614" w:type="dxa"/>
                  <w:vAlign w:val="center"/>
                </w:tcPr>
                <w:p w14:paraId="5A0C7C72">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完善生活污水收集处理系统，因地制宜，梯次推进农村生活污水治理工作，减少生活污水直接进入城区河道及湖库。</w:t>
                  </w:r>
                </w:p>
                <w:p w14:paraId="059B442E">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到2025年农村生活污水治理率达74%。</w:t>
                  </w:r>
                </w:p>
                <w:p w14:paraId="0EB4D6C3">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城市污水管网尚未配套的地区，房地产开发项目应自行建设污水处理设施，污水处理后达标排放。</w:t>
                  </w:r>
                </w:p>
                <w:p w14:paraId="6650A658">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按国家、省、市相关标准建设、改造、提升满足实际需求的环卫基础设施。</w:t>
                  </w:r>
                </w:p>
              </w:tc>
              <w:tc>
                <w:tcPr>
                  <w:tcW w:w="2212" w:type="dxa"/>
                  <w:vAlign w:val="center"/>
                </w:tcPr>
                <w:p w14:paraId="2E634CEF">
                  <w:pPr>
                    <w:widowControl/>
                    <w:rPr>
                      <w:kern w:val="0"/>
                      <w:szCs w:val="21"/>
                      <w:lang w:bidi="ar"/>
                    </w:rPr>
                  </w:pPr>
                  <w:r>
                    <w:rPr>
                      <w:rFonts w:hint="eastAsia"/>
                      <w:kern w:val="0"/>
                      <w:szCs w:val="21"/>
                      <w:lang w:bidi="ar"/>
                    </w:rPr>
                    <w:t>1、项目不涉及。</w:t>
                  </w:r>
                </w:p>
                <w:p w14:paraId="3D13104A">
                  <w:pPr>
                    <w:widowControl/>
                    <w:rPr>
                      <w:kern w:val="0"/>
                      <w:szCs w:val="21"/>
                      <w:lang w:bidi="ar"/>
                    </w:rPr>
                  </w:pPr>
                  <w:r>
                    <w:rPr>
                      <w:rFonts w:hint="eastAsia"/>
                      <w:kern w:val="0"/>
                      <w:szCs w:val="21"/>
                      <w:lang w:bidi="ar"/>
                    </w:rPr>
                    <w:t>2、项目不涉及。</w:t>
                  </w:r>
                </w:p>
                <w:p w14:paraId="0232D9B0">
                  <w:pPr>
                    <w:widowControl/>
                    <w:rPr>
                      <w:kern w:val="0"/>
                      <w:szCs w:val="21"/>
                      <w:lang w:bidi="ar"/>
                    </w:rPr>
                  </w:pPr>
                  <w:r>
                    <w:rPr>
                      <w:rFonts w:hint="eastAsia"/>
                      <w:kern w:val="0"/>
                      <w:szCs w:val="21"/>
                      <w:lang w:bidi="ar"/>
                    </w:rPr>
                    <w:t>3、项目不涉及。</w:t>
                  </w:r>
                </w:p>
                <w:p w14:paraId="3F0A672B">
                  <w:pPr>
                    <w:widowControl/>
                  </w:pPr>
                  <w:r>
                    <w:rPr>
                      <w:rFonts w:hint="eastAsia"/>
                      <w:kern w:val="0"/>
                      <w:szCs w:val="21"/>
                      <w:lang w:bidi="ar"/>
                    </w:rPr>
                    <w:t>4、项目生活垃圾收集后由环卫部门清运处置，牲畜粪便及屠宰粪便收集于粪便临时堆场清运用作农肥，病死牲畜及屠宰加工废弃组织暂存于冷库，委托石林鑫欣桥环保科技有限公司无害化处置。</w:t>
                  </w:r>
                </w:p>
              </w:tc>
              <w:tc>
                <w:tcPr>
                  <w:tcW w:w="892" w:type="dxa"/>
                  <w:vAlign w:val="center"/>
                </w:tcPr>
                <w:p w14:paraId="0D24B75D">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符合</w:t>
                  </w:r>
                </w:p>
              </w:tc>
            </w:tr>
            <w:tr w14:paraId="67FD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85" w:type="dxa"/>
                  <w:vMerge w:val="continue"/>
                  <w:vAlign w:val="center"/>
                </w:tcPr>
                <w:p w14:paraId="5DB3E435">
                  <w:pPr>
                    <w:widowControl/>
                    <w:rPr>
                      <w:rFonts w:cs="宋体"/>
                      <w:color w:val="000000" w:themeColor="text1"/>
                      <w:kern w:val="0"/>
                      <w:szCs w:val="21"/>
                      <w:lang w:bidi="ar"/>
                      <w14:textFill>
                        <w14:solidFill>
                          <w14:schemeClr w14:val="tx1"/>
                        </w14:solidFill>
                      </w14:textFill>
                    </w:rPr>
                  </w:pPr>
                </w:p>
              </w:tc>
              <w:tc>
                <w:tcPr>
                  <w:tcW w:w="893" w:type="dxa"/>
                  <w:vAlign w:val="center"/>
                </w:tcPr>
                <w:p w14:paraId="5946BE56">
                  <w:pPr>
                    <w:widowControl/>
                    <w:jc w:val="center"/>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环境风险防控</w:t>
                  </w:r>
                </w:p>
              </w:tc>
              <w:tc>
                <w:tcPr>
                  <w:tcW w:w="2614" w:type="dxa"/>
                  <w:vAlign w:val="center"/>
                </w:tcPr>
                <w:p w14:paraId="0A00D777">
                  <w:pPr>
                    <w:widowControl/>
                    <w:rPr>
                      <w:szCs w:val="21"/>
                    </w:rPr>
                  </w:pPr>
                  <w:r>
                    <w:rPr>
                      <w:szCs w:val="21"/>
                    </w:rPr>
                    <w:t>建立健全突发环境事件预警应急机制，定期组织开展预案演练。</w:t>
                  </w:r>
                </w:p>
              </w:tc>
              <w:tc>
                <w:tcPr>
                  <w:tcW w:w="2212" w:type="dxa"/>
                  <w:vAlign w:val="center"/>
                </w:tcPr>
                <w:p w14:paraId="5D56AB1F">
                  <w:pPr>
                    <w:widowControl/>
                    <w:rPr>
                      <w:b/>
                      <w:bCs/>
                      <w:kern w:val="0"/>
                      <w:szCs w:val="21"/>
                      <w:lang w:bidi="ar"/>
                    </w:rPr>
                  </w:pPr>
                  <w:r>
                    <w:rPr>
                      <w:rFonts w:hint="eastAsia"/>
                    </w:rPr>
                    <w:t>企业编制有《云南海潮集团听牧肉牛产业股份有限公司突发环境事件应急预案（第二版）》，报昆明市生态环境局寻甸分局备案。企业定期组织开展突发环境事件应急演练</w:t>
                  </w:r>
                  <w:r>
                    <w:rPr>
                      <w:rFonts w:hint="eastAsia"/>
                      <w:szCs w:val="21"/>
                    </w:rPr>
                    <w:t>。</w:t>
                  </w:r>
                </w:p>
              </w:tc>
              <w:tc>
                <w:tcPr>
                  <w:tcW w:w="892" w:type="dxa"/>
                  <w:vAlign w:val="center"/>
                </w:tcPr>
                <w:p w14:paraId="60EFBB9F">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符合</w:t>
                  </w:r>
                </w:p>
              </w:tc>
            </w:tr>
            <w:tr w14:paraId="7C82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85" w:type="dxa"/>
                  <w:vMerge w:val="continue"/>
                  <w:vAlign w:val="center"/>
                </w:tcPr>
                <w:p w14:paraId="0975DA36">
                  <w:pPr>
                    <w:widowControl/>
                    <w:rPr>
                      <w:rFonts w:cs="宋体"/>
                      <w:color w:val="000000" w:themeColor="text1"/>
                      <w:kern w:val="0"/>
                      <w:szCs w:val="21"/>
                      <w:lang w:bidi="ar"/>
                      <w14:textFill>
                        <w14:solidFill>
                          <w14:schemeClr w14:val="tx1"/>
                        </w14:solidFill>
                      </w14:textFill>
                    </w:rPr>
                  </w:pPr>
                </w:p>
              </w:tc>
              <w:tc>
                <w:tcPr>
                  <w:tcW w:w="893" w:type="dxa"/>
                  <w:vAlign w:val="center"/>
                </w:tcPr>
                <w:p w14:paraId="09411200">
                  <w:pPr>
                    <w:widowControl/>
                    <w:jc w:val="center"/>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资源开发效率要求</w:t>
                  </w:r>
                </w:p>
              </w:tc>
              <w:tc>
                <w:tcPr>
                  <w:tcW w:w="2614" w:type="dxa"/>
                  <w:vAlign w:val="center"/>
                </w:tcPr>
                <w:p w14:paraId="205C4F50">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212" w:type="dxa"/>
                  <w:vAlign w:val="center"/>
                </w:tcPr>
                <w:p w14:paraId="105B6437">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w:t>
                  </w:r>
                </w:p>
              </w:tc>
              <w:tc>
                <w:tcPr>
                  <w:tcW w:w="892" w:type="dxa"/>
                  <w:vAlign w:val="center"/>
                </w:tcPr>
                <w:p w14:paraId="1D2055A5">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r>
          </w:tbl>
          <w:p w14:paraId="07BDD812">
            <w:pPr>
              <w:pStyle w:val="36"/>
              <w:ind w:firstLine="480"/>
              <w:rPr>
                <w:rFonts w:cs="Times New Roman"/>
                <w:color w:val="000000" w:themeColor="text1"/>
                <w:spacing w:val="0"/>
                <w:kern w:val="0"/>
                <w:lang w:eastAsia="zh-CN" w:bidi="ar"/>
                <w14:textFill>
                  <w14:solidFill>
                    <w14:schemeClr w14:val="tx1"/>
                  </w14:solidFill>
                </w14:textFill>
              </w:rPr>
            </w:pPr>
            <w:r>
              <w:rPr>
                <w:rFonts w:cs="Times New Roman"/>
                <w:color w:val="000000" w:themeColor="text1"/>
                <w:spacing w:val="0"/>
                <w:kern w:val="0"/>
                <w:lang w:eastAsia="zh-CN" w:bidi="ar"/>
                <w14:textFill>
                  <w14:solidFill>
                    <w14:schemeClr w14:val="tx1"/>
                  </w14:solidFill>
                </w14:textFill>
              </w:rPr>
              <w:t>综上所述，项目</w:t>
            </w:r>
            <w:r>
              <w:rPr>
                <w:rFonts w:hint="eastAsia" w:cs="Times New Roman"/>
                <w:color w:val="000000" w:themeColor="text1"/>
                <w:spacing w:val="0"/>
                <w:kern w:val="0"/>
                <w:lang w:eastAsia="zh-CN" w:bidi="ar"/>
                <w14:textFill>
                  <w14:solidFill>
                    <w14:schemeClr w14:val="tx1"/>
                  </w14:solidFill>
                </w14:textFill>
              </w:rPr>
              <w:t>与</w:t>
            </w:r>
            <w:r>
              <w:rPr>
                <w:rFonts w:cs="Times New Roman"/>
                <w:color w:val="000000" w:themeColor="text1"/>
                <w:spacing w:val="0"/>
                <w:kern w:val="0"/>
                <w:lang w:eastAsia="zh-CN" w:bidi="ar"/>
                <w14:textFill>
                  <w14:solidFill>
                    <w14:schemeClr w14:val="tx1"/>
                  </w14:solidFill>
                </w14:textFill>
              </w:rPr>
              <w:t>《昆明市生态环境分区管控动态更新方案（2023年）》</w:t>
            </w:r>
            <w:r>
              <w:rPr>
                <w:rFonts w:hint="eastAsia" w:cs="Times New Roman"/>
                <w:color w:val="000000" w:themeColor="text1"/>
                <w:spacing w:val="0"/>
                <w:kern w:val="0"/>
                <w:lang w:eastAsia="zh-CN" w:bidi="ar"/>
                <w14:textFill>
                  <w14:solidFill>
                    <w14:schemeClr w14:val="tx1"/>
                  </w14:solidFill>
                </w14:textFill>
              </w:rPr>
              <w:t>是相协调的</w:t>
            </w:r>
            <w:r>
              <w:rPr>
                <w:rFonts w:cs="Times New Roman"/>
                <w:color w:val="000000" w:themeColor="text1"/>
                <w:spacing w:val="0"/>
                <w:kern w:val="0"/>
                <w:lang w:eastAsia="zh-CN" w:bidi="ar"/>
                <w14:textFill>
                  <w14:solidFill>
                    <w14:schemeClr w14:val="tx1"/>
                  </w14:solidFill>
                </w14:textFill>
              </w:rPr>
              <w:t>。</w:t>
            </w:r>
          </w:p>
          <w:p w14:paraId="0F8EB23E">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5、《中华人民共和国水污染防治法》符合性分析</w:t>
            </w:r>
          </w:p>
          <w:p w14:paraId="7502E50F">
            <w:pPr>
              <w:widowControl/>
              <w:spacing w:line="360" w:lineRule="auto"/>
              <w:ind w:firstLine="480" w:firstLineChars="200"/>
              <w:jc w:val="left"/>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项目与《中华人民共和国水污染防治法》符合性分析见下表。</w:t>
            </w:r>
          </w:p>
          <w:p w14:paraId="665AC271">
            <w:pPr>
              <w:widowControl/>
              <w:jc w:val="left"/>
              <w:rPr>
                <w:rFonts w:cs="宋体"/>
                <w:color w:val="000000" w:themeColor="text1"/>
                <w:kern w:val="0"/>
                <w:sz w:val="24"/>
                <w:lang w:bidi="ar"/>
                <w14:textFill>
                  <w14:solidFill>
                    <w14:schemeClr w14:val="tx1"/>
                  </w14:solidFill>
                </w14:textFill>
              </w:rPr>
            </w:pPr>
          </w:p>
          <w:p w14:paraId="2A4F2774">
            <w:pPr>
              <w:widowControl/>
              <w:jc w:val="left"/>
              <w:rPr>
                <w:color w:val="000000" w:themeColor="text1"/>
                <w14:textFill>
                  <w14:solidFill>
                    <w14:schemeClr w14:val="tx1"/>
                  </w14:solidFill>
                </w14:textFill>
              </w:rPr>
            </w:pPr>
          </w:p>
          <w:p w14:paraId="0B1A6D0F">
            <w:pPr>
              <w:pStyle w:val="29"/>
              <w:outlineLvl w:val="9"/>
              <w:rPr>
                <w:rFonts w:hint="default"/>
                <w:color w:val="000000" w:themeColor="text1"/>
                <w14:textFill>
                  <w14:solidFill>
                    <w14:schemeClr w14:val="tx1"/>
                  </w14:solidFill>
                </w14:textFill>
              </w:rPr>
            </w:pPr>
            <w:r>
              <w:rPr>
                <w:color w:val="000000" w:themeColor="text1"/>
                <w14:textFill>
                  <w14:solidFill>
                    <w14:schemeClr w14:val="tx1"/>
                  </w14:solidFill>
                </w14:textFill>
              </w:rPr>
              <w:t>表1-5 项目与《中华人民共和国水污染防治法》符合性分析</w:t>
            </w:r>
          </w:p>
          <w:tbl>
            <w:tblPr>
              <w:tblStyle w:val="23"/>
              <w:tblW w:w="7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5"/>
              <w:gridCol w:w="3135"/>
              <w:gridCol w:w="967"/>
            </w:tblGrid>
            <w:tr w14:paraId="7B87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328" w:type="pct"/>
                  <w:vAlign w:val="center"/>
                </w:tcPr>
                <w:p w14:paraId="352A501D">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内容要求</w:t>
                  </w:r>
                </w:p>
              </w:tc>
              <w:tc>
                <w:tcPr>
                  <w:tcW w:w="2042" w:type="pct"/>
                  <w:vAlign w:val="center"/>
                </w:tcPr>
                <w:p w14:paraId="33504705">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项目情况</w:t>
                  </w:r>
                </w:p>
              </w:tc>
              <w:tc>
                <w:tcPr>
                  <w:tcW w:w="630" w:type="pct"/>
                  <w:vAlign w:val="center"/>
                </w:tcPr>
                <w:p w14:paraId="29C16688">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符合性</w:t>
                  </w:r>
                </w:p>
              </w:tc>
            </w:tr>
            <w:tr w14:paraId="1865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328" w:type="pct"/>
                  <w:vAlign w:val="center"/>
                </w:tcPr>
                <w:p w14:paraId="66834819">
                  <w:pPr>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排放水污染物，不得超过国家或者地方规定的水污染物排放标准和重点水污染物排放总量控制指标。</w:t>
                  </w:r>
                </w:p>
              </w:tc>
              <w:tc>
                <w:tcPr>
                  <w:tcW w:w="2042" w:type="pct"/>
                  <w:vAlign w:val="center"/>
                </w:tcPr>
                <w:p w14:paraId="5571DBD2">
                  <w:pPr>
                    <w:widowControl/>
                    <w:rPr>
                      <w:color w:val="EE0000"/>
                      <w:szCs w:val="21"/>
                    </w:rPr>
                  </w:pPr>
                  <w:r>
                    <w:rPr>
                      <w:rFonts w:hint="eastAsia"/>
                      <w:color w:val="000000" w:themeColor="text1"/>
                      <w:szCs w:val="21"/>
                      <w14:textFill>
                        <w14:solidFill>
                          <w14:schemeClr w14:val="tx1"/>
                        </w14:solidFill>
                      </w14:textFill>
                    </w:rPr>
                    <w:t>项目生产废水依托厂区现有生产废水处理站处理达标后用于厂区绿化、洒水降尘。</w:t>
                  </w:r>
                  <w:r>
                    <w:rPr>
                      <w:rFonts w:hint="eastAsia"/>
                      <w:szCs w:val="21"/>
                    </w:rPr>
                    <w:t>生活污水经隔油池、化粪池预处理后接入市政污水管网，最终进入羊街镇污水处理站处理。</w:t>
                  </w:r>
                </w:p>
              </w:tc>
              <w:tc>
                <w:tcPr>
                  <w:tcW w:w="630" w:type="pct"/>
                  <w:vAlign w:val="center"/>
                </w:tcPr>
                <w:p w14:paraId="0C0AE0FB">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47C6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328" w:type="pct"/>
                  <w:vAlign w:val="center"/>
                </w:tcPr>
                <w:p w14:paraId="419566BC">
                  <w:pPr>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禁止向水体排放油类、酸液、碱液或者剧毒废液</w:t>
                  </w:r>
                  <w:r>
                    <w:rPr>
                      <w:rFonts w:hint="eastAsia"/>
                      <w:color w:val="000000" w:themeColor="text1"/>
                      <w:szCs w:val="21"/>
                      <w14:textFill>
                        <w14:solidFill>
                          <w14:schemeClr w14:val="tx1"/>
                        </w14:solidFill>
                      </w14:textFill>
                    </w:rPr>
                    <w:t>。</w:t>
                  </w:r>
                </w:p>
              </w:tc>
              <w:tc>
                <w:tcPr>
                  <w:tcW w:w="2042" w:type="pct"/>
                  <w:vAlign w:val="center"/>
                </w:tcPr>
                <w:p w14:paraId="1B9300A8">
                  <w:pPr>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r>
                    <w:rPr>
                      <w:rFonts w:hint="eastAsia"/>
                    </w:rPr>
                    <w:t>不涉及</w:t>
                  </w:r>
                  <w:r>
                    <w:rPr>
                      <w:color w:val="000000" w:themeColor="text1"/>
                      <w:szCs w:val="21"/>
                      <w14:textFill>
                        <w14:solidFill>
                          <w14:schemeClr w14:val="tx1"/>
                        </w14:solidFill>
                      </w14:textFill>
                    </w:rPr>
                    <w:t>向水体排放油类、酸液、碱液或者剧毒废液</w:t>
                  </w:r>
                  <w:r>
                    <w:rPr>
                      <w:rFonts w:hint="eastAsia"/>
                      <w:color w:val="000000" w:themeColor="text1"/>
                      <w:szCs w:val="21"/>
                      <w14:textFill>
                        <w14:solidFill>
                          <w14:schemeClr w14:val="tx1"/>
                        </w14:solidFill>
                      </w14:textFill>
                    </w:rPr>
                    <w:t>。</w:t>
                  </w:r>
                </w:p>
              </w:tc>
              <w:tc>
                <w:tcPr>
                  <w:tcW w:w="630" w:type="pct"/>
                  <w:vAlign w:val="center"/>
                </w:tcPr>
                <w:p w14:paraId="718CF60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776F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328" w:type="pct"/>
                  <w:vAlign w:val="center"/>
                </w:tcPr>
                <w:p w14:paraId="7309F833">
                  <w:pPr>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国家禁止新建不符合国家产业政策的小型造纸、制革、印染、染料、炼焦、炼硫、炼砷、炼汞、炼油、电镀</w:t>
                  </w:r>
                  <w:r>
                    <w:rPr>
                      <w:rFonts w:hint="eastAsia"/>
                      <w:color w:val="000000" w:themeColor="text1"/>
                      <w:szCs w:val="21"/>
                      <w14:textFill>
                        <w14:solidFill>
                          <w14:schemeClr w14:val="tx1"/>
                        </w14:solidFill>
                      </w14:textFill>
                    </w:rPr>
                    <w:t>、医</w:t>
                  </w:r>
                  <w:r>
                    <w:rPr>
                      <w:color w:val="000000" w:themeColor="text1"/>
                      <w:szCs w:val="21"/>
                      <w14:textFill>
                        <w14:solidFill>
                          <w14:schemeClr w14:val="tx1"/>
                        </w14:solidFill>
                      </w14:textFill>
                    </w:rPr>
                    <w:t>药、石棉、水泥、玻璃、钢铁、火电以及其他严重污染水环境的生产项目。</w:t>
                  </w:r>
                </w:p>
              </w:tc>
              <w:tc>
                <w:tcPr>
                  <w:tcW w:w="2042" w:type="pct"/>
                  <w:vAlign w:val="center"/>
                </w:tcPr>
                <w:p w14:paraId="6083C39F">
                  <w:pPr>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项目不属于所列以及其他严重污染水环境的生产项目</w:t>
                  </w:r>
                  <w:r>
                    <w:rPr>
                      <w:color w:val="000000" w:themeColor="text1"/>
                      <w:szCs w:val="21"/>
                      <w14:textFill>
                        <w14:solidFill>
                          <w14:schemeClr w14:val="tx1"/>
                        </w14:solidFill>
                      </w14:textFill>
                    </w:rPr>
                    <w:t>。</w:t>
                  </w:r>
                </w:p>
              </w:tc>
              <w:tc>
                <w:tcPr>
                  <w:tcW w:w="630" w:type="pct"/>
                  <w:vAlign w:val="center"/>
                </w:tcPr>
                <w:p w14:paraId="39F497C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347F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328" w:type="pct"/>
                  <w:vAlign w:val="center"/>
                </w:tcPr>
                <w:p w14:paraId="4ECA5697">
                  <w:pPr>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在饮用水水源保护区内，禁止设置排污口。</w:t>
                  </w:r>
                </w:p>
              </w:tc>
              <w:tc>
                <w:tcPr>
                  <w:tcW w:w="2042" w:type="pct"/>
                  <w:vAlign w:val="center"/>
                </w:tcPr>
                <w:p w14:paraId="4368C4C2">
                  <w:pPr>
                    <w:snapToGrid w:val="0"/>
                    <w:rPr>
                      <w:color w:val="000000" w:themeColor="text1"/>
                      <w:szCs w:val="21"/>
                      <w14:textFill>
                        <w14:solidFill>
                          <w14:schemeClr w14:val="tx1"/>
                        </w14:solidFill>
                      </w14:textFill>
                    </w:rPr>
                  </w:pPr>
                  <w:r>
                    <w:rPr>
                      <w:rFonts w:hint="eastAsia"/>
                    </w:rPr>
                    <w:t>项目</w:t>
                  </w:r>
                  <w:r>
                    <w:t>不</w:t>
                  </w:r>
                  <w:r>
                    <w:rPr>
                      <w:rFonts w:hint="eastAsia"/>
                    </w:rPr>
                    <w:t>涉及饮用水水源保护区，不设排污口。</w:t>
                  </w:r>
                </w:p>
              </w:tc>
              <w:tc>
                <w:tcPr>
                  <w:tcW w:w="630" w:type="pct"/>
                  <w:vAlign w:val="center"/>
                </w:tcPr>
                <w:p w14:paraId="25512184">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14:paraId="382475BB">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综上所述，项目与《中华人民共和国水污染防治法》是相协调的。</w:t>
            </w:r>
          </w:p>
          <w:p w14:paraId="32B5C61D">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6、《中华人民共和国大气污染防治法》符合性分析</w:t>
            </w:r>
          </w:p>
          <w:p w14:paraId="2CBE1224">
            <w:pPr>
              <w:widowControl/>
              <w:spacing w:line="360" w:lineRule="auto"/>
              <w:ind w:firstLine="480" w:firstLineChars="200"/>
              <w:jc w:val="left"/>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项目与《中华人民共和国大气污染防治法》符合性分析见下表。</w:t>
            </w:r>
          </w:p>
          <w:p w14:paraId="60EBB2E2">
            <w:pPr>
              <w:pStyle w:val="29"/>
              <w:outlineLvl w:val="9"/>
              <w:rPr>
                <w:rFonts w:hint="default"/>
                <w:color w:val="000000" w:themeColor="text1"/>
                <w14:textFill>
                  <w14:solidFill>
                    <w14:schemeClr w14:val="tx1"/>
                  </w14:solidFill>
                </w14:textFill>
              </w:rPr>
            </w:pPr>
            <w:r>
              <w:rPr>
                <w:color w:val="000000" w:themeColor="text1"/>
                <w14:textFill>
                  <w14:solidFill>
                    <w14:schemeClr w14:val="tx1"/>
                  </w14:solidFill>
                </w14:textFill>
              </w:rPr>
              <w:t>表1-6 项目与《中华人民共和国大气污染防治法》符合性分析</w:t>
            </w:r>
          </w:p>
          <w:tbl>
            <w:tblPr>
              <w:tblStyle w:val="23"/>
              <w:tblW w:w="7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5"/>
              <w:gridCol w:w="3135"/>
              <w:gridCol w:w="967"/>
            </w:tblGrid>
            <w:tr w14:paraId="3329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328" w:type="pct"/>
                  <w:vAlign w:val="center"/>
                </w:tcPr>
                <w:p w14:paraId="4D3A6623">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内容要求</w:t>
                  </w:r>
                </w:p>
              </w:tc>
              <w:tc>
                <w:tcPr>
                  <w:tcW w:w="2042" w:type="pct"/>
                  <w:vAlign w:val="center"/>
                </w:tcPr>
                <w:p w14:paraId="546D24FB">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项目情况</w:t>
                  </w:r>
                </w:p>
              </w:tc>
              <w:tc>
                <w:tcPr>
                  <w:tcW w:w="630" w:type="pct"/>
                  <w:vAlign w:val="center"/>
                </w:tcPr>
                <w:p w14:paraId="7A3089F8">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符合性</w:t>
                  </w:r>
                </w:p>
              </w:tc>
            </w:tr>
            <w:tr w14:paraId="30E72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328" w:type="pct"/>
                  <w:vAlign w:val="center"/>
                </w:tcPr>
                <w:p w14:paraId="6C35581D">
                  <w:pPr>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畜禽养殖场、养殖小区应当及时对污水、畜禽粪便和尸体等进行收集、贮存、清运和无害化处理，防止排放恶臭气体。</w:t>
                  </w:r>
                </w:p>
              </w:tc>
              <w:tc>
                <w:tcPr>
                  <w:tcW w:w="2042" w:type="pct"/>
                  <w:vAlign w:val="center"/>
                </w:tcPr>
                <w:p w14:paraId="55823FE1">
                  <w:pPr>
                    <w:snapToGrid w:val="0"/>
                    <w:rPr>
                      <w:color w:val="000000" w:themeColor="text1"/>
                      <w:szCs w:val="21"/>
                      <w14:textFill>
                        <w14:solidFill>
                          <w14:schemeClr w14:val="tx1"/>
                        </w14:solidFill>
                      </w14:textFill>
                    </w:rPr>
                  </w:pPr>
                  <w:r>
                    <w:rPr>
                      <w:rFonts w:hint="eastAsia"/>
                      <w:kern w:val="0"/>
                      <w:szCs w:val="21"/>
                      <w:lang w:bidi="ar"/>
                    </w:rPr>
                    <w:t>项目牲畜粪便及屠宰粪便收集于粪便临时堆场清运用作农肥，病死牲畜及屠宰加工废弃组织暂存于冷库，委托石林鑫欣桥环保科技有限公司无害化处置，防止恶臭气体对环境造成影响。</w:t>
                  </w:r>
                </w:p>
              </w:tc>
              <w:tc>
                <w:tcPr>
                  <w:tcW w:w="630" w:type="pct"/>
                  <w:vAlign w:val="center"/>
                </w:tcPr>
                <w:p w14:paraId="00D97196">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781F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328" w:type="pct"/>
                  <w:vAlign w:val="center"/>
                </w:tcPr>
                <w:p w14:paraId="2F0DCD74">
                  <w:pPr>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企业事业单位和其他生产经营者在生产经营活动中产生恶臭气体的，应当科学选址，设置合理的防护距离，并安装净化装置或者采取其他措施，防止排放恶臭气体。</w:t>
                  </w:r>
                </w:p>
              </w:tc>
              <w:tc>
                <w:tcPr>
                  <w:tcW w:w="2042" w:type="pct"/>
                  <w:vAlign w:val="center"/>
                </w:tcPr>
                <w:p w14:paraId="3F8FA5E2">
                  <w:pPr>
                    <w:snapToGrid w:val="0"/>
                    <w:rPr>
                      <w:kern w:val="0"/>
                      <w:szCs w:val="21"/>
                      <w:lang w:bidi="ar"/>
                    </w:rPr>
                  </w:pPr>
                  <w:r>
                    <w:rPr>
                      <w:rFonts w:hint="eastAsia"/>
                      <w:kern w:val="0"/>
                      <w:szCs w:val="21"/>
                      <w:lang w:bidi="ar"/>
                    </w:rPr>
                    <w:t>项目及时清理待宰圈、屠宰车间粪便、血污、内脏，定时冲洗屠宰车间地面，加强屠宰车间、精深加工车间机械通风。待宰圈、屠宰车间、污水处理站喷洒生物除臭剂。污水处理站调节池、厌氧池、污泥池等处理单元加盖、加罩，生产废水在臭氧催化氧化塔内密闭处理，减缓恶臭气体对环境的影响。</w:t>
                  </w:r>
                </w:p>
              </w:tc>
              <w:tc>
                <w:tcPr>
                  <w:tcW w:w="630" w:type="pct"/>
                  <w:vAlign w:val="center"/>
                </w:tcPr>
                <w:p w14:paraId="04DB9CEB">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14:paraId="2FFD309F">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综上所述，项目与《中华人民共和国大气污染防治法》是相协调的。</w:t>
            </w:r>
          </w:p>
          <w:p w14:paraId="70659575">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7、《云南省牛栏江保护条例》符合性分析</w:t>
            </w:r>
          </w:p>
          <w:p w14:paraId="31BF2538">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云南省牛栏江保护条例》，牛栏江流域上游保护区划分为：水源保护核心区、重点污染控制区和重点水源涵养区。项目所在地寻甸县羊街镇属于重点污染控制区。项目与《云南省牛栏江保护条例》符合性分析见下表。</w:t>
            </w:r>
          </w:p>
          <w:p w14:paraId="72DC8EC4">
            <w:pPr>
              <w:snapToGrid w:val="0"/>
              <w:jc w:val="center"/>
              <w:rPr>
                <w:b/>
                <w:bCs/>
                <w:color w:val="000000" w:themeColor="text1"/>
                <w:kern w:val="0"/>
                <w:sz w:val="28"/>
                <w:szCs w:val="28"/>
                <w:highlight w:val="yellow"/>
                <w:lang w:bidi="ar"/>
                <w14:textFill>
                  <w14:solidFill>
                    <w14:schemeClr w14:val="tx1"/>
                  </w14:solidFill>
                </w14:textFill>
              </w:rPr>
            </w:pPr>
            <w:r>
              <w:rPr>
                <w:rFonts w:hint="eastAsia"/>
                <w:b/>
                <w:color w:val="000000" w:themeColor="text1"/>
                <w:szCs w:val="21"/>
                <w14:textFill>
                  <w14:solidFill>
                    <w14:schemeClr w14:val="tx1"/>
                  </w14:solidFill>
                </w14:textFill>
              </w:rPr>
              <w:t>表1-7 项目与《云南省牛栏江保护条例》符合性分析</w:t>
            </w:r>
          </w:p>
          <w:tbl>
            <w:tblPr>
              <w:tblStyle w:val="22"/>
              <w:tblW w:w="7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1"/>
              <w:gridCol w:w="3119"/>
              <w:gridCol w:w="967"/>
            </w:tblGrid>
            <w:tr w14:paraId="278D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591" w:type="dxa"/>
                  <w:vAlign w:val="center"/>
                </w:tcPr>
                <w:p w14:paraId="125DEC91">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内容要求</w:t>
                  </w:r>
                </w:p>
              </w:tc>
              <w:tc>
                <w:tcPr>
                  <w:tcW w:w="3119" w:type="dxa"/>
                  <w:vAlign w:val="center"/>
                </w:tcPr>
                <w:p w14:paraId="384937CA">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项目情况</w:t>
                  </w:r>
                </w:p>
              </w:tc>
              <w:tc>
                <w:tcPr>
                  <w:tcW w:w="967" w:type="dxa"/>
                  <w:vAlign w:val="center"/>
                </w:tcPr>
                <w:p w14:paraId="6BEE144D">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符合性</w:t>
                  </w:r>
                </w:p>
              </w:tc>
            </w:tr>
            <w:tr w14:paraId="3AC1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7677" w:type="dxa"/>
                  <w:gridSpan w:val="3"/>
                  <w:vAlign w:val="center"/>
                </w:tcPr>
                <w:p w14:paraId="02EF8B58">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重点水源涵养区禁止下列行为</w:t>
                  </w:r>
                </w:p>
              </w:tc>
            </w:tr>
            <w:tr w14:paraId="4910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591" w:type="dxa"/>
                  <w:vAlign w:val="center"/>
                </w:tcPr>
                <w:p w14:paraId="288899FA">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盗伐、滥伐林木和破坏草地。</w:t>
                  </w:r>
                </w:p>
              </w:tc>
              <w:tc>
                <w:tcPr>
                  <w:tcW w:w="3119" w:type="dxa"/>
                  <w:vAlign w:val="center"/>
                </w:tcPr>
                <w:p w14:paraId="1B87D960">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w:t>
                  </w:r>
                  <w:r>
                    <w:rPr>
                      <w:rFonts w:hint="eastAsia" w:cs="微软雅黑"/>
                      <w:szCs w:val="21"/>
                      <w:shd w:val="clear" w:color="auto" w:fill="FFFFFF"/>
                    </w:rPr>
                    <w:t>位于原听牧肉牛屠宰加工厂内，用地性质为工业用地，无新增用地。</w:t>
                  </w:r>
                </w:p>
              </w:tc>
              <w:tc>
                <w:tcPr>
                  <w:tcW w:w="967" w:type="dxa"/>
                  <w:vAlign w:val="center"/>
                </w:tcPr>
                <w:p w14:paraId="45AAEB47">
                  <w:pPr>
                    <w:snapToGrid w:val="0"/>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6A33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591" w:type="dxa"/>
                  <w:vAlign w:val="center"/>
                </w:tcPr>
                <w:p w14:paraId="24A85EA6">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使用高毒、高残留农药。</w:t>
                  </w:r>
                </w:p>
              </w:tc>
              <w:tc>
                <w:tcPr>
                  <w:tcW w:w="3119" w:type="dxa"/>
                  <w:vAlign w:val="center"/>
                </w:tcPr>
                <w:p w14:paraId="6A43D427">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项目不涉及使用高毒、高残留农药。</w:t>
                  </w:r>
                </w:p>
              </w:tc>
              <w:tc>
                <w:tcPr>
                  <w:tcW w:w="967" w:type="dxa"/>
                  <w:vAlign w:val="center"/>
                </w:tcPr>
                <w:p w14:paraId="472ED1CE">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34D2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591" w:type="dxa"/>
                  <w:vAlign w:val="center"/>
                </w:tcPr>
                <w:p w14:paraId="5B6A63E1">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利用溶洞、渗井、渗坑、裂隙排放、倾倒含有毒有害物质的废水、废渣。</w:t>
                  </w:r>
                </w:p>
              </w:tc>
              <w:tc>
                <w:tcPr>
                  <w:tcW w:w="3119" w:type="dxa"/>
                  <w:vAlign w:val="center"/>
                </w:tcPr>
                <w:p w14:paraId="1B8694DE">
                  <w:pPr>
                    <w:widowControl/>
                    <w:rPr>
                      <w:color w:val="000000" w:themeColor="text1"/>
                      <w14:textFill>
                        <w14:solidFill>
                          <w14:schemeClr w14:val="tx1"/>
                        </w14:solidFill>
                      </w14:textFill>
                    </w:rPr>
                  </w:pPr>
                  <w:r>
                    <w:rPr>
                      <w:rFonts w:hint="eastAsia"/>
                      <w:szCs w:val="21"/>
                    </w:rPr>
                    <w:t>项目无有毒有害物质的废水、废渣产生。</w:t>
                  </w:r>
                </w:p>
              </w:tc>
              <w:tc>
                <w:tcPr>
                  <w:tcW w:w="967" w:type="dxa"/>
                  <w:vAlign w:val="center"/>
                </w:tcPr>
                <w:p w14:paraId="1509D23B">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691D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591" w:type="dxa"/>
                  <w:vAlign w:val="center"/>
                </w:tcPr>
                <w:p w14:paraId="1960E7BF">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向水体排放废水、倾倒工业废渣、城镇垃圾或者其他废弃物。</w:t>
                  </w:r>
                </w:p>
              </w:tc>
              <w:tc>
                <w:tcPr>
                  <w:tcW w:w="3119" w:type="dxa"/>
                  <w:vAlign w:val="center"/>
                </w:tcPr>
                <w:p w14:paraId="35A7540B">
                  <w:pPr>
                    <w:snapToGrid w:val="0"/>
                    <w:rPr>
                      <w:rFonts w:cs="宋体"/>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生产废水依托厂区现有生产废水处理站处理达标后用于厂区绿化、洒水降尘。</w:t>
                  </w:r>
                  <w:r>
                    <w:rPr>
                      <w:rFonts w:hint="eastAsia"/>
                      <w:szCs w:val="21"/>
                    </w:rPr>
                    <w:t>生活污水经隔油池、化粪池预处理后接入市政污水管网，最终进入羊街镇污水处理站处理。</w:t>
                  </w:r>
                  <w:r>
                    <w:rPr>
                      <w:rFonts w:hint="eastAsia"/>
                      <w:kern w:val="0"/>
                      <w:szCs w:val="21"/>
                      <w:lang w:bidi="ar"/>
                    </w:rPr>
                    <w:t>生活垃圾收集后由环卫部门清运处置，牲畜粪便及屠宰粪便收集于粪便临时堆场清运用作农肥，病死牲畜及屠宰加工废弃组织暂存于冷库，委托石林鑫欣桥环保科技有限公司无害化处置。</w:t>
                  </w:r>
                  <w:r>
                    <w:rPr>
                      <w:rFonts w:hint="eastAsia"/>
                      <w:color w:val="000000" w:themeColor="text1"/>
                      <w:szCs w:val="21"/>
                      <w:lang w:val="zh-CN"/>
                      <w14:textFill>
                        <w14:solidFill>
                          <w14:schemeClr w14:val="tx1"/>
                        </w14:solidFill>
                      </w14:textFill>
                    </w:rPr>
                    <w:t>危险废物收集于危废贮存间，委托云南达济再生资源回收利用有限公司处置。</w:t>
                  </w:r>
                </w:p>
              </w:tc>
              <w:tc>
                <w:tcPr>
                  <w:tcW w:w="967" w:type="dxa"/>
                  <w:vAlign w:val="center"/>
                </w:tcPr>
                <w:p w14:paraId="6F4FF2AD">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5E87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591" w:type="dxa"/>
                  <w:vAlign w:val="center"/>
                </w:tcPr>
                <w:p w14:paraId="3429D503">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在江河、渠道、水库最高水位线以下的滩地、岸坡堆放、存贮固体废弃物或者其他污染物。</w:t>
                  </w:r>
                </w:p>
              </w:tc>
              <w:tc>
                <w:tcPr>
                  <w:tcW w:w="3119" w:type="dxa"/>
                  <w:vAlign w:val="center"/>
                </w:tcPr>
                <w:p w14:paraId="43DDA038">
                  <w:pPr>
                    <w:snapToGrid w:val="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项目不涉及。</w:t>
                  </w:r>
                </w:p>
              </w:tc>
              <w:tc>
                <w:tcPr>
                  <w:tcW w:w="967" w:type="dxa"/>
                  <w:vAlign w:val="center"/>
                </w:tcPr>
                <w:p w14:paraId="28584CCD">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729B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591" w:type="dxa"/>
                  <w:vAlign w:val="center"/>
                </w:tcPr>
                <w:p w14:paraId="01003C26">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利用无防渗漏措施的沟渠、坑塘等输送或者存贮含有毒污染物的废水、含病原体的污水或者其他废弃物。</w:t>
                  </w:r>
                </w:p>
              </w:tc>
              <w:tc>
                <w:tcPr>
                  <w:tcW w:w="3119" w:type="dxa"/>
                  <w:vAlign w:val="center"/>
                </w:tcPr>
                <w:p w14:paraId="01101B7B">
                  <w:pPr>
                    <w:snapToGrid w:val="0"/>
                    <w:rPr>
                      <w:bCs/>
                      <w:color w:val="000000" w:themeColor="text1"/>
                      <w:szCs w:val="21"/>
                      <w14:textFill>
                        <w14:solidFill>
                          <w14:schemeClr w14:val="tx1"/>
                        </w14:solidFill>
                      </w14:textFill>
                    </w:rPr>
                  </w:pPr>
                  <w:r>
                    <w:rPr>
                      <w:rFonts w:hint="eastAsia"/>
                      <w:szCs w:val="21"/>
                    </w:rPr>
                    <w:t>项目不涉及。</w:t>
                  </w:r>
                </w:p>
              </w:tc>
              <w:tc>
                <w:tcPr>
                  <w:tcW w:w="967" w:type="dxa"/>
                  <w:vAlign w:val="center"/>
                </w:tcPr>
                <w:p w14:paraId="61FAEE76">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2253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7677" w:type="dxa"/>
                  <w:gridSpan w:val="3"/>
                  <w:vAlign w:val="center"/>
                </w:tcPr>
                <w:p w14:paraId="42506C2F">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重点污染控制区除重点水源涵养区禁止行为外，还禁止下列行为</w:t>
                  </w:r>
                </w:p>
              </w:tc>
            </w:tr>
            <w:tr w14:paraId="1703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591" w:type="dxa"/>
                  <w:vAlign w:val="center"/>
                </w:tcPr>
                <w:p w14:paraId="6B367643">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新建、扩建工业园区。</w:t>
                  </w:r>
                </w:p>
              </w:tc>
              <w:tc>
                <w:tcPr>
                  <w:tcW w:w="3119" w:type="dxa"/>
                  <w:vAlign w:val="center"/>
                </w:tcPr>
                <w:p w14:paraId="2363DC1B">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项目不涉及。</w:t>
                  </w:r>
                </w:p>
              </w:tc>
              <w:tc>
                <w:tcPr>
                  <w:tcW w:w="967" w:type="dxa"/>
                  <w:vAlign w:val="center"/>
                </w:tcPr>
                <w:p w14:paraId="48FFC3B6">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5AAE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591" w:type="dxa"/>
                  <w:vAlign w:val="center"/>
                </w:tcPr>
                <w:p w14:paraId="0E28C68D">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新建、扩建重点水污染物排放的工业项目。</w:t>
                  </w:r>
                </w:p>
              </w:tc>
              <w:tc>
                <w:tcPr>
                  <w:tcW w:w="3119" w:type="dxa"/>
                  <w:vAlign w:val="center"/>
                </w:tcPr>
                <w:p w14:paraId="4D55BE21">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项目不涉及。</w:t>
                  </w:r>
                </w:p>
              </w:tc>
              <w:tc>
                <w:tcPr>
                  <w:tcW w:w="967" w:type="dxa"/>
                  <w:vAlign w:val="center"/>
                </w:tcPr>
                <w:p w14:paraId="6D6BC696">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5E77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591" w:type="dxa"/>
                  <w:vAlign w:val="center"/>
                </w:tcPr>
                <w:p w14:paraId="6D4FC4BA">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新建、改建、扩建经营性陵园、公墓。</w:t>
                  </w:r>
                </w:p>
              </w:tc>
              <w:tc>
                <w:tcPr>
                  <w:tcW w:w="3119" w:type="dxa"/>
                  <w:vAlign w:val="center"/>
                </w:tcPr>
                <w:p w14:paraId="283AF654">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项目不涉及。</w:t>
                  </w:r>
                </w:p>
              </w:tc>
              <w:tc>
                <w:tcPr>
                  <w:tcW w:w="967" w:type="dxa"/>
                  <w:vAlign w:val="center"/>
                </w:tcPr>
                <w:p w14:paraId="7908B793">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bl>
          <w:p w14:paraId="755B6060">
            <w:pPr>
              <w:widowControl/>
              <w:numPr>
                <w:ilvl w:val="255"/>
                <w:numId w:val="0"/>
              </w:numPr>
              <w:snapToGrid w:val="0"/>
              <w:spacing w:line="360" w:lineRule="auto"/>
              <w:ind w:firstLine="480" w:firstLineChars="200"/>
              <w:rPr>
                <w:color w:val="000000" w:themeColor="text1"/>
                <w:sz w:val="24"/>
                <w:lang w:bidi="ar"/>
                <w14:textFill>
                  <w14:solidFill>
                    <w14:schemeClr w14:val="tx1"/>
                  </w14:solidFill>
                </w14:textFill>
              </w:rPr>
            </w:pPr>
            <w:r>
              <w:rPr>
                <w:rFonts w:hint="eastAsia"/>
                <w:color w:val="000000" w:themeColor="text1"/>
                <w:sz w:val="24"/>
                <w14:textFill>
                  <w14:solidFill>
                    <w14:schemeClr w14:val="tx1"/>
                  </w14:solidFill>
                </w14:textFill>
              </w:rPr>
              <w:t>综上所述，项目与《云南省牛栏江保护条例》是相协调的。</w:t>
            </w:r>
          </w:p>
          <w:p w14:paraId="54011A59">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8、《牛栏江流域（云南部分）水环境保护规划（2009-2030年）》符合性分析</w:t>
            </w:r>
          </w:p>
          <w:p w14:paraId="182EED51">
            <w:pPr>
              <w:widowControl/>
              <w:numPr>
                <w:ilvl w:val="255"/>
                <w:numId w:val="0"/>
              </w:num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牛栏江流域（云南部分）水环境保护规划（2009-2030年）》，项目所在地寻甸县羊街镇属于牛栏江德泽水库以上水环境重点保护区（调水水源区）的重点污染控制区。项目与《牛栏江流域（云南部分）水环境保护规划（2009-2030年）》符合性分析见下表。</w:t>
            </w:r>
          </w:p>
          <w:p w14:paraId="0C0404A2">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表1-8 项目与《牛栏江流域（云南部分）水环境保护规划（2009-2030年）》</w:t>
            </w:r>
          </w:p>
          <w:p w14:paraId="28CB124D">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符合性分析</w:t>
            </w:r>
          </w:p>
          <w:tbl>
            <w:tblPr>
              <w:tblStyle w:val="23"/>
              <w:tblW w:w="7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6"/>
              <w:gridCol w:w="2694"/>
              <w:gridCol w:w="967"/>
            </w:tblGrid>
            <w:tr w14:paraId="14C1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016" w:type="dxa"/>
                  <w:vAlign w:val="center"/>
                </w:tcPr>
                <w:p w14:paraId="1189D011">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内容要求</w:t>
                  </w:r>
                </w:p>
              </w:tc>
              <w:tc>
                <w:tcPr>
                  <w:tcW w:w="2694" w:type="dxa"/>
                  <w:vAlign w:val="center"/>
                </w:tcPr>
                <w:p w14:paraId="6EFFE993">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项目情况</w:t>
                  </w:r>
                </w:p>
              </w:tc>
              <w:tc>
                <w:tcPr>
                  <w:tcW w:w="967" w:type="dxa"/>
                  <w:vAlign w:val="center"/>
                </w:tcPr>
                <w:p w14:paraId="6AB09E97">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符合性</w:t>
                  </w:r>
                </w:p>
              </w:tc>
            </w:tr>
            <w:tr w14:paraId="2B54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016" w:type="dxa"/>
                  <w:vAlign w:val="center"/>
                </w:tcPr>
                <w:p w14:paraId="4B302805">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落实国家产业政策和有关环保政策，实现主要废水排放企业的“零排放”，到2012年12月31日，实现牛栏江调水水源区工业废水的零排放。在调水水源区，通过贯彻落实国家产业政策大检查和环保设施专项检查、强制清洁生产审核等措施，确保实现园区和企业废水的零排放。</w:t>
                  </w:r>
                </w:p>
              </w:tc>
              <w:tc>
                <w:tcPr>
                  <w:tcW w:w="2694" w:type="dxa"/>
                  <w:vAlign w:val="center"/>
                </w:tcPr>
                <w:p w14:paraId="117C1CB7">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项目符合国家及地方产业政策。项目不产生工业废水，</w:t>
                  </w:r>
                  <w:r>
                    <w:rPr>
                      <w:rFonts w:hint="eastAsia"/>
                      <w:color w:val="000000" w:themeColor="text1"/>
                      <w:szCs w:val="21"/>
                      <w14:textFill>
                        <w14:solidFill>
                          <w14:schemeClr w14:val="tx1"/>
                        </w14:solidFill>
                      </w14:textFill>
                    </w:rPr>
                    <w:t>生产废水依托厂区现有生产废水处理站处理达标后用于厂区绿化、洒水降尘。</w:t>
                  </w:r>
                  <w:r>
                    <w:rPr>
                      <w:rFonts w:hint="eastAsia"/>
                      <w:szCs w:val="21"/>
                    </w:rPr>
                    <w:t>生活污水经隔油池、化粪池预处理后接入市政污水管网，最终进入羊街镇污水处理站处理。</w:t>
                  </w:r>
                </w:p>
              </w:tc>
              <w:tc>
                <w:tcPr>
                  <w:tcW w:w="967" w:type="dxa"/>
                  <w:vAlign w:val="center"/>
                </w:tcPr>
                <w:p w14:paraId="6166443D">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5D3C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016" w:type="dxa"/>
                  <w:vAlign w:val="center"/>
                </w:tcPr>
                <w:p w14:paraId="6BB0767F">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严格工业企业环境管理，严格环境准入政策，避免新污染物输入。调水水源区不得建设不符合国家产业政策的工业项目及高污染工业项目，包括污染严重的钢铁、有色冶金、基础化工、农药、电镀、造纸制浆、制革、印染、石棉制品、土硫磺、土磷肥和染料等企业和项目；新建工业项目必须进入工业园区或废水实现零排放，改扩建项目不得新增COD、TN、TP排放量；新建、改建、扩建工业项目应采用先进的生产工艺和污染防治技术，其清洁生产水平应达到国家清洁生产标准中的国内先进水平。</w:t>
                  </w:r>
                </w:p>
              </w:tc>
              <w:tc>
                <w:tcPr>
                  <w:tcW w:w="2694" w:type="dxa"/>
                  <w:vAlign w:val="center"/>
                </w:tcPr>
                <w:p w14:paraId="6BBEDA7F">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项目不属于工业项目、高污染工业项目。</w:t>
                  </w:r>
                </w:p>
              </w:tc>
              <w:tc>
                <w:tcPr>
                  <w:tcW w:w="967" w:type="dxa"/>
                  <w:vAlign w:val="center"/>
                </w:tcPr>
                <w:p w14:paraId="13D13DCA">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2409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016" w:type="dxa"/>
                  <w:vAlign w:val="center"/>
                </w:tcPr>
                <w:p w14:paraId="67C07D06">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严格工业固体废弃物管理，实现固体废弃物安全处置。调水水源区内所有排放固体废弃物的企业，按国家有关固体废弃物安全处置的要求，对现有固体废弃物堆场进行安全处置。</w:t>
                  </w:r>
                </w:p>
              </w:tc>
              <w:tc>
                <w:tcPr>
                  <w:tcW w:w="2694" w:type="dxa"/>
                  <w:vAlign w:val="center"/>
                </w:tcPr>
                <w:p w14:paraId="5E892A84">
                  <w:pPr>
                    <w:snapToGrid w:val="0"/>
                    <w:rPr>
                      <w:bCs/>
                      <w:color w:val="000000" w:themeColor="text1"/>
                      <w:szCs w:val="21"/>
                      <w14:textFill>
                        <w14:solidFill>
                          <w14:schemeClr w14:val="tx1"/>
                        </w14:solidFill>
                      </w14:textFill>
                    </w:rPr>
                  </w:pPr>
                  <w:r>
                    <w:rPr>
                      <w:rFonts w:hint="eastAsia"/>
                      <w:kern w:val="0"/>
                      <w:szCs w:val="21"/>
                      <w:lang w:bidi="ar"/>
                    </w:rPr>
                    <w:t>项目生活垃圾收集后由环卫部门清运处置，牲畜粪便及屠宰粪便收集于粪便临时堆场清运用作农肥，病死牲畜及屠宰加工废弃组织暂存于冷库，委托石林鑫欣桥环保科技有限公司无害化处置。</w:t>
                  </w:r>
                </w:p>
              </w:tc>
              <w:tc>
                <w:tcPr>
                  <w:tcW w:w="967" w:type="dxa"/>
                  <w:vAlign w:val="center"/>
                </w:tcPr>
                <w:p w14:paraId="4F30F3E7">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41C4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016" w:type="dxa"/>
                  <w:vAlign w:val="center"/>
                </w:tcPr>
                <w:p w14:paraId="23FC34C1">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企业实现“雨污分流”，污水处理厂出水水质达到园区污水处理厂的进水水质要求，园区污水处理厂的出水水质必须达到再生水处理系统的进水水质，再生水处理系统出水水质必须达到回用水水质。</w:t>
                  </w:r>
                </w:p>
              </w:tc>
              <w:tc>
                <w:tcPr>
                  <w:tcW w:w="2694" w:type="dxa"/>
                  <w:vAlign w:val="center"/>
                </w:tcPr>
                <w:p w14:paraId="1D80A22A">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厂区已实现“雨污分流”，雨水经集排水沟收集至雨水收集池。</w:t>
                  </w:r>
                  <w:r>
                    <w:rPr>
                      <w:rFonts w:hint="eastAsia"/>
                      <w:color w:val="000000" w:themeColor="text1"/>
                      <w:szCs w:val="21"/>
                      <w14:textFill>
                        <w14:solidFill>
                          <w14:schemeClr w14:val="tx1"/>
                        </w14:solidFill>
                      </w14:textFill>
                    </w:rPr>
                    <w:t>生产废水依托厂区现有生产废水处理站处理达标后用于厂区绿化、洒水降尘。</w:t>
                  </w:r>
                  <w:r>
                    <w:rPr>
                      <w:rFonts w:hint="eastAsia"/>
                      <w:szCs w:val="21"/>
                    </w:rPr>
                    <w:t>生活污水经隔油池、化粪池预处理后接入市政污水管网，最终进入羊街镇污水处理站处理。</w:t>
                  </w:r>
                </w:p>
              </w:tc>
              <w:tc>
                <w:tcPr>
                  <w:tcW w:w="967" w:type="dxa"/>
                  <w:vAlign w:val="center"/>
                </w:tcPr>
                <w:p w14:paraId="6AD9D4C3">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bl>
          <w:p w14:paraId="0B7CF64A">
            <w:pPr>
              <w:widowControl/>
              <w:numPr>
                <w:ilvl w:val="255"/>
                <w:numId w:val="0"/>
              </w:numPr>
              <w:snapToGrid w:val="0"/>
              <w:spacing w:line="360" w:lineRule="auto"/>
              <w:ind w:firstLine="480" w:firstLineChars="200"/>
              <w:rPr>
                <w:color w:val="000000" w:themeColor="text1"/>
                <w:sz w:val="24"/>
                <w:lang w:bidi="ar"/>
                <w14:textFill>
                  <w14:solidFill>
                    <w14:schemeClr w14:val="tx1"/>
                  </w14:solidFill>
                </w14:textFill>
              </w:rPr>
            </w:pPr>
            <w:r>
              <w:rPr>
                <w:rFonts w:hint="eastAsia"/>
                <w:color w:val="000000" w:themeColor="text1"/>
                <w:sz w:val="24"/>
                <w14:textFill>
                  <w14:solidFill>
                    <w14:schemeClr w14:val="tx1"/>
                  </w14:solidFill>
                </w14:textFill>
              </w:rPr>
              <w:t>综上所述，项目与《牛栏江流域（云南部分）水环境保护规划（2009-2030年）》是相协调的。</w:t>
            </w:r>
          </w:p>
          <w:p w14:paraId="0CD04F7C">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9、</w:t>
            </w:r>
            <w:r>
              <w:rPr>
                <w:rFonts w:cs="宋体"/>
                <w:b/>
                <w:bCs/>
                <w:color w:val="000000" w:themeColor="text1"/>
                <w:kern w:val="0"/>
                <w:sz w:val="28"/>
                <w:szCs w:val="28"/>
                <w14:textFill>
                  <w14:solidFill>
                    <w14:schemeClr w14:val="tx1"/>
                  </w14:solidFill>
                </w14:textFill>
              </w:rPr>
              <w:t>《长江经济带发展负面清单指南（试行，2022年版）》符合性分析</w:t>
            </w:r>
          </w:p>
          <w:p w14:paraId="58859460">
            <w:pPr>
              <w:adjustRightInd w:val="0"/>
              <w:snapToGrid w:val="0"/>
              <w:spacing w:line="360" w:lineRule="auto"/>
              <w:ind w:firstLine="480" w:firstLineChars="200"/>
              <w:rPr>
                <w:bCs/>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项</w:t>
            </w:r>
            <w:r>
              <w:rPr>
                <w:bCs/>
                <w:color w:val="000000" w:themeColor="text1"/>
                <w:kern w:val="0"/>
                <w:sz w:val="24"/>
                <w14:textFill>
                  <w14:solidFill>
                    <w14:schemeClr w14:val="tx1"/>
                  </w14:solidFill>
                </w14:textFill>
              </w:rPr>
              <w:t>目与《长江经济带发展负面清单指南（试行，2022年版）》符合性分析见</w:t>
            </w:r>
            <w:r>
              <w:rPr>
                <w:rFonts w:hint="eastAsia"/>
                <w:bCs/>
                <w:color w:val="000000" w:themeColor="text1"/>
                <w:kern w:val="0"/>
                <w:sz w:val="24"/>
                <w14:textFill>
                  <w14:solidFill>
                    <w14:schemeClr w14:val="tx1"/>
                  </w14:solidFill>
                </w14:textFill>
              </w:rPr>
              <w:t>下</w:t>
            </w:r>
            <w:r>
              <w:rPr>
                <w:bCs/>
                <w:color w:val="000000" w:themeColor="text1"/>
                <w:kern w:val="0"/>
                <w:sz w:val="24"/>
                <w14:textFill>
                  <w14:solidFill>
                    <w14:schemeClr w14:val="tx1"/>
                  </w14:solidFill>
                </w14:textFill>
              </w:rPr>
              <w:t>表。</w:t>
            </w:r>
          </w:p>
          <w:p w14:paraId="00B2A5FF">
            <w:pPr>
              <w:snapToGrid w:val="0"/>
              <w:jc w:val="center"/>
              <w:rPr>
                <w:b/>
                <w:color w:val="000000" w:themeColor="text1"/>
                <w:szCs w:val="40"/>
                <w14:textFill>
                  <w14:solidFill>
                    <w14:schemeClr w14:val="tx1"/>
                  </w14:solidFill>
                </w14:textFill>
              </w:rPr>
            </w:pPr>
            <w:r>
              <w:rPr>
                <w:rFonts w:hint="eastAsia"/>
                <w:b/>
                <w:color w:val="000000" w:themeColor="text1"/>
                <w:szCs w:val="40"/>
                <w14:textFill>
                  <w14:solidFill>
                    <w14:schemeClr w14:val="tx1"/>
                  </w14:solidFill>
                </w14:textFill>
              </w:rPr>
              <w:t>表1-9 项目与《长江经济带发展负面清单指南（试行，2022年版）》符合性分析</w:t>
            </w:r>
          </w:p>
          <w:tbl>
            <w:tblPr>
              <w:tblStyle w:val="22"/>
              <w:tblW w:w="7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0"/>
              <w:gridCol w:w="2006"/>
              <w:gridCol w:w="931"/>
            </w:tblGrid>
            <w:tr w14:paraId="26BB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690" w:type="dxa"/>
                  <w:vAlign w:val="center"/>
                </w:tcPr>
                <w:p w14:paraId="6096D305">
                  <w:pPr>
                    <w:pStyle w:val="60"/>
                    <w:spacing w:line="240" w:lineRule="auto"/>
                    <w:ind w:firstLine="0"/>
                    <w:jc w:val="center"/>
                    <w:rPr>
                      <w:rFonts w:ascii="Times New Roman" w:hAnsi="Times New Roman" w:eastAsia="宋体"/>
                      <w:b/>
                      <w:bCs/>
                      <w:color w:val="000000" w:themeColor="text1"/>
                      <w:szCs w:val="21"/>
                      <w14:textFill>
                        <w14:solidFill>
                          <w14:schemeClr w14:val="tx1"/>
                        </w14:solidFill>
                      </w14:textFill>
                    </w:rPr>
                  </w:pPr>
                  <w:r>
                    <w:rPr>
                      <w:rFonts w:hint="eastAsia" w:ascii="Times New Roman" w:hAnsi="Times New Roman" w:eastAsia="宋体"/>
                      <w:b/>
                      <w:bCs/>
                      <w:color w:val="000000" w:themeColor="text1"/>
                      <w:szCs w:val="21"/>
                      <w14:textFill>
                        <w14:solidFill>
                          <w14:schemeClr w14:val="tx1"/>
                        </w14:solidFill>
                      </w14:textFill>
                    </w:rPr>
                    <w:t>内容</w:t>
                  </w:r>
                  <w:r>
                    <w:rPr>
                      <w:rFonts w:ascii="Times New Roman" w:hAnsi="Times New Roman" w:eastAsia="宋体"/>
                      <w:b/>
                      <w:bCs/>
                      <w:color w:val="000000" w:themeColor="text1"/>
                      <w:szCs w:val="21"/>
                      <w14:textFill>
                        <w14:solidFill>
                          <w14:schemeClr w14:val="tx1"/>
                        </w14:solidFill>
                      </w14:textFill>
                    </w:rPr>
                    <w:t>要求</w:t>
                  </w:r>
                </w:p>
              </w:tc>
              <w:tc>
                <w:tcPr>
                  <w:tcW w:w="1985" w:type="dxa"/>
                  <w:vAlign w:val="center"/>
                </w:tcPr>
                <w:p w14:paraId="152A472E">
                  <w:pPr>
                    <w:pStyle w:val="60"/>
                    <w:spacing w:line="240" w:lineRule="auto"/>
                    <w:ind w:firstLine="0"/>
                    <w:jc w:val="center"/>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项目情况</w:t>
                  </w:r>
                </w:p>
              </w:tc>
              <w:tc>
                <w:tcPr>
                  <w:tcW w:w="921" w:type="dxa"/>
                  <w:vAlign w:val="center"/>
                </w:tcPr>
                <w:p w14:paraId="11F95EEB">
                  <w:pPr>
                    <w:pStyle w:val="60"/>
                    <w:spacing w:line="240" w:lineRule="auto"/>
                    <w:ind w:firstLine="0"/>
                    <w:jc w:val="center"/>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符合性</w:t>
                  </w:r>
                </w:p>
              </w:tc>
            </w:tr>
            <w:tr w14:paraId="21F2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690" w:type="dxa"/>
                  <w:vAlign w:val="center"/>
                </w:tcPr>
                <w:p w14:paraId="740049CA">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禁止建设不符合全国和省级港口布局规划以及港口</w:t>
                  </w:r>
                  <w:r>
                    <w:rPr>
                      <w:rFonts w:hint="eastAsia" w:ascii="Times New Roman" w:hAnsi="Times New Roman" w:eastAsia="宋体"/>
                      <w:color w:val="000000" w:themeColor="text1"/>
                      <w:szCs w:val="21"/>
                      <w14:textFill>
                        <w14:solidFill>
                          <w14:schemeClr w14:val="tx1"/>
                        </w14:solidFill>
                      </w14:textFill>
                    </w:rPr>
                    <w:t>总体规划</w:t>
                  </w:r>
                  <w:r>
                    <w:rPr>
                      <w:rFonts w:ascii="Times New Roman" w:hAnsi="Times New Roman" w:eastAsia="宋体"/>
                      <w:color w:val="000000" w:themeColor="text1"/>
                      <w:szCs w:val="21"/>
                      <w14:textFill>
                        <w14:solidFill>
                          <w14:schemeClr w14:val="tx1"/>
                        </w14:solidFill>
                      </w14:textFill>
                    </w:rPr>
                    <w:t>的码头项目，禁止建设不符合《长江干线过江通道布局规划》的过长江通道项目。</w:t>
                  </w:r>
                </w:p>
              </w:tc>
              <w:tc>
                <w:tcPr>
                  <w:tcW w:w="1985" w:type="dxa"/>
                  <w:vAlign w:val="center"/>
                </w:tcPr>
                <w:p w14:paraId="4A1BCFFB">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项目不属于港口、码头、长江通道项目。</w:t>
                  </w:r>
                </w:p>
              </w:tc>
              <w:tc>
                <w:tcPr>
                  <w:tcW w:w="921" w:type="dxa"/>
                  <w:vAlign w:val="center"/>
                </w:tcPr>
                <w:p w14:paraId="2806A4EE">
                  <w:pPr>
                    <w:pStyle w:val="60"/>
                    <w:spacing w:line="240" w:lineRule="auto"/>
                    <w:ind w:firstLine="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r w14:paraId="2B4D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690" w:type="dxa"/>
                  <w:vAlign w:val="center"/>
                </w:tcPr>
                <w:p w14:paraId="5C5C5905">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禁止在自然保护区核心区、缓冲区</w:t>
                  </w:r>
                  <w:r>
                    <w:rPr>
                      <w:rFonts w:hint="eastAsia" w:ascii="Times New Roman" w:hAnsi="Times New Roman" w:eastAsia="宋体"/>
                      <w:color w:val="000000" w:themeColor="text1"/>
                      <w:szCs w:val="21"/>
                      <w14:textFill>
                        <w14:solidFill>
                          <w14:schemeClr w14:val="tx1"/>
                        </w14:solidFill>
                      </w14:textFill>
                    </w:rPr>
                    <w:t>地</w:t>
                  </w:r>
                  <w:r>
                    <w:rPr>
                      <w:rFonts w:ascii="Times New Roman" w:hAnsi="Times New Roman" w:eastAsia="宋体"/>
                      <w:color w:val="000000" w:themeColor="text1"/>
                      <w:szCs w:val="21"/>
                      <w14:textFill>
                        <w14:solidFill>
                          <w14:schemeClr w14:val="tx1"/>
                        </w14:solidFill>
                      </w14:textFill>
                    </w:rPr>
                    <w:t>岸线和河段范围内投资建设旅游和生产经营项目。禁止在风景名胜区核心景区的岸线和河段范围内投资建设与风景名胜资源保护无关的项目。</w:t>
                  </w:r>
                </w:p>
              </w:tc>
              <w:tc>
                <w:tcPr>
                  <w:tcW w:w="1985" w:type="dxa"/>
                  <w:vAlign w:val="center"/>
                </w:tcPr>
                <w:p w14:paraId="5DCFEFED">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项目</w:t>
                  </w:r>
                  <w:r>
                    <w:rPr>
                      <w:rFonts w:ascii="Times New Roman" w:hAnsi="Times New Roman" w:eastAsia="宋体"/>
                      <w:color w:val="000000" w:themeColor="text1"/>
                      <w:szCs w:val="21"/>
                      <w14:textFill>
                        <w14:solidFill>
                          <w14:schemeClr w14:val="tx1"/>
                        </w14:solidFill>
                      </w14:textFill>
                    </w:rPr>
                    <w:t>不涉及</w:t>
                  </w:r>
                  <w:r>
                    <w:rPr>
                      <w:rFonts w:hint="eastAsia" w:ascii="Times New Roman" w:hAnsi="Times New Roman" w:eastAsia="宋体"/>
                      <w:color w:val="000000" w:themeColor="text1"/>
                      <w:szCs w:val="21"/>
                      <w14:textFill>
                        <w14:solidFill>
                          <w14:schemeClr w14:val="tx1"/>
                        </w14:solidFill>
                      </w14:textFill>
                    </w:rPr>
                    <w:t>自然保护区、风景名胜区。</w:t>
                  </w:r>
                </w:p>
              </w:tc>
              <w:tc>
                <w:tcPr>
                  <w:tcW w:w="921" w:type="dxa"/>
                  <w:vAlign w:val="center"/>
                </w:tcPr>
                <w:p w14:paraId="0D345282">
                  <w:pPr>
                    <w:pStyle w:val="60"/>
                    <w:spacing w:line="240" w:lineRule="auto"/>
                    <w:ind w:firstLine="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r w14:paraId="50B2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690" w:type="dxa"/>
                  <w:vAlign w:val="center"/>
                </w:tcPr>
                <w:p w14:paraId="6A397853">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985" w:type="dxa"/>
                  <w:vAlign w:val="center"/>
                </w:tcPr>
                <w:p w14:paraId="39CA0B21">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项目</w:t>
                  </w:r>
                  <w:r>
                    <w:rPr>
                      <w:rFonts w:ascii="Times New Roman" w:hAnsi="Times New Roman" w:eastAsia="宋体"/>
                      <w:color w:val="000000" w:themeColor="text1"/>
                      <w:szCs w:val="21"/>
                      <w14:textFill>
                        <w14:solidFill>
                          <w14:schemeClr w14:val="tx1"/>
                        </w14:solidFill>
                      </w14:textFill>
                    </w:rPr>
                    <w:t>不涉及</w:t>
                  </w:r>
                  <w:r>
                    <w:rPr>
                      <w:rFonts w:hint="eastAsia" w:ascii="Times New Roman" w:hAnsi="Times New Roman" w:eastAsia="宋体"/>
                      <w:color w:val="000000" w:themeColor="text1"/>
                      <w:szCs w:val="21"/>
                      <w14:textFill>
                        <w14:solidFill>
                          <w14:schemeClr w14:val="tx1"/>
                        </w14:solidFill>
                      </w14:textFill>
                    </w:rPr>
                    <w:t>饮用水水源保护区。</w:t>
                  </w:r>
                </w:p>
              </w:tc>
              <w:tc>
                <w:tcPr>
                  <w:tcW w:w="921" w:type="dxa"/>
                  <w:vAlign w:val="center"/>
                </w:tcPr>
                <w:p w14:paraId="1719B7F3">
                  <w:pPr>
                    <w:pStyle w:val="60"/>
                    <w:spacing w:line="240" w:lineRule="auto"/>
                    <w:ind w:firstLine="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r w14:paraId="1C9E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690" w:type="dxa"/>
                  <w:vAlign w:val="center"/>
                </w:tcPr>
                <w:p w14:paraId="6EAF14E1">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985" w:type="dxa"/>
                  <w:vAlign w:val="center"/>
                </w:tcPr>
                <w:p w14:paraId="4DC0DEA5">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项目</w:t>
                  </w:r>
                  <w:r>
                    <w:rPr>
                      <w:rFonts w:ascii="Times New Roman" w:hAnsi="Times New Roman" w:eastAsia="宋体"/>
                      <w:color w:val="000000" w:themeColor="text1"/>
                      <w:szCs w:val="21"/>
                      <w14:textFill>
                        <w14:solidFill>
                          <w14:schemeClr w14:val="tx1"/>
                        </w14:solidFill>
                      </w14:textFill>
                    </w:rPr>
                    <w:t>不涉及</w:t>
                  </w:r>
                  <w:r>
                    <w:rPr>
                      <w:rFonts w:hint="eastAsia" w:ascii="Times New Roman" w:hAnsi="Times New Roman" w:eastAsia="宋体"/>
                      <w:color w:val="000000" w:themeColor="text1"/>
                      <w:szCs w:val="21"/>
                      <w14:textFill>
                        <w14:solidFill>
                          <w14:schemeClr w14:val="tx1"/>
                        </w14:solidFill>
                      </w14:textFill>
                    </w:rPr>
                    <w:t>水产种质资源保护区、国家湿地公园。</w:t>
                  </w:r>
                </w:p>
              </w:tc>
              <w:tc>
                <w:tcPr>
                  <w:tcW w:w="921" w:type="dxa"/>
                  <w:vAlign w:val="center"/>
                </w:tcPr>
                <w:p w14:paraId="7B2A30C9">
                  <w:pPr>
                    <w:pStyle w:val="60"/>
                    <w:spacing w:line="240" w:lineRule="auto"/>
                    <w:ind w:firstLine="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r w14:paraId="0A7B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690" w:type="dxa"/>
                  <w:vAlign w:val="center"/>
                </w:tcPr>
                <w:p w14:paraId="09DAF02E">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985" w:type="dxa"/>
                  <w:vAlign w:val="center"/>
                </w:tcPr>
                <w:p w14:paraId="2F3CC3EB">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项目</w:t>
                  </w:r>
                  <w:r>
                    <w:rPr>
                      <w:rFonts w:ascii="Times New Roman" w:hAnsi="Times New Roman" w:eastAsia="宋体"/>
                      <w:color w:val="000000" w:themeColor="text1"/>
                      <w:szCs w:val="21"/>
                      <w14:textFill>
                        <w14:solidFill>
                          <w14:schemeClr w14:val="tx1"/>
                        </w14:solidFill>
                      </w14:textFill>
                    </w:rPr>
                    <w:t>不涉及</w:t>
                  </w:r>
                  <w:r>
                    <w:rPr>
                      <w:rFonts w:hint="eastAsia" w:ascii="Times New Roman" w:hAnsi="Times New Roman" w:eastAsia="宋体"/>
                      <w:color w:val="000000" w:themeColor="text1"/>
                      <w:szCs w:val="21"/>
                      <w14:textFill>
                        <w14:solidFill>
                          <w14:schemeClr w14:val="tx1"/>
                        </w14:solidFill>
                      </w14:textFill>
                    </w:rPr>
                    <w:t>长江流域河湖岸线，</w:t>
                  </w:r>
                  <w:r>
                    <w:rPr>
                      <w:rFonts w:ascii="Times New Roman" w:hAnsi="Times New Roman" w:eastAsia="宋体"/>
                      <w:color w:val="000000" w:themeColor="text1"/>
                      <w:szCs w:val="21"/>
                      <w14:textFill>
                        <w14:solidFill>
                          <w14:schemeClr w14:val="tx1"/>
                        </w14:solidFill>
                      </w14:textFill>
                    </w:rPr>
                    <w:t>《全国重要江河湖泊水功能区划》</w:t>
                  </w:r>
                  <w:r>
                    <w:rPr>
                      <w:rFonts w:hint="eastAsia" w:ascii="Times New Roman" w:hAnsi="Times New Roman" w:eastAsia="宋体"/>
                      <w:color w:val="000000" w:themeColor="text1"/>
                      <w:szCs w:val="21"/>
                      <w14:textFill>
                        <w14:solidFill>
                          <w14:schemeClr w14:val="tx1"/>
                        </w14:solidFill>
                      </w14:textFill>
                    </w:rPr>
                    <w:t>划定的河湖保护区、保留区。</w:t>
                  </w:r>
                </w:p>
              </w:tc>
              <w:tc>
                <w:tcPr>
                  <w:tcW w:w="921" w:type="dxa"/>
                  <w:vAlign w:val="center"/>
                </w:tcPr>
                <w:p w14:paraId="4934D27B">
                  <w:pPr>
                    <w:pStyle w:val="60"/>
                    <w:spacing w:line="240" w:lineRule="auto"/>
                    <w:ind w:firstLine="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r w14:paraId="04BA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690" w:type="dxa"/>
                  <w:vAlign w:val="center"/>
                </w:tcPr>
                <w:p w14:paraId="4254C8FB">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禁止未经许可在长江干支流及湖泊新设、改设或扩大排污口。</w:t>
                  </w:r>
                </w:p>
              </w:tc>
              <w:tc>
                <w:tcPr>
                  <w:tcW w:w="1985" w:type="dxa"/>
                  <w:vAlign w:val="center"/>
                </w:tcPr>
                <w:p w14:paraId="49AF19DA">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项目</w:t>
                  </w:r>
                  <w:r>
                    <w:rPr>
                      <w:rFonts w:ascii="Times New Roman" w:hAnsi="Times New Roman" w:eastAsia="宋体"/>
                      <w:color w:val="000000" w:themeColor="text1"/>
                      <w:szCs w:val="21"/>
                      <w14:textFill>
                        <w14:solidFill>
                          <w14:schemeClr w14:val="tx1"/>
                        </w14:solidFill>
                      </w14:textFill>
                    </w:rPr>
                    <w:t>不涉及</w:t>
                  </w:r>
                  <w:r>
                    <w:rPr>
                      <w:rFonts w:hint="eastAsia" w:ascii="Times New Roman" w:hAnsi="Times New Roman" w:eastAsia="宋体"/>
                      <w:color w:val="000000" w:themeColor="text1"/>
                      <w:szCs w:val="21"/>
                      <w14:textFill>
                        <w14:solidFill>
                          <w14:schemeClr w14:val="tx1"/>
                        </w14:solidFill>
                      </w14:textFill>
                    </w:rPr>
                    <w:t>长江干支流。</w:t>
                  </w:r>
                </w:p>
              </w:tc>
              <w:tc>
                <w:tcPr>
                  <w:tcW w:w="921" w:type="dxa"/>
                  <w:vAlign w:val="center"/>
                </w:tcPr>
                <w:p w14:paraId="5D7FA3C6">
                  <w:pPr>
                    <w:pStyle w:val="60"/>
                    <w:spacing w:line="240" w:lineRule="auto"/>
                    <w:ind w:firstLine="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r w14:paraId="60A8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690" w:type="dxa"/>
                  <w:vAlign w:val="center"/>
                </w:tcPr>
                <w:p w14:paraId="0D35E8BB">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禁止在</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一江一口两湖七河</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和332个水生生物保护区开展生产性捕捞。</w:t>
                  </w:r>
                </w:p>
              </w:tc>
              <w:tc>
                <w:tcPr>
                  <w:tcW w:w="1985" w:type="dxa"/>
                  <w:vAlign w:val="center"/>
                </w:tcPr>
                <w:p w14:paraId="682E0022">
                  <w:pP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不涉及</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一江一口两湖七河</w:t>
                  </w:r>
                  <w:r>
                    <w:rPr>
                      <w:rFonts w:hint="eastAsia"/>
                      <w:color w:val="000000" w:themeColor="text1"/>
                      <w:szCs w:val="21"/>
                      <w14:textFill>
                        <w14:solidFill>
                          <w14:schemeClr w14:val="tx1"/>
                        </w14:solidFill>
                      </w14:textFill>
                    </w:rPr>
                    <w:t>”和水生生物保护区。</w:t>
                  </w:r>
                </w:p>
              </w:tc>
              <w:tc>
                <w:tcPr>
                  <w:tcW w:w="921" w:type="dxa"/>
                  <w:vAlign w:val="center"/>
                </w:tcPr>
                <w:p w14:paraId="47C80D04">
                  <w:pPr>
                    <w:pStyle w:val="60"/>
                    <w:spacing w:line="240" w:lineRule="auto"/>
                    <w:ind w:firstLine="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r w14:paraId="74A2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690" w:type="dxa"/>
                  <w:vAlign w:val="center"/>
                </w:tcPr>
                <w:p w14:paraId="2DA6F735">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985" w:type="dxa"/>
                  <w:vAlign w:val="center"/>
                </w:tcPr>
                <w:p w14:paraId="79666725">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项目不属于化工项目，</w:t>
                  </w:r>
                  <w:r>
                    <w:rPr>
                      <w:rFonts w:ascii="Times New Roman" w:hAnsi="Times New Roman" w:eastAsia="宋体"/>
                      <w:color w:val="000000" w:themeColor="text1"/>
                      <w:szCs w:val="21"/>
                      <w14:textFill>
                        <w14:solidFill>
                          <w14:schemeClr w14:val="tx1"/>
                        </w14:solidFill>
                      </w14:textFill>
                    </w:rPr>
                    <w:t>不涉及</w:t>
                  </w:r>
                  <w:r>
                    <w:rPr>
                      <w:rFonts w:hint="eastAsia" w:ascii="Times New Roman" w:hAnsi="Times New Roman" w:eastAsia="宋体"/>
                      <w:color w:val="000000" w:themeColor="text1"/>
                      <w:szCs w:val="21"/>
                      <w14:textFill>
                        <w14:solidFill>
                          <w14:schemeClr w14:val="tx1"/>
                        </w14:solidFill>
                      </w14:textFill>
                    </w:rPr>
                    <w:t>长江干支流、重要湖泊岸线。</w:t>
                  </w:r>
                </w:p>
              </w:tc>
              <w:tc>
                <w:tcPr>
                  <w:tcW w:w="921" w:type="dxa"/>
                  <w:vAlign w:val="center"/>
                </w:tcPr>
                <w:p w14:paraId="688FEDCD">
                  <w:pPr>
                    <w:pStyle w:val="60"/>
                    <w:spacing w:line="240" w:lineRule="auto"/>
                    <w:ind w:firstLine="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r w14:paraId="1468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690" w:type="dxa"/>
                  <w:vAlign w:val="center"/>
                </w:tcPr>
                <w:p w14:paraId="219E1633">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禁止在合规园区外新建、扩建钢铁、石化、化工、焦化、建材、有色、制浆造纸等高污染项目。</w:t>
                  </w:r>
                </w:p>
              </w:tc>
              <w:tc>
                <w:tcPr>
                  <w:tcW w:w="1985" w:type="dxa"/>
                  <w:vAlign w:val="center"/>
                </w:tcPr>
                <w:p w14:paraId="48C666C9">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项目</w:t>
                  </w:r>
                  <w:r>
                    <w:rPr>
                      <w:rFonts w:hint="eastAsia" w:ascii="Times New Roman" w:hAnsi="Times New Roman" w:eastAsia="宋体"/>
                      <w:color w:val="000000" w:themeColor="text1"/>
                      <w:szCs w:val="21"/>
                      <w14:textFill>
                        <w14:solidFill>
                          <w14:schemeClr w14:val="tx1"/>
                        </w14:solidFill>
                      </w14:textFill>
                    </w:rPr>
                    <w:t>不属于所列</w:t>
                  </w:r>
                  <w:r>
                    <w:rPr>
                      <w:rFonts w:ascii="Times New Roman" w:hAnsi="Times New Roman" w:eastAsia="宋体"/>
                      <w:color w:val="000000" w:themeColor="text1"/>
                      <w:szCs w:val="21"/>
                      <w14:textFill>
                        <w14:solidFill>
                          <w14:schemeClr w14:val="tx1"/>
                        </w14:solidFill>
                      </w14:textFill>
                    </w:rPr>
                    <w:t>高污染项目。</w:t>
                  </w:r>
                </w:p>
              </w:tc>
              <w:tc>
                <w:tcPr>
                  <w:tcW w:w="921" w:type="dxa"/>
                  <w:vAlign w:val="center"/>
                </w:tcPr>
                <w:p w14:paraId="7E621910">
                  <w:pPr>
                    <w:pStyle w:val="60"/>
                    <w:spacing w:line="240" w:lineRule="auto"/>
                    <w:ind w:firstLine="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r w14:paraId="1D0B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690" w:type="dxa"/>
                  <w:vAlign w:val="center"/>
                </w:tcPr>
                <w:p w14:paraId="06D6DF1E">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禁止新建、扩建不符合国家石化、现代煤化工等产业布局规划的项目。</w:t>
                  </w:r>
                </w:p>
              </w:tc>
              <w:tc>
                <w:tcPr>
                  <w:tcW w:w="1985" w:type="dxa"/>
                  <w:vAlign w:val="center"/>
                </w:tcPr>
                <w:p w14:paraId="7C3A3F09">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项目不属于所列规划项目。</w:t>
                  </w:r>
                </w:p>
              </w:tc>
              <w:tc>
                <w:tcPr>
                  <w:tcW w:w="921" w:type="dxa"/>
                  <w:vAlign w:val="center"/>
                </w:tcPr>
                <w:p w14:paraId="619144DD">
                  <w:pPr>
                    <w:pStyle w:val="60"/>
                    <w:spacing w:line="240" w:lineRule="auto"/>
                    <w:ind w:firstLine="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符合</w:t>
                  </w:r>
                </w:p>
              </w:tc>
            </w:tr>
            <w:tr w14:paraId="5FD5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690" w:type="dxa"/>
                  <w:vAlign w:val="center"/>
                </w:tcPr>
                <w:p w14:paraId="649A9080">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1985" w:type="dxa"/>
                  <w:vAlign w:val="center"/>
                </w:tcPr>
                <w:p w14:paraId="18A67291">
                  <w:pPr>
                    <w:pStyle w:val="60"/>
                    <w:spacing w:line="240" w:lineRule="auto"/>
                    <w:ind w:firstLine="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项目</w:t>
                  </w:r>
                  <w:r>
                    <w:rPr>
                      <w:rFonts w:hint="eastAsia" w:ascii="Times New Roman" w:hAnsi="Times New Roman" w:eastAsia="宋体"/>
                      <w:color w:val="000000" w:themeColor="text1"/>
                      <w:szCs w:val="21"/>
                      <w14:textFill>
                        <w14:solidFill>
                          <w14:schemeClr w14:val="tx1"/>
                        </w14:solidFill>
                      </w14:textFill>
                    </w:rPr>
                    <w:t>不属于落后产能、过剩产能行业、高耗能高排放项目。</w:t>
                  </w:r>
                </w:p>
              </w:tc>
              <w:tc>
                <w:tcPr>
                  <w:tcW w:w="921" w:type="dxa"/>
                  <w:vAlign w:val="center"/>
                </w:tcPr>
                <w:p w14:paraId="4485E603">
                  <w:pPr>
                    <w:pStyle w:val="60"/>
                    <w:spacing w:line="240" w:lineRule="auto"/>
                    <w:ind w:firstLine="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符合</w:t>
                  </w:r>
                </w:p>
              </w:tc>
            </w:tr>
          </w:tbl>
          <w:p w14:paraId="4486ED01">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与</w:t>
            </w:r>
            <w:r>
              <w:rPr>
                <w:color w:val="000000" w:themeColor="text1"/>
                <w:sz w:val="24"/>
                <w14:textFill>
                  <w14:solidFill>
                    <w14:schemeClr w14:val="tx1"/>
                  </w14:solidFill>
                </w14:textFill>
              </w:rPr>
              <w:t>《长江经济带发展负面清单指南（试行，2022年版）》</w:t>
            </w:r>
            <w:r>
              <w:rPr>
                <w:rFonts w:hint="eastAsia"/>
                <w:color w:val="000000" w:themeColor="text1"/>
                <w:sz w:val="24"/>
                <w14:textFill>
                  <w14:solidFill>
                    <w14:schemeClr w14:val="tx1"/>
                  </w14:solidFill>
                </w14:textFill>
              </w:rPr>
              <w:t>是相协调的</w:t>
            </w:r>
            <w:r>
              <w:rPr>
                <w:color w:val="000000" w:themeColor="text1"/>
                <w:sz w:val="24"/>
                <w14:textFill>
                  <w14:solidFill>
                    <w14:schemeClr w14:val="tx1"/>
                  </w14:solidFill>
                </w14:textFill>
              </w:rPr>
              <w:t>。</w:t>
            </w:r>
          </w:p>
          <w:p w14:paraId="1012DDDA">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10、</w:t>
            </w:r>
            <w:r>
              <w:rPr>
                <w:rFonts w:cs="宋体"/>
                <w:b/>
                <w:bCs/>
                <w:color w:val="000000" w:themeColor="text1"/>
                <w:kern w:val="0"/>
                <w:sz w:val="28"/>
                <w:szCs w:val="28"/>
                <w14:textFill>
                  <w14:solidFill>
                    <w14:schemeClr w14:val="tx1"/>
                  </w14:solidFill>
                </w14:textFill>
              </w:rPr>
              <w:t>《云南省长江经济带发展负面清单指南实施细则（试行，2022年版）》符合性分析</w:t>
            </w:r>
          </w:p>
          <w:p w14:paraId="6BFFD6CC">
            <w:pPr>
              <w:snapToGrid w:val="0"/>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项目与《云南省长江经济带发展负面清单指南实施细则（试行，2022年版）》符合性分析见</w:t>
            </w:r>
            <w:r>
              <w:rPr>
                <w:rFonts w:hint="eastAsia"/>
                <w:color w:val="000000" w:themeColor="text1"/>
                <w:kern w:val="0"/>
                <w:sz w:val="24"/>
                <w:lang w:bidi="ar"/>
                <w14:textFill>
                  <w14:solidFill>
                    <w14:schemeClr w14:val="tx1"/>
                  </w14:solidFill>
                </w14:textFill>
              </w:rPr>
              <w:t>下</w:t>
            </w:r>
            <w:r>
              <w:rPr>
                <w:color w:val="000000" w:themeColor="text1"/>
                <w:kern w:val="0"/>
                <w:sz w:val="24"/>
                <w:lang w:bidi="ar"/>
                <w14:textFill>
                  <w14:solidFill>
                    <w14:schemeClr w14:val="tx1"/>
                  </w14:solidFill>
                </w14:textFill>
              </w:rPr>
              <w:t>表。</w:t>
            </w:r>
          </w:p>
          <w:p w14:paraId="50E04E23">
            <w:pPr>
              <w:snapToGrid w:val="0"/>
              <w:jc w:val="center"/>
              <w:rPr>
                <w:b/>
                <w:color w:val="000000" w:themeColor="text1"/>
                <w:szCs w:val="40"/>
                <w14:textFill>
                  <w14:solidFill>
                    <w14:schemeClr w14:val="tx1"/>
                  </w14:solidFill>
                </w14:textFill>
              </w:rPr>
            </w:pPr>
            <w:r>
              <w:rPr>
                <w:rFonts w:hint="eastAsia"/>
                <w:b/>
                <w:color w:val="000000" w:themeColor="text1"/>
                <w:szCs w:val="40"/>
                <w14:textFill>
                  <w14:solidFill>
                    <w14:schemeClr w14:val="tx1"/>
                  </w14:solidFill>
                </w14:textFill>
              </w:rPr>
              <w:t>表1-10 项目与《云南省长江经济带发展负面清单指南实施细则（试行，2022年版）》符合性分析</w:t>
            </w:r>
          </w:p>
          <w:tbl>
            <w:tblPr>
              <w:tblStyle w:val="22"/>
              <w:tblW w:w="7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8"/>
              <w:gridCol w:w="1719"/>
              <w:gridCol w:w="930"/>
            </w:tblGrid>
            <w:tr w14:paraId="6026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74" w:type="dxa"/>
                  <w:vAlign w:val="center"/>
                </w:tcPr>
                <w:p w14:paraId="482282A2">
                  <w:pPr>
                    <w:pStyle w:val="31"/>
                    <w:rPr>
                      <w:b/>
                      <w:bCs/>
                    </w:rPr>
                  </w:pPr>
                  <w:r>
                    <w:rPr>
                      <w:rFonts w:hint="eastAsia"/>
                      <w:b/>
                      <w:bCs/>
                    </w:rPr>
                    <w:t>内容</w:t>
                  </w:r>
                  <w:r>
                    <w:rPr>
                      <w:b/>
                      <w:bCs/>
                    </w:rPr>
                    <w:t>要求</w:t>
                  </w:r>
                </w:p>
              </w:tc>
              <w:tc>
                <w:tcPr>
                  <w:tcW w:w="1701" w:type="dxa"/>
                  <w:vAlign w:val="center"/>
                </w:tcPr>
                <w:p w14:paraId="6EFA6C99">
                  <w:pPr>
                    <w:pStyle w:val="31"/>
                    <w:rPr>
                      <w:b/>
                      <w:bCs/>
                    </w:rPr>
                  </w:pPr>
                  <w:r>
                    <w:rPr>
                      <w:b/>
                      <w:bCs/>
                    </w:rPr>
                    <w:t>项目情况</w:t>
                  </w:r>
                </w:p>
              </w:tc>
              <w:tc>
                <w:tcPr>
                  <w:tcW w:w="920" w:type="dxa"/>
                  <w:vAlign w:val="center"/>
                </w:tcPr>
                <w:p w14:paraId="18250B11">
                  <w:pPr>
                    <w:pStyle w:val="31"/>
                    <w:rPr>
                      <w:b/>
                      <w:bCs/>
                    </w:rPr>
                  </w:pPr>
                  <w:r>
                    <w:rPr>
                      <w:b/>
                      <w:bCs/>
                    </w:rPr>
                    <w:t>符合性</w:t>
                  </w:r>
                </w:p>
              </w:tc>
            </w:tr>
            <w:tr w14:paraId="04EA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74" w:type="dxa"/>
                  <w:vAlign w:val="center"/>
                </w:tcPr>
                <w:p w14:paraId="38100964">
                  <w:pPr>
                    <w:pStyle w:val="31"/>
                    <w:jc w:val="both"/>
                  </w:pPr>
                  <w:r>
                    <w:t>禁止新建、改建和扩建不符合《全国内河航道与港口布局规划》等全国港口规划和《昭通市港口码头岸线规划（金沙江段2019年</w:t>
                  </w:r>
                  <w:r>
                    <w:rPr>
                      <w:rFonts w:hint="eastAsia"/>
                    </w:rPr>
                    <w:t>-</w:t>
                  </w:r>
                  <w:r>
                    <w:t>2035年）》《景洪港总体规划（2019</w:t>
                  </w:r>
                  <w:r>
                    <w:rPr>
                      <w:rFonts w:hint="eastAsia"/>
                    </w:rPr>
                    <w:t>-</w:t>
                  </w:r>
                  <w:r>
                    <w:t>2035年）》等州（市）级以上港口布局规划以及港口总体规划的码头项目。</w:t>
                  </w:r>
                </w:p>
              </w:tc>
              <w:tc>
                <w:tcPr>
                  <w:tcW w:w="1701" w:type="dxa"/>
                  <w:vAlign w:val="center"/>
                </w:tcPr>
                <w:p w14:paraId="5A450B48">
                  <w:pPr>
                    <w:pStyle w:val="31"/>
                    <w:jc w:val="both"/>
                  </w:pPr>
                  <w:r>
                    <w:rPr>
                      <w:rFonts w:hint="eastAsia"/>
                      <w:color w:val="000000" w:themeColor="text1"/>
                      <w14:textFill>
                        <w14:solidFill>
                          <w14:schemeClr w14:val="tx1"/>
                        </w14:solidFill>
                      </w14:textFill>
                    </w:rPr>
                    <w:t>项目不属于内河航道、港口、码头项目。</w:t>
                  </w:r>
                </w:p>
              </w:tc>
              <w:tc>
                <w:tcPr>
                  <w:tcW w:w="920" w:type="dxa"/>
                  <w:vAlign w:val="center"/>
                </w:tcPr>
                <w:p w14:paraId="25CEADB6">
                  <w:pPr>
                    <w:pStyle w:val="31"/>
                  </w:pPr>
                  <w:r>
                    <w:t>符合</w:t>
                  </w:r>
                </w:p>
              </w:tc>
            </w:tr>
            <w:tr w14:paraId="16CD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74" w:type="dxa"/>
                  <w:vAlign w:val="center"/>
                </w:tcPr>
                <w:p w14:paraId="43FEF074">
                  <w:pPr>
                    <w:pStyle w:val="31"/>
                    <w:jc w:val="both"/>
                  </w:pPr>
                  <w: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701" w:type="dxa"/>
                  <w:vAlign w:val="center"/>
                </w:tcPr>
                <w:p w14:paraId="265B6F94">
                  <w:pPr>
                    <w:pStyle w:val="31"/>
                    <w:jc w:val="both"/>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不涉及</w:t>
                  </w:r>
                  <w:r>
                    <w:rPr>
                      <w:rFonts w:hint="eastAsia"/>
                      <w:color w:val="000000" w:themeColor="text1"/>
                      <w14:textFill>
                        <w14:solidFill>
                          <w14:schemeClr w14:val="tx1"/>
                        </w14:solidFill>
                      </w14:textFill>
                    </w:rPr>
                    <w:t>自然保护区。</w:t>
                  </w:r>
                </w:p>
              </w:tc>
              <w:tc>
                <w:tcPr>
                  <w:tcW w:w="920" w:type="dxa"/>
                  <w:vAlign w:val="center"/>
                </w:tcPr>
                <w:p w14:paraId="1CD447A6">
                  <w:pPr>
                    <w:pStyle w:val="31"/>
                  </w:pPr>
                  <w:r>
                    <w:t>符合</w:t>
                  </w:r>
                </w:p>
              </w:tc>
            </w:tr>
            <w:tr w14:paraId="63C7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74" w:type="dxa"/>
                  <w:vAlign w:val="center"/>
                </w:tcPr>
                <w:p w14:paraId="6482793C">
                  <w:pPr>
                    <w:pStyle w:val="31"/>
                    <w:jc w:val="both"/>
                  </w:pPr>
                  <w:r>
                    <w:t>禁止在风景名胜区核心景区的岸线和河段范围内投资建设与风景名</w:t>
                  </w:r>
                  <w:r>
                    <w:rPr>
                      <w:rFonts w:hint="eastAsia"/>
                    </w:rPr>
                    <w:t>胜区</w:t>
                  </w:r>
                  <w:r>
                    <w:t>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701" w:type="dxa"/>
                  <w:vAlign w:val="center"/>
                </w:tcPr>
                <w:p w14:paraId="7C71D553">
                  <w:pPr>
                    <w:pStyle w:val="31"/>
                    <w:jc w:val="both"/>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不涉及</w:t>
                  </w:r>
                  <w:r>
                    <w:rPr>
                      <w:rFonts w:hint="eastAsia"/>
                      <w:color w:val="000000" w:themeColor="text1"/>
                      <w14:textFill>
                        <w14:solidFill>
                          <w14:schemeClr w14:val="tx1"/>
                        </w14:solidFill>
                      </w14:textFill>
                    </w:rPr>
                    <w:t>风景名胜区。</w:t>
                  </w:r>
                </w:p>
              </w:tc>
              <w:tc>
                <w:tcPr>
                  <w:tcW w:w="920" w:type="dxa"/>
                  <w:vAlign w:val="center"/>
                </w:tcPr>
                <w:p w14:paraId="3611CBE3">
                  <w:pPr>
                    <w:pStyle w:val="31"/>
                  </w:pPr>
                  <w:r>
                    <w:t>符合</w:t>
                  </w:r>
                </w:p>
              </w:tc>
            </w:tr>
            <w:tr w14:paraId="508F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74" w:type="dxa"/>
                  <w:vAlign w:val="center"/>
                </w:tcPr>
                <w:p w14:paraId="7938AA0B">
                  <w:pPr>
                    <w:pStyle w:val="31"/>
                    <w:jc w:val="both"/>
                  </w:pPr>
                  <w: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701" w:type="dxa"/>
                  <w:vAlign w:val="center"/>
                </w:tcPr>
                <w:p w14:paraId="0DE05F5C">
                  <w:pPr>
                    <w:pStyle w:val="31"/>
                    <w:jc w:val="both"/>
                  </w:pPr>
                  <w:r>
                    <w:rPr>
                      <w:rFonts w:hint="eastAsia"/>
                    </w:rPr>
                    <w:t>项目</w:t>
                  </w:r>
                  <w:r>
                    <w:t>不</w:t>
                  </w:r>
                  <w:r>
                    <w:rPr>
                      <w:rFonts w:hint="eastAsia"/>
                    </w:rPr>
                    <w:t>涉及饮用水水源保护区。</w:t>
                  </w:r>
                </w:p>
              </w:tc>
              <w:tc>
                <w:tcPr>
                  <w:tcW w:w="920" w:type="dxa"/>
                  <w:vAlign w:val="center"/>
                </w:tcPr>
                <w:p w14:paraId="73B70D88">
                  <w:pPr>
                    <w:pStyle w:val="31"/>
                  </w:pPr>
                  <w:r>
                    <w:t>符合</w:t>
                  </w:r>
                </w:p>
              </w:tc>
            </w:tr>
            <w:tr w14:paraId="2EBB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74" w:type="dxa"/>
                  <w:vAlign w:val="center"/>
                </w:tcPr>
                <w:p w14:paraId="1C198E90">
                  <w:pPr>
                    <w:pStyle w:val="31"/>
                    <w:jc w:val="both"/>
                  </w:pPr>
                  <w: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701" w:type="dxa"/>
                  <w:vAlign w:val="center"/>
                </w:tcPr>
                <w:p w14:paraId="1B7EF000">
                  <w:pPr>
                    <w:pStyle w:val="31"/>
                    <w:jc w:val="both"/>
                  </w:pPr>
                  <w:r>
                    <w:rPr>
                      <w:rFonts w:hint="eastAsia"/>
                    </w:rPr>
                    <w:t>项目不涉及水产种质资源保护区、国家湿地公园。</w:t>
                  </w:r>
                </w:p>
              </w:tc>
              <w:tc>
                <w:tcPr>
                  <w:tcW w:w="920" w:type="dxa"/>
                  <w:vAlign w:val="center"/>
                </w:tcPr>
                <w:p w14:paraId="6FC9E0A0">
                  <w:pPr>
                    <w:pStyle w:val="31"/>
                  </w:pPr>
                  <w:r>
                    <w:t>符合</w:t>
                  </w:r>
                </w:p>
              </w:tc>
            </w:tr>
            <w:tr w14:paraId="760F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74" w:type="dxa"/>
                  <w:vAlign w:val="center"/>
                </w:tcPr>
                <w:p w14:paraId="63DB81D1">
                  <w:pPr>
                    <w:pStyle w:val="31"/>
                    <w:jc w:val="both"/>
                  </w:pPr>
                  <w: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701" w:type="dxa"/>
                  <w:vAlign w:val="center"/>
                </w:tcPr>
                <w:p w14:paraId="77101546">
                  <w:pPr>
                    <w:pStyle w:val="31"/>
                    <w:jc w:val="both"/>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不涉及</w:t>
                  </w:r>
                  <w:r>
                    <w:rPr>
                      <w:rFonts w:hint="eastAsia"/>
                      <w:color w:val="000000" w:themeColor="text1"/>
                      <w14:textFill>
                        <w14:solidFill>
                          <w14:schemeClr w14:val="tx1"/>
                        </w14:solidFill>
                      </w14:textFill>
                    </w:rPr>
                    <w:t>长江流域河湖岸线，金沙江岸线保护区、保留区及九大高原湖泊。</w:t>
                  </w:r>
                </w:p>
              </w:tc>
              <w:tc>
                <w:tcPr>
                  <w:tcW w:w="920" w:type="dxa"/>
                  <w:vAlign w:val="center"/>
                </w:tcPr>
                <w:p w14:paraId="3F0D2347">
                  <w:pPr>
                    <w:pStyle w:val="31"/>
                  </w:pPr>
                  <w:r>
                    <w:t>符合</w:t>
                  </w:r>
                </w:p>
              </w:tc>
            </w:tr>
            <w:tr w14:paraId="6281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74" w:type="dxa"/>
                  <w:vAlign w:val="center"/>
                </w:tcPr>
                <w:p w14:paraId="40ADB929">
                  <w:pPr>
                    <w:pStyle w:val="31"/>
                    <w:jc w:val="both"/>
                  </w:pPr>
                  <w: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701" w:type="dxa"/>
                  <w:vAlign w:val="center"/>
                </w:tcPr>
                <w:p w14:paraId="63A53B39">
                  <w:pPr>
                    <w:pStyle w:val="31"/>
                    <w:jc w:val="both"/>
                  </w:pPr>
                  <w:r>
                    <w:rPr>
                      <w:rFonts w:hint="eastAsia"/>
                    </w:rPr>
                    <w:t>项目</w:t>
                  </w:r>
                  <w:r>
                    <w:t>不涉及</w:t>
                  </w:r>
                  <w:r>
                    <w:rPr>
                      <w:rFonts w:hint="eastAsia"/>
                    </w:rPr>
                    <w:t>金沙江干流、长江一级支流、九大高原湖泊。</w:t>
                  </w:r>
                </w:p>
              </w:tc>
              <w:tc>
                <w:tcPr>
                  <w:tcW w:w="920" w:type="dxa"/>
                  <w:vAlign w:val="center"/>
                </w:tcPr>
                <w:p w14:paraId="54DDF809">
                  <w:pPr>
                    <w:pStyle w:val="31"/>
                  </w:pPr>
                  <w:r>
                    <w:t>符合</w:t>
                  </w:r>
                </w:p>
              </w:tc>
            </w:tr>
            <w:tr w14:paraId="65C4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74" w:type="dxa"/>
                  <w:vAlign w:val="center"/>
                </w:tcPr>
                <w:p w14:paraId="1695728D">
                  <w:pPr>
                    <w:pStyle w:val="31"/>
                    <w:jc w:val="both"/>
                  </w:pPr>
                  <w:r>
                    <w:rPr>
                      <w:rFonts w:hint="eastAsia"/>
                    </w:rPr>
                    <w:t>禁止在金沙江干流、长江一级支流、水生生物保护区和长江流域禁捕水域开展天然渔业资源生产性捕捞。</w:t>
                  </w:r>
                </w:p>
              </w:tc>
              <w:tc>
                <w:tcPr>
                  <w:tcW w:w="1701" w:type="dxa"/>
                  <w:vAlign w:val="center"/>
                </w:tcPr>
                <w:p w14:paraId="7E585014">
                  <w:pPr>
                    <w:pStyle w:val="31"/>
                    <w:jc w:val="both"/>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不涉及</w:t>
                  </w:r>
                  <w:r>
                    <w:rPr>
                      <w:rFonts w:hint="eastAsia"/>
                      <w:color w:val="000000" w:themeColor="text1"/>
                      <w14:textFill>
                        <w14:solidFill>
                          <w14:schemeClr w14:val="tx1"/>
                        </w14:solidFill>
                      </w14:textFill>
                    </w:rPr>
                    <w:t>水生生物保护区。</w:t>
                  </w:r>
                </w:p>
              </w:tc>
              <w:tc>
                <w:tcPr>
                  <w:tcW w:w="920" w:type="dxa"/>
                  <w:vAlign w:val="center"/>
                </w:tcPr>
                <w:p w14:paraId="1D050CB3">
                  <w:pPr>
                    <w:pStyle w:val="31"/>
                  </w:pPr>
                  <w:r>
                    <w:rPr>
                      <w:rFonts w:hint="eastAsia"/>
                    </w:rPr>
                    <w:t>符合</w:t>
                  </w:r>
                </w:p>
              </w:tc>
            </w:tr>
            <w:tr w14:paraId="0471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74" w:type="dxa"/>
                  <w:vAlign w:val="center"/>
                </w:tcPr>
                <w:p w14:paraId="4D99BBE1">
                  <w:pPr>
                    <w:pStyle w:val="31"/>
                    <w:jc w:val="both"/>
                  </w:pPr>
                  <w:r>
                    <w:rPr>
                      <w:rFonts w:hint="eastAsia"/>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701" w:type="dxa"/>
                  <w:vAlign w:val="center"/>
                </w:tcPr>
                <w:p w14:paraId="1DC9853A">
                  <w:pPr>
                    <w:pStyle w:val="31"/>
                    <w:jc w:val="both"/>
                  </w:pPr>
                  <w:r>
                    <w:rPr>
                      <w:rFonts w:hint="eastAsia"/>
                    </w:rPr>
                    <w:t>项目不属于化工、尾矿库、磷石膏库项目。</w:t>
                  </w:r>
                </w:p>
              </w:tc>
              <w:tc>
                <w:tcPr>
                  <w:tcW w:w="920" w:type="dxa"/>
                  <w:vAlign w:val="center"/>
                </w:tcPr>
                <w:p w14:paraId="5708B76B">
                  <w:pPr>
                    <w:pStyle w:val="31"/>
                  </w:pPr>
                  <w:r>
                    <w:rPr>
                      <w:rFonts w:hint="eastAsia"/>
                    </w:rPr>
                    <w:t>符合</w:t>
                  </w:r>
                </w:p>
              </w:tc>
            </w:tr>
            <w:tr w14:paraId="58E3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74" w:type="dxa"/>
                  <w:vAlign w:val="center"/>
                </w:tcPr>
                <w:p w14:paraId="0E07CB11">
                  <w:pPr>
                    <w:pStyle w:val="31"/>
                    <w:jc w:val="both"/>
                  </w:pPr>
                  <w:r>
                    <w:t>禁止在合规园区外新建、扩建钢铁、石化、化工、焦化、建材、有色、制浆造纸行业中的高污染项目。</w:t>
                  </w:r>
                </w:p>
              </w:tc>
              <w:tc>
                <w:tcPr>
                  <w:tcW w:w="1701" w:type="dxa"/>
                  <w:vAlign w:val="center"/>
                </w:tcPr>
                <w:p w14:paraId="5C05FC67">
                  <w:pPr>
                    <w:pStyle w:val="31"/>
                    <w:jc w:val="both"/>
                  </w:pPr>
                  <w:r>
                    <w:rPr>
                      <w:rFonts w:hint="eastAsia"/>
                    </w:rPr>
                    <w:t>项目</w:t>
                  </w:r>
                  <w:r>
                    <w:t>不</w:t>
                  </w:r>
                  <w:r>
                    <w:rPr>
                      <w:rFonts w:hint="eastAsia"/>
                    </w:rPr>
                    <w:t>属于所列高污染项目。</w:t>
                  </w:r>
                </w:p>
              </w:tc>
              <w:tc>
                <w:tcPr>
                  <w:tcW w:w="920" w:type="dxa"/>
                  <w:vAlign w:val="center"/>
                </w:tcPr>
                <w:p w14:paraId="6CB0E238">
                  <w:pPr>
                    <w:pStyle w:val="31"/>
                  </w:pPr>
                  <w:r>
                    <w:t>符合</w:t>
                  </w:r>
                </w:p>
              </w:tc>
            </w:tr>
            <w:tr w14:paraId="7EF1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74" w:type="dxa"/>
                  <w:vAlign w:val="center"/>
                </w:tcPr>
                <w:p w14:paraId="25F146DB">
                  <w:pPr>
                    <w:pStyle w:val="31"/>
                    <w:jc w:val="both"/>
                  </w:pPr>
                  <w:r>
                    <w:t>禁止新建、扩建不符合国家石化、现代煤化工等产业布局规划的项目。禁止列入《云南省城镇人口密集区危险化学品生产企业搬迁改造名单》的搬迁改造企业在原址新建、扩建危险化学品生产项目。</w:t>
                  </w:r>
                </w:p>
              </w:tc>
              <w:tc>
                <w:tcPr>
                  <w:tcW w:w="1701" w:type="dxa"/>
                  <w:vAlign w:val="center"/>
                </w:tcPr>
                <w:p w14:paraId="343808D7">
                  <w:pPr>
                    <w:pStyle w:val="31"/>
                    <w:jc w:val="both"/>
                  </w:pPr>
                  <w:r>
                    <w:rPr>
                      <w:rFonts w:hint="eastAsia"/>
                    </w:rPr>
                    <w:t>项目不属于所列规划项目。</w:t>
                  </w:r>
                </w:p>
              </w:tc>
              <w:tc>
                <w:tcPr>
                  <w:tcW w:w="920" w:type="dxa"/>
                  <w:vAlign w:val="center"/>
                </w:tcPr>
                <w:p w14:paraId="64B7EC4E">
                  <w:pPr>
                    <w:pStyle w:val="31"/>
                  </w:pPr>
                  <w:r>
                    <w:t>符合</w:t>
                  </w:r>
                </w:p>
              </w:tc>
            </w:tr>
            <w:tr w14:paraId="014A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974" w:type="dxa"/>
                  <w:vAlign w:val="center"/>
                </w:tcPr>
                <w:p w14:paraId="0D4E2DC9">
                  <w:pPr>
                    <w:pStyle w:val="31"/>
                    <w:jc w:val="both"/>
                  </w:pPr>
                  <w: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w:t>
                  </w:r>
                  <w:r>
                    <w:rPr>
                      <w:rFonts w:hint="eastAsia"/>
                    </w:rPr>
                    <w:t>“</w:t>
                  </w:r>
                  <w:r>
                    <w:t>限制类</w:t>
                  </w:r>
                  <w:r>
                    <w:rPr>
                      <w:rFonts w:hint="eastAsia"/>
                    </w:rPr>
                    <w:t>”</w:t>
                  </w:r>
                  <w:r>
                    <w:t>产能。禁止建设高毒高残留以及对环境影响大的农药原药生产装置，严控尿素、磷铵、电石、焦炭、黄磷、烧碱、纯碱、聚氯乙烯等行业新增产能。</w:t>
                  </w:r>
                </w:p>
              </w:tc>
              <w:tc>
                <w:tcPr>
                  <w:tcW w:w="1701" w:type="dxa"/>
                  <w:vAlign w:val="center"/>
                </w:tcPr>
                <w:p w14:paraId="0B3F2880">
                  <w:pPr>
                    <w:pStyle w:val="31"/>
                    <w:jc w:val="both"/>
                  </w:pPr>
                  <w:r>
                    <w:rPr>
                      <w:rFonts w:hint="eastAsia"/>
                      <w:lang w:val="zh-CN"/>
                    </w:rPr>
                    <w:t>项目不属于落后产能、过剩产能行业、高污染高排放项目以及所列新增产能项目。</w:t>
                  </w:r>
                </w:p>
              </w:tc>
              <w:tc>
                <w:tcPr>
                  <w:tcW w:w="920" w:type="dxa"/>
                  <w:vAlign w:val="center"/>
                </w:tcPr>
                <w:p w14:paraId="11017DFC">
                  <w:pPr>
                    <w:pStyle w:val="31"/>
                  </w:pPr>
                  <w:r>
                    <w:t>符合</w:t>
                  </w:r>
                </w:p>
              </w:tc>
            </w:tr>
          </w:tbl>
          <w:p w14:paraId="3224C4F9">
            <w:pPr>
              <w:snapToGrid w:val="0"/>
              <w:spacing w:line="360" w:lineRule="auto"/>
              <w:ind w:firstLine="480" w:firstLineChars="200"/>
              <w:rPr>
                <w:rFonts w:cs="宋体"/>
                <w:color w:val="000000" w:themeColor="text1"/>
                <w:kern w:val="0"/>
                <w:sz w:val="24"/>
                <w:lang w:bidi="ar"/>
                <w14:textFill>
                  <w14:solidFill>
                    <w14:schemeClr w14:val="tx1"/>
                  </w14:solidFill>
                </w14:textFill>
              </w:rPr>
            </w:pPr>
            <w:r>
              <w:rPr>
                <w:rFonts w:hint="eastAsia"/>
                <w:color w:val="000000" w:themeColor="text1"/>
                <w:sz w:val="24"/>
                <w14:textFill>
                  <w14:solidFill>
                    <w14:schemeClr w14:val="tx1"/>
                  </w14:solidFill>
                </w14:textFill>
              </w:rPr>
              <w:t>综上所述，项目与《云南省长江经济带发展负面清单指南实施细则（试行，2022年版）》是相协调的。</w:t>
            </w:r>
          </w:p>
          <w:p w14:paraId="6751BBDF">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11、</w:t>
            </w:r>
            <w:r>
              <w:rPr>
                <w:rFonts w:cs="宋体"/>
                <w:b/>
                <w:bCs/>
                <w:color w:val="000000" w:themeColor="text1"/>
                <w:kern w:val="0"/>
                <w:sz w:val="28"/>
                <w:szCs w:val="28"/>
                <w14:textFill>
                  <w14:solidFill>
                    <w14:schemeClr w14:val="tx1"/>
                  </w14:solidFill>
                </w14:textFill>
              </w:rPr>
              <w:t>《</w:t>
            </w:r>
            <w:r>
              <w:rPr>
                <w:rFonts w:hint="eastAsia" w:cs="宋体"/>
                <w:b/>
                <w:bCs/>
                <w:color w:val="000000" w:themeColor="text1"/>
                <w:kern w:val="0"/>
                <w:sz w:val="28"/>
                <w:szCs w:val="28"/>
                <w14:textFill>
                  <w14:solidFill>
                    <w14:schemeClr w14:val="tx1"/>
                  </w14:solidFill>
                </w14:textFill>
              </w:rPr>
              <w:t>昆明市国土空间总体规划（2021-2035年）</w:t>
            </w:r>
            <w:r>
              <w:rPr>
                <w:rFonts w:cs="宋体"/>
                <w:b/>
                <w:bCs/>
                <w:color w:val="000000" w:themeColor="text1"/>
                <w:kern w:val="0"/>
                <w:sz w:val="28"/>
                <w:szCs w:val="28"/>
                <w14:textFill>
                  <w14:solidFill>
                    <w14:schemeClr w14:val="tx1"/>
                  </w14:solidFill>
                </w14:textFill>
              </w:rPr>
              <w:t>》符合性分析</w:t>
            </w:r>
          </w:p>
          <w:p w14:paraId="6F2C658A">
            <w:pPr>
              <w:widowControl/>
              <w:numPr>
                <w:ilvl w:val="255"/>
                <w:numId w:val="0"/>
              </w:num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项目与《昆明市国土空间总体规划（2021-2035年）》符合性分析见下表。</w:t>
            </w:r>
          </w:p>
          <w:p w14:paraId="6C496359">
            <w:pPr>
              <w:widowControl/>
              <w:numPr>
                <w:ilvl w:val="255"/>
                <w:numId w:val="0"/>
              </w:numPr>
              <w:snapToGrid w:val="0"/>
              <w:rPr>
                <w:color w:val="000000" w:themeColor="text1"/>
                <w:sz w:val="24"/>
                <w14:textFill>
                  <w14:solidFill>
                    <w14:schemeClr w14:val="tx1"/>
                  </w14:solidFill>
                </w14:textFill>
              </w:rPr>
            </w:pPr>
          </w:p>
          <w:p w14:paraId="59608764">
            <w:pPr>
              <w:widowControl/>
              <w:numPr>
                <w:ilvl w:val="255"/>
                <w:numId w:val="0"/>
              </w:numPr>
              <w:snapToGrid w:val="0"/>
              <w:rPr>
                <w:color w:val="000000" w:themeColor="text1"/>
                <w:sz w:val="24"/>
                <w14:textFill>
                  <w14:solidFill>
                    <w14:schemeClr w14:val="tx1"/>
                  </w14:solidFill>
                </w14:textFill>
              </w:rPr>
            </w:pPr>
          </w:p>
          <w:p w14:paraId="3E692BCE">
            <w:pPr>
              <w:widowControl/>
              <w:numPr>
                <w:ilvl w:val="255"/>
                <w:numId w:val="0"/>
              </w:numPr>
              <w:snapToGrid w:val="0"/>
              <w:rPr>
                <w:color w:val="000000" w:themeColor="text1"/>
                <w:sz w:val="24"/>
                <w14:textFill>
                  <w14:solidFill>
                    <w14:schemeClr w14:val="tx1"/>
                  </w14:solidFill>
                </w14:textFill>
              </w:rPr>
            </w:pPr>
          </w:p>
          <w:p w14:paraId="5DDEC2B8">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表1-11 项目与《昆明市国土空间总体规划（2021-2035年）》符合性分析</w:t>
            </w:r>
          </w:p>
          <w:tbl>
            <w:tblPr>
              <w:tblStyle w:val="23"/>
              <w:tblW w:w="7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3110"/>
              <w:gridCol w:w="967"/>
            </w:tblGrid>
            <w:tr w14:paraId="5632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600" w:type="dxa"/>
                  <w:vAlign w:val="center"/>
                </w:tcPr>
                <w:p w14:paraId="45E0FB96">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内容要求</w:t>
                  </w:r>
                </w:p>
              </w:tc>
              <w:tc>
                <w:tcPr>
                  <w:tcW w:w="3110" w:type="dxa"/>
                  <w:vAlign w:val="center"/>
                </w:tcPr>
                <w:p w14:paraId="6320952A">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项目情况</w:t>
                  </w:r>
                </w:p>
              </w:tc>
              <w:tc>
                <w:tcPr>
                  <w:tcW w:w="967" w:type="dxa"/>
                  <w:vAlign w:val="center"/>
                </w:tcPr>
                <w:p w14:paraId="740746C5">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符合性</w:t>
                  </w:r>
                </w:p>
              </w:tc>
            </w:tr>
            <w:tr w14:paraId="2C7A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600" w:type="dxa"/>
                  <w:vAlign w:val="center"/>
                </w:tcPr>
                <w:p w14:paraId="786BC497">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坚持底线思维，把耕地和永久基本农田、生态保护红线、城镇开发边界三条控制线作为调整经济结构、规划产业发展、推进城镇化不可逾越的红线。</w:t>
                  </w:r>
                </w:p>
              </w:tc>
              <w:tc>
                <w:tcPr>
                  <w:tcW w:w="3110" w:type="dxa"/>
                  <w:vAlign w:val="center"/>
                </w:tcPr>
                <w:p w14:paraId="5961D3C8">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w:t>
                  </w:r>
                  <w:r>
                    <w:rPr>
                      <w:rFonts w:hint="eastAsia" w:cs="微软雅黑"/>
                      <w:szCs w:val="21"/>
                      <w:shd w:val="clear" w:color="auto" w:fill="FFFFFF"/>
                    </w:rPr>
                    <w:t>位于原听牧肉牛屠宰加工厂内，用地性质为工业用地，无新增用地，不涉及生态保护红线、永久基本农田、耕地。</w:t>
                  </w:r>
                </w:p>
              </w:tc>
              <w:tc>
                <w:tcPr>
                  <w:tcW w:w="967" w:type="dxa"/>
                  <w:vAlign w:val="center"/>
                </w:tcPr>
                <w:p w14:paraId="19069479">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7226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600" w:type="dxa"/>
                  <w:vAlign w:val="center"/>
                </w:tcPr>
                <w:p w14:paraId="55882757">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推动优势特色农业产业体系建设。在禄劝县、寻甸县布局发展山地牧业，加快建设优质畜禽生产基地和农畜产品精深加工园区。</w:t>
                  </w:r>
                </w:p>
              </w:tc>
              <w:tc>
                <w:tcPr>
                  <w:tcW w:w="3110" w:type="dxa"/>
                  <w:vAlign w:val="center"/>
                </w:tcPr>
                <w:p w14:paraId="635A284B">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w:t>
                  </w:r>
                  <w:r>
                    <w:rPr>
                      <w:rFonts w:hint="eastAsia" w:cs="微软雅黑"/>
                      <w:szCs w:val="21"/>
                      <w:shd w:val="clear" w:color="auto" w:fill="FFFFFF"/>
                    </w:rPr>
                    <w:t>在原听牧肉牛屠宰加工基础上，新增一条肉羊屠宰加工生产线，有助于促进寻甸县</w:t>
                  </w:r>
                  <w:r>
                    <w:rPr>
                      <w:rFonts w:hint="eastAsia"/>
                      <w:bCs/>
                      <w:color w:val="000000" w:themeColor="text1"/>
                      <w:szCs w:val="21"/>
                      <w14:textFill>
                        <w14:solidFill>
                          <w14:schemeClr w14:val="tx1"/>
                        </w14:solidFill>
                      </w14:textFill>
                    </w:rPr>
                    <w:t>建设优质畜禽生产基地和农畜产品精深加工产业。</w:t>
                  </w:r>
                </w:p>
              </w:tc>
              <w:tc>
                <w:tcPr>
                  <w:tcW w:w="967" w:type="dxa"/>
                  <w:vAlign w:val="center"/>
                </w:tcPr>
                <w:p w14:paraId="14C8B079">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bl>
          <w:p w14:paraId="3E24534C">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综上所述，项目与《昆明市国土空间总体规划（2021-2035年）》是相协调的。</w:t>
            </w:r>
          </w:p>
          <w:p w14:paraId="2F66EC61">
            <w:pPr>
              <w:snapToGrid w:val="0"/>
              <w:spacing w:line="360" w:lineRule="auto"/>
              <w:jc w:val="left"/>
              <w:rPr>
                <w:rFonts w:cs="宋体"/>
                <w:b/>
                <w:bCs/>
                <w:color w:val="000000" w:themeColor="text1"/>
                <w:kern w:val="0"/>
                <w:sz w:val="28"/>
                <w:szCs w:val="28"/>
                <w14:textFill>
                  <w14:solidFill>
                    <w14:schemeClr w14:val="tx1"/>
                  </w14:solidFill>
                </w14:textFill>
              </w:rPr>
            </w:pPr>
            <w:r>
              <w:rPr>
                <w:rFonts w:hint="eastAsia" w:cs="宋体"/>
                <w:b/>
                <w:bCs/>
                <w:color w:val="000000" w:themeColor="text1"/>
                <w:kern w:val="0"/>
                <w:sz w:val="28"/>
                <w:szCs w:val="28"/>
                <w14:textFill>
                  <w14:solidFill>
                    <w14:schemeClr w14:val="tx1"/>
                  </w14:solidFill>
                </w14:textFill>
              </w:rPr>
              <w:t>12、</w:t>
            </w:r>
            <w:r>
              <w:rPr>
                <w:rFonts w:cs="宋体"/>
                <w:b/>
                <w:bCs/>
                <w:color w:val="000000" w:themeColor="text1"/>
                <w:kern w:val="0"/>
                <w:sz w:val="28"/>
                <w:szCs w:val="28"/>
                <w14:textFill>
                  <w14:solidFill>
                    <w14:schemeClr w14:val="tx1"/>
                  </w14:solidFill>
                </w14:textFill>
              </w:rPr>
              <w:t>《</w:t>
            </w:r>
            <w:r>
              <w:rPr>
                <w:rFonts w:hint="eastAsia" w:cs="宋体"/>
                <w:b/>
                <w:bCs/>
                <w:color w:val="000000" w:themeColor="text1"/>
                <w:kern w:val="0"/>
                <w:sz w:val="28"/>
                <w:szCs w:val="28"/>
                <w14:textFill>
                  <w14:solidFill>
                    <w14:schemeClr w14:val="tx1"/>
                  </w14:solidFill>
                </w14:textFill>
              </w:rPr>
              <w:t>昆明市“十四五”生态环境保护规划</w:t>
            </w:r>
            <w:r>
              <w:rPr>
                <w:rFonts w:cs="宋体"/>
                <w:b/>
                <w:bCs/>
                <w:color w:val="000000" w:themeColor="text1"/>
                <w:kern w:val="0"/>
                <w:sz w:val="28"/>
                <w:szCs w:val="28"/>
                <w14:textFill>
                  <w14:solidFill>
                    <w14:schemeClr w14:val="tx1"/>
                  </w14:solidFill>
                </w14:textFill>
              </w:rPr>
              <w:t>》符合性分析</w:t>
            </w:r>
          </w:p>
          <w:p w14:paraId="59B623ED">
            <w:pPr>
              <w:widowControl/>
              <w:numPr>
                <w:ilvl w:val="255"/>
                <w:numId w:val="0"/>
              </w:num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项目与《昆明市“十四五”生态环境保护规划》符合性分析见下表。</w:t>
            </w:r>
          </w:p>
          <w:p w14:paraId="3A205CB3">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表1-12 项目与《昆明市“十四五”生态环境保护规划》符合性分析</w:t>
            </w:r>
          </w:p>
          <w:tbl>
            <w:tblPr>
              <w:tblStyle w:val="23"/>
              <w:tblW w:w="7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3110"/>
              <w:gridCol w:w="967"/>
            </w:tblGrid>
            <w:tr w14:paraId="20E8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600" w:type="dxa"/>
                  <w:vAlign w:val="center"/>
                </w:tcPr>
                <w:p w14:paraId="0691210A">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内容要求</w:t>
                  </w:r>
                </w:p>
              </w:tc>
              <w:tc>
                <w:tcPr>
                  <w:tcW w:w="3110" w:type="dxa"/>
                  <w:vAlign w:val="center"/>
                </w:tcPr>
                <w:p w14:paraId="08AD203A">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项目情况</w:t>
                  </w:r>
                </w:p>
              </w:tc>
              <w:tc>
                <w:tcPr>
                  <w:tcW w:w="967" w:type="dxa"/>
                  <w:vAlign w:val="center"/>
                </w:tcPr>
                <w:p w14:paraId="74BA0F42">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符合性</w:t>
                  </w:r>
                </w:p>
              </w:tc>
            </w:tr>
            <w:tr w14:paraId="207C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600" w:type="dxa"/>
                  <w:vAlign w:val="center"/>
                </w:tcPr>
                <w:p w14:paraId="0B06A13D">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强化生态保护红线刚性约束，落实生态保护红线边界，依法依规严守生态保护红线。</w:t>
                  </w:r>
                </w:p>
              </w:tc>
              <w:tc>
                <w:tcPr>
                  <w:tcW w:w="3110" w:type="dxa"/>
                  <w:vAlign w:val="center"/>
                </w:tcPr>
                <w:p w14:paraId="18645F34">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w:t>
                  </w:r>
                  <w:r>
                    <w:rPr>
                      <w:rFonts w:hint="eastAsia" w:cs="微软雅黑"/>
                      <w:szCs w:val="21"/>
                      <w:shd w:val="clear" w:color="auto" w:fill="FFFFFF"/>
                    </w:rPr>
                    <w:t>位于原听牧肉牛屠宰加工厂内，用地性质为工业用地，无新增用地，不涉及生态保护红线。</w:t>
                  </w:r>
                </w:p>
              </w:tc>
              <w:tc>
                <w:tcPr>
                  <w:tcW w:w="967" w:type="dxa"/>
                  <w:vAlign w:val="center"/>
                </w:tcPr>
                <w:p w14:paraId="5DA510A6">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3980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600" w:type="dxa"/>
                  <w:vAlign w:val="center"/>
                </w:tcPr>
                <w:p w14:paraId="69A3675F">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建立健全生态环境分区引导机制，把“三线一单”作为区域资源开发、 产业布局和结构调整、城镇建设、重大项目选址的重要依据。</w:t>
                  </w:r>
                </w:p>
              </w:tc>
              <w:tc>
                <w:tcPr>
                  <w:tcW w:w="3110" w:type="dxa"/>
                  <w:vAlign w:val="center"/>
                </w:tcPr>
                <w:p w14:paraId="3CC19BCD">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根据前述分析，项目与</w:t>
                  </w:r>
                  <w:r>
                    <w:rPr>
                      <w:color w:val="000000" w:themeColor="text1"/>
                      <w:kern w:val="0"/>
                      <w:lang w:bidi="ar"/>
                      <w14:textFill>
                        <w14:solidFill>
                          <w14:schemeClr w14:val="tx1"/>
                        </w14:solidFill>
                      </w14:textFill>
                    </w:rPr>
                    <w:t>《昆明市生态环境分区管控动态更新方案（2023年）》</w:t>
                  </w:r>
                  <w:r>
                    <w:rPr>
                      <w:rFonts w:hint="eastAsia"/>
                      <w:color w:val="000000" w:themeColor="text1"/>
                      <w:kern w:val="0"/>
                      <w:lang w:bidi="ar"/>
                      <w14:textFill>
                        <w14:solidFill>
                          <w14:schemeClr w14:val="tx1"/>
                        </w14:solidFill>
                      </w14:textFill>
                    </w:rPr>
                    <w:t>是协调的。</w:t>
                  </w:r>
                </w:p>
              </w:tc>
              <w:tc>
                <w:tcPr>
                  <w:tcW w:w="967" w:type="dxa"/>
                  <w:vAlign w:val="center"/>
                </w:tcPr>
                <w:p w14:paraId="6A82DDB6">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7730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600" w:type="dxa"/>
                  <w:vAlign w:val="center"/>
                </w:tcPr>
                <w:p w14:paraId="146BA9F0">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持续开展畜牧业、农副食品加工业、食品制造业、纺织工业、造纸业等其他氮磷排放重点行业企业超标整治工作。</w:t>
                  </w:r>
                </w:p>
              </w:tc>
              <w:tc>
                <w:tcPr>
                  <w:tcW w:w="3110" w:type="dxa"/>
                  <w:vAlign w:val="center"/>
                </w:tcPr>
                <w:p w14:paraId="0163186F">
                  <w:pPr>
                    <w:snapToGrid w:val="0"/>
                    <w:rPr>
                      <w:color w:val="EE0000"/>
                      <w:szCs w:val="21"/>
                    </w:rPr>
                  </w:pPr>
                  <w:r>
                    <w:rPr>
                      <w:rFonts w:hint="eastAsia"/>
                      <w:bCs/>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生产废水依托厂区现有生产废水处理站处理达标后用于厂区绿化、洒水降尘。</w:t>
                  </w:r>
                  <w:r>
                    <w:rPr>
                      <w:rFonts w:hint="eastAsia"/>
                      <w:szCs w:val="21"/>
                    </w:rPr>
                    <w:t>生活污水经隔油池、化粪池预处理后接入市政污水管网，最终进入羊街镇污水处理站处理。</w:t>
                  </w:r>
                </w:p>
              </w:tc>
              <w:tc>
                <w:tcPr>
                  <w:tcW w:w="967" w:type="dxa"/>
                  <w:vAlign w:val="center"/>
                </w:tcPr>
                <w:p w14:paraId="51AD0F4C">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bl>
          <w:p w14:paraId="21FBAAB8">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综上所述，项目与《昆明市“十四五”生态环境保护规划》是相协调的。</w:t>
            </w:r>
          </w:p>
          <w:p w14:paraId="52E01F00">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13、《屠宰与肉类加工废水治理工程技术规范》（HJ 2004-2010）符合性分析</w:t>
            </w:r>
          </w:p>
          <w:p w14:paraId="08E8702D">
            <w:pPr>
              <w:widowControl/>
              <w:numPr>
                <w:ilvl w:val="255"/>
                <w:numId w:val="0"/>
              </w:num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项目与《屠宰与肉类加工废水治理工程技术规范》（HJ 2004-2010）符合性分析见下表。</w:t>
            </w:r>
          </w:p>
          <w:p w14:paraId="60508403">
            <w:pPr>
              <w:widowControl/>
              <w:numPr>
                <w:ilvl w:val="255"/>
                <w:numId w:val="0"/>
              </w:numPr>
              <w:snapToGrid w:val="0"/>
              <w:rPr>
                <w:color w:val="000000" w:themeColor="text1"/>
                <w:sz w:val="24"/>
                <w14:textFill>
                  <w14:solidFill>
                    <w14:schemeClr w14:val="tx1"/>
                  </w14:solidFill>
                </w14:textFill>
              </w:rPr>
            </w:pPr>
          </w:p>
          <w:p w14:paraId="6471371E">
            <w:pPr>
              <w:widowControl/>
              <w:numPr>
                <w:ilvl w:val="255"/>
                <w:numId w:val="0"/>
              </w:numPr>
              <w:snapToGrid w:val="0"/>
              <w:rPr>
                <w:color w:val="000000" w:themeColor="text1"/>
                <w:sz w:val="24"/>
                <w14:textFill>
                  <w14:solidFill>
                    <w14:schemeClr w14:val="tx1"/>
                  </w14:solidFill>
                </w14:textFill>
              </w:rPr>
            </w:pPr>
          </w:p>
          <w:p w14:paraId="02DC5F1B">
            <w:pPr>
              <w:widowControl/>
              <w:numPr>
                <w:ilvl w:val="255"/>
                <w:numId w:val="0"/>
              </w:numPr>
              <w:snapToGrid w:val="0"/>
              <w:rPr>
                <w:color w:val="000000" w:themeColor="text1"/>
                <w:sz w:val="24"/>
                <w14:textFill>
                  <w14:solidFill>
                    <w14:schemeClr w14:val="tx1"/>
                  </w14:solidFill>
                </w14:textFill>
              </w:rPr>
            </w:pPr>
          </w:p>
          <w:p w14:paraId="60FD304D">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表1-13 项目与《屠宰与肉类加工废水治理工程技术规范》（HJ 2004-2010）</w:t>
            </w:r>
          </w:p>
          <w:p w14:paraId="7B1221EE">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符合性分析</w:t>
            </w:r>
          </w:p>
          <w:tbl>
            <w:tblPr>
              <w:tblStyle w:val="23"/>
              <w:tblW w:w="7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8"/>
              <w:gridCol w:w="3402"/>
              <w:gridCol w:w="967"/>
            </w:tblGrid>
            <w:tr w14:paraId="315E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308" w:type="dxa"/>
                  <w:vAlign w:val="center"/>
                </w:tcPr>
                <w:p w14:paraId="01ACACFD">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内容要求</w:t>
                  </w:r>
                </w:p>
              </w:tc>
              <w:tc>
                <w:tcPr>
                  <w:tcW w:w="3402" w:type="dxa"/>
                  <w:vAlign w:val="center"/>
                </w:tcPr>
                <w:p w14:paraId="58750D65">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项目情况</w:t>
                  </w:r>
                </w:p>
              </w:tc>
              <w:tc>
                <w:tcPr>
                  <w:tcW w:w="967" w:type="dxa"/>
                  <w:vAlign w:val="center"/>
                </w:tcPr>
                <w:p w14:paraId="1D8FD155">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符合性</w:t>
                  </w:r>
                </w:p>
              </w:tc>
            </w:tr>
            <w:tr w14:paraId="0E3C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308" w:type="dxa"/>
                  <w:vAlign w:val="center"/>
                </w:tcPr>
                <w:p w14:paraId="10A56A64">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根据屠宰场和肉类加工厂类型、建设规模、当地自然地理环境条件、排水去向及排放标准等因素，确定废水处理工艺路线及处理目标，力求经济合理、技术先进可靠、运行稳定。</w:t>
                  </w:r>
                </w:p>
              </w:tc>
              <w:tc>
                <w:tcPr>
                  <w:tcW w:w="3402" w:type="dxa"/>
                  <w:vAlign w:val="center"/>
                </w:tcPr>
                <w:p w14:paraId="34EF3EEB">
                  <w:pPr>
                    <w:snapToGrid w:val="0"/>
                    <w:rPr>
                      <w:bCs/>
                      <w:color w:val="FF0000"/>
                      <w:szCs w:val="21"/>
                    </w:rPr>
                  </w:pPr>
                  <w:r>
                    <w:rPr>
                      <w:rFonts w:hint="eastAsia"/>
                      <w:bCs/>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生产废水依托厂区现有生产废水处理站处理达标后用于厂区绿化、洒水降尘。生产废水处理站</w:t>
                  </w:r>
                  <w:r>
                    <w:rPr>
                      <w:rFonts w:hint="eastAsia"/>
                      <w:bCs/>
                      <w:szCs w:val="21"/>
                    </w:rPr>
                    <w:t>工艺为“机械格栅+微滤机+气浮+强化厌氧+接触氧化+过滤吸附+消毒”，</w:t>
                  </w:r>
                  <w:r>
                    <w:rPr>
                      <w:rFonts w:hint="eastAsia"/>
                      <w:color w:val="000000" w:themeColor="text1"/>
                      <w14:textFill>
                        <w14:solidFill>
                          <w14:schemeClr w14:val="tx1"/>
                        </w14:solidFill>
                      </w14:textFill>
                    </w:rPr>
                    <w:t>属于《排污许可证申请和核发技术规范 农副食品加工工业-屠宰及肉类加工工业》（HI860.3-2018）中</w:t>
                  </w:r>
                  <w:r>
                    <w:rPr>
                      <w:rFonts w:hint="eastAsia"/>
                      <w:bCs/>
                      <w:szCs w:val="21"/>
                    </w:rPr>
                    <w:t>经济合理、技术可靠、运行稳定的处理工艺。</w:t>
                  </w:r>
                </w:p>
              </w:tc>
              <w:tc>
                <w:tcPr>
                  <w:tcW w:w="967" w:type="dxa"/>
                  <w:vAlign w:val="center"/>
                </w:tcPr>
                <w:p w14:paraId="594D86E0">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5ADB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308" w:type="dxa"/>
                  <w:vAlign w:val="center"/>
                </w:tcPr>
                <w:p w14:paraId="33B6F81C">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屠宰与肉类加工废水处理工艺应包含消毒及除臭单元。</w:t>
                  </w:r>
                </w:p>
              </w:tc>
              <w:tc>
                <w:tcPr>
                  <w:tcW w:w="3402" w:type="dxa"/>
                  <w:vAlign w:val="center"/>
                </w:tcPr>
                <w:p w14:paraId="0D591375">
                  <w:pPr>
                    <w:snapToGrid w:val="0"/>
                    <w:rPr>
                      <w:bCs/>
                      <w:color w:val="FF0000"/>
                      <w:szCs w:val="21"/>
                    </w:rPr>
                  </w:pPr>
                  <w:r>
                    <w:rPr>
                      <w:rFonts w:hint="eastAsia"/>
                      <w:bCs/>
                      <w:szCs w:val="21"/>
                    </w:rPr>
                    <w:t>项目生产废水采取“机械格栅+微滤机+气浮+强化厌氧+接触氧化+过滤吸附+消毒”处理工艺。消毒剂为次氯酸钠，臭氧催化氧化塔对生产废水进行密闭处理，降解废水中氨氮等臭气污染物。</w:t>
                  </w:r>
                </w:p>
              </w:tc>
              <w:tc>
                <w:tcPr>
                  <w:tcW w:w="967" w:type="dxa"/>
                  <w:vAlign w:val="center"/>
                </w:tcPr>
                <w:p w14:paraId="2D4C1558">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3F6F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308" w:type="dxa"/>
                  <w:vAlign w:val="center"/>
                </w:tcPr>
                <w:p w14:paraId="36A50AD9">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废水治理工程应独立布置在厂区主导风向的下风向，各处理单元平面布置尽量紧凑，力求土建施工方便，设备按照各类管线连接简捷且便于维护管理。</w:t>
                  </w:r>
                </w:p>
              </w:tc>
              <w:tc>
                <w:tcPr>
                  <w:tcW w:w="3402" w:type="dxa"/>
                  <w:vAlign w:val="center"/>
                </w:tcPr>
                <w:p w14:paraId="749DFD99">
                  <w:pPr>
                    <w:snapToGrid w:val="0"/>
                    <w:rPr>
                      <w:bCs/>
                      <w:color w:val="FF0000"/>
                      <w:szCs w:val="21"/>
                    </w:rPr>
                  </w:pPr>
                  <w:r>
                    <w:rPr>
                      <w:rFonts w:hint="eastAsia"/>
                      <w:bCs/>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生产废水依托厂区现有生产废水处理站处理，废水处理站布设在项目区常年主导西南风向的下风向，各项处理设施布设紧凑。</w:t>
                  </w:r>
                </w:p>
              </w:tc>
              <w:tc>
                <w:tcPr>
                  <w:tcW w:w="967" w:type="dxa"/>
                  <w:vAlign w:val="center"/>
                </w:tcPr>
                <w:p w14:paraId="6C16BD75">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2268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308" w:type="dxa"/>
                  <w:vAlign w:val="center"/>
                </w:tcPr>
                <w:p w14:paraId="589FB7F1">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有恶臭源的废水处理单元（调节池、进水泵站、厌氧、污泥储存、污泥脱水等）宜设计为密闭式，并配备恶臭集中处理设施，将各工艺过程中产生的臭气集中收集处理，减少恶臭对周围环境的污染。</w:t>
                  </w:r>
                </w:p>
              </w:tc>
              <w:tc>
                <w:tcPr>
                  <w:tcW w:w="3402" w:type="dxa"/>
                  <w:vAlign w:val="center"/>
                </w:tcPr>
                <w:p w14:paraId="026085F3">
                  <w:pPr>
                    <w:snapToGrid w:val="0"/>
                    <w:rPr>
                      <w:bCs/>
                      <w:szCs w:val="21"/>
                    </w:rPr>
                  </w:pPr>
                  <w:r>
                    <w:rPr>
                      <w:rFonts w:hint="eastAsia"/>
                      <w:bCs/>
                      <w:szCs w:val="21"/>
                    </w:rPr>
                    <w:t>项目生产废水处理站处理单元采取了加罩、加盖措施，废水在臭氧催化氧化塔内密闭处理，并喷洒生物除臭剂，减缓恶臭对周围环境的影响。2025年对项目厂界的监测表明，NH</w:t>
                  </w:r>
                  <w:r>
                    <w:rPr>
                      <w:rFonts w:hint="eastAsia"/>
                      <w:bCs/>
                      <w:szCs w:val="21"/>
                      <w:vertAlign w:val="subscript"/>
                    </w:rPr>
                    <w:t>3</w:t>
                  </w:r>
                  <w:r>
                    <w:rPr>
                      <w:rFonts w:hint="eastAsia"/>
                      <w:bCs/>
                      <w:szCs w:val="21"/>
                    </w:rPr>
                    <w:t>、H</w:t>
                  </w:r>
                  <w:r>
                    <w:rPr>
                      <w:rFonts w:hint="eastAsia"/>
                      <w:bCs/>
                      <w:szCs w:val="21"/>
                      <w:vertAlign w:val="subscript"/>
                    </w:rPr>
                    <w:t>2</w:t>
                  </w:r>
                  <w:r>
                    <w:rPr>
                      <w:rFonts w:hint="eastAsia"/>
                      <w:bCs/>
                      <w:szCs w:val="21"/>
                    </w:rPr>
                    <w:t>S、臭气浓度满足《恶臭污染物排放标准》（GB14554-93）。</w:t>
                  </w:r>
                </w:p>
              </w:tc>
              <w:tc>
                <w:tcPr>
                  <w:tcW w:w="967" w:type="dxa"/>
                  <w:vAlign w:val="center"/>
                </w:tcPr>
                <w:p w14:paraId="4BFF763F">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bl>
          <w:p w14:paraId="10A7737B">
            <w:pPr>
              <w:widowControl/>
              <w:numPr>
                <w:ilvl w:val="255"/>
                <w:numId w:val="0"/>
              </w:numPr>
              <w:snapToGrid w:val="0"/>
              <w:spacing w:line="360" w:lineRule="auto"/>
              <w:ind w:firstLine="480" w:firstLineChars="200"/>
              <w:rPr>
                <w:color w:val="000000" w:themeColor="text1"/>
                <w:sz w:val="24"/>
                <w:lang w:bidi="ar"/>
                <w14:textFill>
                  <w14:solidFill>
                    <w14:schemeClr w14:val="tx1"/>
                  </w14:solidFill>
                </w14:textFill>
              </w:rPr>
            </w:pPr>
            <w:r>
              <w:rPr>
                <w:rFonts w:hint="eastAsia"/>
                <w:color w:val="000000" w:themeColor="text1"/>
                <w:sz w:val="24"/>
                <w14:textFill>
                  <w14:solidFill>
                    <w14:schemeClr w14:val="tx1"/>
                  </w14:solidFill>
                </w14:textFill>
              </w:rPr>
              <w:t>综上所述，项目符合《屠宰与肉类加工废水治理工程技术规范》（HJ 2004-2010）要求。</w:t>
            </w:r>
          </w:p>
          <w:p w14:paraId="2D82E627">
            <w:pPr>
              <w:snapToGrid w:val="0"/>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14、《畜禽屠宰加工卫生规范》（GB12694-2016）符合性分析</w:t>
            </w:r>
          </w:p>
          <w:p w14:paraId="64E2D1DF">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项目与《畜禽屠宰加工卫生规范》（GB12694-2016）符合性分析见下表。</w:t>
            </w:r>
          </w:p>
          <w:p w14:paraId="17527E9A">
            <w:pPr>
              <w:numPr>
                <w:ilvl w:val="255"/>
                <w:numId w:val="0"/>
              </w:num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表1-14 项目与《畜禽屠宰加工卫生规范》（GB12694-2016）符合性分析</w:t>
            </w:r>
          </w:p>
          <w:tbl>
            <w:tblPr>
              <w:tblStyle w:val="22"/>
              <w:tblW w:w="7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9"/>
              <w:gridCol w:w="3261"/>
              <w:gridCol w:w="967"/>
            </w:tblGrid>
            <w:tr w14:paraId="7BD8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449" w:type="dxa"/>
                  <w:vAlign w:val="center"/>
                </w:tcPr>
                <w:p w14:paraId="52CF8A93">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内容要求</w:t>
                  </w:r>
                </w:p>
              </w:tc>
              <w:tc>
                <w:tcPr>
                  <w:tcW w:w="3261" w:type="dxa"/>
                  <w:vAlign w:val="center"/>
                </w:tcPr>
                <w:p w14:paraId="7F0415D2">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项目情况</w:t>
                  </w:r>
                </w:p>
              </w:tc>
              <w:tc>
                <w:tcPr>
                  <w:tcW w:w="967" w:type="dxa"/>
                  <w:vAlign w:val="center"/>
                </w:tcPr>
                <w:p w14:paraId="5AC6131F">
                  <w:p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符合性</w:t>
                  </w:r>
                </w:p>
              </w:tc>
            </w:tr>
            <w:tr w14:paraId="12F8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449" w:type="dxa"/>
                  <w:vAlign w:val="center"/>
                </w:tcPr>
                <w:p w14:paraId="39D72DD7">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厂址周围应有良好的环境卫生条件，厂区应远离受污染的水体，并应避开产生有害气体、烟雾、粉尘等污染源的工业企业或其他产生污染源的地区或场所。</w:t>
                  </w:r>
                </w:p>
              </w:tc>
              <w:tc>
                <w:tcPr>
                  <w:tcW w:w="3261" w:type="dxa"/>
                  <w:vAlign w:val="center"/>
                </w:tcPr>
                <w:p w14:paraId="0F065DC3">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w:t>
                  </w:r>
                  <w:r>
                    <w:rPr>
                      <w:rFonts w:hint="eastAsia" w:cs="微软雅黑"/>
                      <w:szCs w:val="21"/>
                      <w:shd w:val="clear" w:color="auto" w:fill="FFFFFF"/>
                    </w:rPr>
                    <w:t>位于原听牧肉牛屠宰加工厂内，用地性质为工业用地，无新增用地。厂址</w:t>
                  </w:r>
                  <w:r>
                    <w:rPr>
                      <w:rFonts w:hint="eastAsia"/>
                      <w:bCs/>
                      <w:szCs w:val="21"/>
                    </w:rPr>
                    <w:t>周围无产生有害气体、烟雾、粉尘等污染源的工业企业或其他污染源的地区和场所。</w:t>
                  </w:r>
                </w:p>
              </w:tc>
              <w:tc>
                <w:tcPr>
                  <w:tcW w:w="967" w:type="dxa"/>
                  <w:vAlign w:val="center"/>
                </w:tcPr>
                <w:p w14:paraId="0247AE5A">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623E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449" w:type="dxa"/>
                  <w:vAlign w:val="center"/>
                </w:tcPr>
                <w:p w14:paraId="5DD93EA4">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厂址必须具备符合要求的水源和电源，应结合工艺要求因地制宜确定，并应符合屠宰企业设置规划要求。</w:t>
                  </w:r>
                </w:p>
              </w:tc>
              <w:tc>
                <w:tcPr>
                  <w:tcW w:w="3261" w:type="dxa"/>
                  <w:vAlign w:val="center"/>
                </w:tcPr>
                <w:p w14:paraId="72450253">
                  <w:pPr>
                    <w:snapToGrid w:val="0"/>
                    <w:rPr>
                      <w:bCs/>
                      <w:color w:val="000000" w:themeColor="text1"/>
                      <w:szCs w:val="21"/>
                      <w14:textFill>
                        <w14:solidFill>
                          <w14:schemeClr w14:val="tx1"/>
                        </w14:solidFill>
                      </w14:textFill>
                    </w:rPr>
                  </w:pPr>
                  <w:r>
                    <w:rPr>
                      <w:rFonts w:hint="eastAsia"/>
                      <w:bCs/>
                      <w:szCs w:val="21"/>
                    </w:rPr>
                    <w:t>项目</w:t>
                  </w:r>
                  <w:r>
                    <w:rPr>
                      <w:rFonts w:hint="eastAsia"/>
                    </w:rPr>
                    <w:t>用水由市政自来水管网供给，用电由电网供应</w:t>
                  </w:r>
                  <w:r>
                    <w:rPr>
                      <w:rFonts w:hint="eastAsia"/>
                      <w:bCs/>
                      <w:szCs w:val="21"/>
                    </w:rPr>
                    <w:t>。</w:t>
                  </w:r>
                </w:p>
              </w:tc>
              <w:tc>
                <w:tcPr>
                  <w:tcW w:w="967" w:type="dxa"/>
                  <w:vAlign w:val="center"/>
                </w:tcPr>
                <w:p w14:paraId="5C7727CE">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14:paraId="48AE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449" w:type="dxa"/>
                  <w:vAlign w:val="center"/>
                </w:tcPr>
                <w:p w14:paraId="2537CCEA">
                  <w:pPr>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厂区道路应硬化，路面平整易冲洗，不积水。厂区废弃物存放和处理排放符合国家环保要求。</w:t>
                  </w:r>
                </w:p>
              </w:tc>
              <w:tc>
                <w:tcPr>
                  <w:tcW w:w="3261" w:type="dxa"/>
                  <w:vAlign w:val="center"/>
                </w:tcPr>
                <w:p w14:paraId="68BCEA5F">
                  <w:pPr>
                    <w:snapToGrid w:val="0"/>
                    <w:rPr>
                      <w:bCs/>
                      <w:szCs w:val="21"/>
                    </w:rPr>
                  </w:pPr>
                  <w:r>
                    <w:rPr>
                      <w:rFonts w:hint="eastAsia"/>
                      <w:bCs/>
                      <w:szCs w:val="21"/>
                    </w:rPr>
                    <w:t>项目厂区道路进行了硬化。</w:t>
                  </w:r>
                  <w:r>
                    <w:rPr>
                      <w:rFonts w:hint="eastAsia"/>
                      <w:kern w:val="0"/>
                      <w:szCs w:val="21"/>
                      <w:lang w:bidi="ar"/>
                    </w:rPr>
                    <w:t>生活垃圾收集后由环卫部门清运处置，牲畜粪便及屠宰粪便收集于粪便临时堆场清运用作农肥，病死牲畜及屠宰加工废弃组织暂存于冷库，委托石林鑫欣桥环保科技有限公司无害化处置。</w:t>
                  </w:r>
                  <w:r>
                    <w:rPr>
                      <w:rFonts w:hint="eastAsia"/>
                      <w:color w:val="000000" w:themeColor="text1"/>
                      <w:szCs w:val="21"/>
                      <w:lang w:val="zh-CN"/>
                      <w14:textFill>
                        <w14:solidFill>
                          <w14:schemeClr w14:val="tx1"/>
                        </w14:solidFill>
                      </w14:textFill>
                    </w:rPr>
                    <w:t>危险废物收集于危废贮存间，委托云南达济再生资源回收利用有限公司处置。</w:t>
                  </w:r>
                </w:p>
              </w:tc>
              <w:tc>
                <w:tcPr>
                  <w:tcW w:w="967" w:type="dxa"/>
                  <w:vAlign w:val="center"/>
                </w:tcPr>
                <w:p w14:paraId="327835A6">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bl>
          <w:p w14:paraId="702FCCA4">
            <w:pPr>
              <w:widowControl/>
              <w:numPr>
                <w:ilvl w:val="255"/>
                <w:numId w:val="0"/>
              </w:num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综上所述，项目符合《畜禽屠宰加工卫生规范》（GB12694-2016）要求。</w:t>
            </w:r>
          </w:p>
          <w:p w14:paraId="4F7EB613">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15、选址合理性分析</w:t>
            </w:r>
          </w:p>
          <w:p w14:paraId="22C319C2">
            <w:pPr>
              <w:widowControl/>
              <w:spacing w:line="360" w:lineRule="auto"/>
              <w:ind w:firstLine="482" w:firstLineChars="200"/>
              <w:jc w:val="left"/>
              <w:rPr>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（1）选址合理性分析</w:t>
            </w:r>
          </w:p>
          <w:p w14:paraId="4BDCB1F3">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项目在原听牧</w:t>
            </w:r>
            <w:r>
              <w:rPr>
                <w:sz w:val="24"/>
                <w:shd w:val="clear" w:color="auto" w:fill="FFFFFF"/>
              </w:rPr>
              <w:t>肉</w:t>
            </w:r>
            <w:r>
              <w:rPr>
                <w:color w:val="000000" w:themeColor="text1"/>
                <w:kern w:val="0"/>
                <w:sz w:val="24"/>
                <w:lang w:bidi="ar"/>
                <w14:textFill>
                  <w14:solidFill>
                    <w14:schemeClr w14:val="tx1"/>
                  </w14:solidFill>
                </w14:textFill>
              </w:rPr>
              <w:t>牛屠宰</w:t>
            </w:r>
            <w:r>
              <w:rPr>
                <w:rFonts w:hint="eastAsia"/>
                <w:color w:val="000000" w:themeColor="text1"/>
                <w:kern w:val="0"/>
                <w:sz w:val="24"/>
                <w:lang w:bidi="ar"/>
                <w14:textFill>
                  <w14:solidFill>
                    <w14:schemeClr w14:val="tx1"/>
                  </w14:solidFill>
                </w14:textFill>
              </w:rPr>
              <w:t>加工</w:t>
            </w:r>
            <w:r>
              <w:rPr>
                <w:color w:val="000000" w:themeColor="text1"/>
                <w:kern w:val="0"/>
                <w:sz w:val="24"/>
                <w:lang w:bidi="ar"/>
                <w14:textFill>
                  <w14:solidFill>
                    <w14:schemeClr w14:val="tx1"/>
                  </w14:solidFill>
                </w14:textFill>
              </w:rPr>
              <w:t>厂内</w:t>
            </w:r>
            <w:r>
              <w:rPr>
                <w:rFonts w:hint="eastAsia"/>
                <w:color w:val="000000" w:themeColor="text1"/>
                <w:kern w:val="0"/>
                <w:sz w:val="24"/>
                <w:lang w:bidi="ar"/>
                <w14:textFill>
                  <w14:solidFill>
                    <w14:schemeClr w14:val="tx1"/>
                  </w14:solidFill>
                </w14:textFill>
              </w:rPr>
              <w:t>，新增一条肉羊屠宰加工生产线</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用地性质为工业用地，</w:t>
            </w:r>
            <w:r>
              <w:rPr>
                <w:color w:val="000000" w:themeColor="text1"/>
                <w:kern w:val="0"/>
                <w:sz w:val="24"/>
                <w:lang w:bidi="ar"/>
                <w14:textFill>
                  <w14:solidFill>
                    <w14:schemeClr w14:val="tx1"/>
                  </w14:solidFill>
                </w14:textFill>
              </w:rPr>
              <w:t>无新增占地，选址不涉及生态保护红线、永久基本农田、耕地、自然保护地、饮用水水源保护区、重要湿地、基本草原、生态公益林、天然林等生态及环境敏感区，</w:t>
            </w:r>
            <w:r>
              <w:rPr>
                <w:rFonts w:hint="eastAsia"/>
                <w:color w:val="000000" w:themeColor="text1"/>
                <w:kern w:val="0"/>
                <w:sz w:val="24"/>
                <w:lang w:bidi="ar"/>
                <w14:textFill>
                  <w14:solidFill>
                    <w14:schemeClr w14:val="tx1"/>
                  </w14:solidFill>
                </w14:textFill>
              </w:rPr>
              <w:t>无明显环境制约因素，</w:t>
            </w:r>
            <w:r>
              <w:rPr>
                <w:color w:val="000000" w:themeColor="text1"/>
                <w:kern w:val="0"/>
                <w:sz w:val="24"/>
                <w:lang w:bidi="ar"/>
                <w14:textFill>
                  <w14:solidFill>
                    <w14:schemeClr w14:val="tx1"/>
                  </w14:solidFill>
                </w14:textFill>
              </w:rPr>
              <w:t>建设满足《屠宰与肉类加工废水治理工程技术规范》（HJ 2004-2010）、《畜禽屠宰加工卫生规范》（GB12694-2016）</w:t>
            </w:r>
            <w:r>
              <w:rPr>
                <w:rFonts w:hint="eastAsia"/>
                <w:color w:val="000000" w:themeColor="text1"/>
                <w:kern w:val="0"/>
                <w:sz w:val="24"/>
                <w:lang w:bidi="ar"/>
                <w14:textFill>
                  <w14:solidFill>
                    <w14:schemeClr w14:val="tx1"/>
                  </w14:solidFill>
                </w14:textFill>
              </w:rPr>
              <w:t>等</w:t>
            </w:r>
            <w:r>
              <w:rPr>
                <w:color w:val="000000" w:themeColor="text1"/>
                <w:kern w:val="0"/>
                <w:sz w:val="24"/>
                <w:lang w:bidi="ar"/>
                <w14:textFill>
                  <w14:solidFill>
                    <w14:schemeClr w14:val="tx1"/>
                  </w14:solidFill>
                </w14:textFill>
              </w:rPr>
              <w:t>要求。</w:t>
            </w:r>
          </w:p>
          <w:p w14:paraId="66974D27">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项目所在地交通条件便利，</w:t>
            </w:r>
            <w:r>
              <w:rPr>
                <w:rFonts w:hint="eastAsia"/>
                <w:color w:val="000000" w:themeColor="text1"/>
                <w:kern w:val="0"/>
                <w:sz w:val="24"/>
                <w:lang w:bidi="ar"/>
                <w14:textFill>
                  <w14:solidFill>
                    <w14:schemeClr w14:val="tx1"/>
                  </w14:solidFill>
                </w14:textFill>
              </w:rPr>
              <w:t>供</w:t>
            </w:r>
            <w:r>
              <w:rPr>
                <w:color w:val="000000" w:themeColor="text1"/>
                <w:kern w:val="0"/>
                <w:sz w:val="24"/>
                <w:lang w:bidi="ar"/>
                <w14:textFill>
                  <w14:solidFill>
                    <w14:schemeClr w14:val="tx1"/>
                  </w14:solidFill>
                </w14:textFill>
              </w:rPr>
              <w:t>水、</w:t>
            </w:r>
            <w:r>
              <w:rPr>
                <w:rFonts w:hint="eastAsia"/>
                <w:color w:val="000000" w:themeColor="text1"/>
                <w:kern w:val="0"/>
                <w:sz w:val="24"/>
                <w:lang w:bidi="ar"/>
                <w14:textFill>
                  <w14:solidFill>
                    <w14:schemeClr w14:val="tx1"/>
                  </w14:solidFill>
                </w14:textFill>
              </w:rPr>
              <w:t>供</w:t>
            </w:r>
            <w:r>
              <w:rPr>
                <w:color w:val="000000" w:themeColor="text1"/>
                <w:kern w:val="0"/>
                <w:sz w:val="24"/>
                <w:lang w:bidi="ar"/>
                <w14:textFill>
                  <w14:solidFill>
                    <w14:schemeClr w14:val="tx1"/>
                  </w14:solidFill>
                </w14:textFill>
              </w:rPr>
              <w:t>电、通信等基础设施配备完善</w:t>
            </w:r>
            <w:r>
              <w:rPr>
                <w:rFonts w:hint="eastAsia"/>
                <w:color w:val="000000" w:themeColor="text1"/>
                <w:kern w:val="0"/>
                <w:sz w:val="24"/>
                <w:lang w:bidi="ar"/>
                <w14:textFill>
                  <w14:solidFill>
                    <w14:schemeClr w14:val="tx1"/>
                  </w14:solidFill>
                </w14:textFill>
              </w:rPr>
              <w:t>，设备、物资采购供应有保障，</w:t>
            </w:r>
            <w:r>
              <w:rPr>
                <w:color w:val="000000" w:themeColor="text1"/>
                <w:kern w:val="0"/>
                <w:sz w:val="24"/>
                <w:lang w:bidi="ar"/>
                <w14:textFill>
                  <w14:solidFill>
                    <w14:schemeClr w14:val="tx1"/>
                  </w14:solidFill>
                </w14:textFill>
              </w:rPr>
              <w:t>满足</w:t>
            </w:r>
            <w:r>
              <w:rPr>
                <w:rFonts w:hint="eastAsia"/>
                <w:color w:val="000000" w:themeColor="text1"/>
                <w:kern w:val="0"/>
                <w:sz w:val="24"/>
                <w:lang w:bidi="ar"/>
                <w14:textFill>
                  <w14:solidFill>
                    <w14:schemeClr w14:val="tx1"/>
                  </w14:solidFill>
                </w14:textFill>
              </w:rPr>
              <w:t>项目</w:t>
            </w:r>
            <w:r>
              <w:rPr>
                <w:color w:val="000000" w:themeColor="text1"/>
                <w:kern w:val="0"/>
                <w:sz w:val="24"/>
                <w:lang w:bidi="ar"/>
                <w14:textFill>
                  <w14:solidFill>
                    <w14:schemeClr w14:val="tx1"/>
                  </w14:solidFill>
                </w14:textFill>
              </w:rPr>
              <w:t>生产</w:t>
            </w:r>
            <w:r>
              <w:rPr>
                <w:rFonts w:hint="eastAsia"/>
                <w:color w:val="000000" w:themeColor="text1"/>
                <w:kern w:val="0"/>
                <w:sz w:val="24"/>
                <w:lang w:bidi="ar"/>
                <w14:textFill>
                  <w14:solidFill>
                    <w14:schemeClr w14:val="tx1"/>
                  </w14:solidFill>
                </w14:textFill>
              </w:rPr>
              <w:t>条件</w:t>
            </w:r>
            <w:r>
              <w:rPr>
                <w:color w:val="000000" w:themeColor="text1"/>
                <w:kern w:val="0"/>
                <w:sz w:val="24"/>
                <w:lang w:bidi="ar"/>
                <w14:textFill>
                  <w14:solidFill>
                    <w14:schemeClr w14:val="tx1"/>
                  </w14:solidFill>
                </w14:textFill>
              </w:rPr>
              <w:t>要求。</w:t>
            </w:r>
          </w:p>
          <w:p w14:paraId="5577B040">
            <w:pPr>
              <w:widowControl/>
              <w:spacing w:line="360" w:lineRule="auto"/>
              <w:ind w:firstLine="480" w:firstLineChars="200"/>
              <w:rPr>
                <w:b/>
                <w:bCs/>
                <w:color w:val="000000" w:themeColor="text1"/>
                <w:kern w:val="0"/>
                <w:sz w:val="28"/>
                <w:szCs w:val="28"/>
                <w:lang w:bidi="ar"/>
                <w14:textFill>
                  <w14:solidFill>
                    <w14:schemeClr w14:val="tx1"/>
                  </w14:solidFill>
                </w14:textFill>
              </w:rPr>
            </w:pPr>
            <w:r>
              <w:rPr>
                <w:color w:val="000000" w:themeColor="text1"/>
                <w:kern w:val="0"/>
                <w:sz w:val="24"/>
                <w:lang w:bidi="ar"/>
                <w14:textFill>
                  <w14:solidFill>
                    <w14:schemeClr w14:val="tx1"/>
                  </w14:solidFill>
                </w14:textFill>
              </w:rPr>
              <w:t>综上分析，项目选址环境可行。</w:t>
            </w:r>
          </w:p>
          <w:p w14:paraId="6BB17458">
            <w:pPr>
              <w:widowControl/>
              <w:spacing w:line="360" w:lineRule="auto"/>
              <w:ind w:firstLine="482" w:firstLineChars="200"/>
              <w:jc w:val="left"/>
              <w:rPr>
                <w:color w:val="000000" w:themeColor="text1"/>
                <w14:textFill>
                  <w14:solidFill>
                    <w14:schemeClr w14:val="tx1"/>
                  </w14:solidFill>
                </w14:textFill>
              </w:rPr>
            </w:pPr>
            <w:r>
              <w:rPr>
                <w:b/>
                <w:bCs/>
                <w:color w:val="000000" w:themeColor="text1"/>
                <w:kern w:val="0"/>
                <w:sz w:val="24"/>
                <w:lang w:bidi="ar"/>
                <w14:textFill>
                  <w14:solidFill>
                    <w14:schemeClr w14:val="tx1"/>
                  </w14:solidFill>
                </w14:textFill>
              </w:rPr>
              <w:t>（2）平面布置合理性分析</w:t>
            </w:r>
          </w:p>
          <w:p w14:paraId="70A110E8">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w:t>
            </w:r>
            <w:r>
              <w:rPr>
                <w:rFonts w:hint="eastAsia"/>
                <w:color w:val="000000" w:themeColor="text1"/>
                <w:kern w:val="0"/>
                <w:sz w:val="24"/>
                <w:lang w:bidi="ar"/>
                <w14:textFill>
                  <w14:solidFill>
                    <w14:schemeClr w14:val="tx1"/>
                  </w14:solidFill>
                </w14:textFill>
              </w:rPr>
              <w:t>将</w:t>
            </w:r>
            <w:r>
              <w:rPr>
                <w:color w:val="000000" w:themeColor="text1"/>
                <w:kern w:val="0"/>
                <w:sz w:val="24"/>
                <w:lang w:bidi="ar"/>
                <w14:textFill>
                  <w14:solidFill>
                    <w14:schemeClr w14:val="tx1"/>
                  </w14:solidFill>
                </w14:textFill>
              </w:rPr>
              <w:t>原听牧</w:t>
            </w:r>
            <w:r>
              <w:rPr>
                <w:sz w:val="24"/>
                <w:shd w:val="clear" w:color="auto" w:fill="FFFFFF"/>
              </w:rPr>
              <w:t>肉</w:t>
            </w:r>
            <w:r>
              <w:rPr>
                <w:color w:val="000000" w:themeColor="text1"/>
                <w:kern w:val="0"/>
                <w:sz w:val="24"/>
                <w:lang w:bidi="ar"/>
                <w14:textFill>
                  <w14:solidFill>
                    <w14:schemeClr w14:val="tx1"/>
                  </w14:solidFill>
                </w14:textFill>
              </w:rPr>
              <w:t>牛屠宰</w:t>
            </w:r>
            <w:r>
              <w:rPr>
                <w:rFonts w:hint="eastAsia"/>
                <w:color w:val="000000" w:themeColor="text1"/>
                <w:kern w:val="0"/>
                <w:sz w:val="24"/>
                <w:lang w:bidi="ar"/>
                <w14:textFill>
                  <w14:solidFill>
                    <w14:schemeClr w14:val="tx1"/>
                  </w14:solidFill>
                </w14:textFill>
              </w:rPr>
              <w:t>加工</w:t>
            </w:r>
            <w:r>
              <w:rPr>
                <w:color w:val="000000" w:themeColor="text1"/>
                <w:kern w:val="0"/>
                <w:sz w:val="24"/>
                <w:lang w:bidi="ar"/>
                <w14:textFill>
                  <w14:solidFill>
                    <w14:schemeClr w14:val="tx1"/>
                  </w14:solidFill>
                </w14:textFill>
              </w:rPr>
              <w:t>厂</w:t>
            </w:r>
            <w:r>
              <w:rPr>
                <w:rFonts w:hint="eastAsia"/>
                <w:color w:val="000000" w:themeColor="text1"/>
                <w:kern w:val="0"/>
                <w:sz w:val="24"/>
                <w:lang w:bidi="ar"/>
                <w14:textFill>
                  <w14:solidFill>
                    <w14:schemeClr w14:val="tx1"/>
                  </w14:solidFill>
                </w14:textFill>
              </w:rPr>
              <w:t>内</w:t>
            </w:r>
            <w:r>
              <w:rPr>
                <w:color w:val="000000" w:themeColor="text1"/>
                <w:kern w:val="0"/>
                <w:sz w:val="24"/>
                <w:lang w:bidi="ar"/>
                <w14:textFill>
                  <w14:solidFill>
                    <w14:schemeClr w14:val="tx1"/>
                  </w14:solidFill>
                </w14:textFill>
              </w:rPr>
              <w:t>原料青储池改建为肉羊待宰圈，肉牛急宰间改建为肉羊屠宰</w:t>
            </w:r>
            <w:r>
              <w:rPr>
                <w:rFonts w:hint="eastAsia"/>
                <w:color w:val="000000" w:themeColor="text1"/>
                <w:kern w:val="0"/>
                <w:sz w:val="24"/>
                <w:lang w:bidi="ar"/>
                <w14:textFill>
                  <w14:solidFill>
                    <w14:schemeClr w14:val="tx1"/>
                  </w14:solidFill>
                </w14:textFill>
              </w:rPr>
              <w:t>加工</w:t>
            </w:r>
            <w:r>
              <w:rPr>
                <w:color w:val="000000" w:themeColor="text1"/>
                <w:kern w:val="0"/>
                <w:sz w:val="24"/>
                <w:lang w:bidi="ar"/>
                <w14:textFill>
                  <w14:solidFill>
                    <w14:schemeClr w14:val="tx1"/>
                  </w14:solidFill>
                </w14:textFill>
              </w:rPr>
              <w:t>间。项目</w:t>
            </w:r>
            <w:r>
              <w:rPr>
                <w:rFonts w:hint="eastAsia"/>
                <w:color w:val="000000" w:themeColor="text1"/>
                <w:kern w:val="0"/>
                <w:sz w:val="24"/>
                <w:lang w:bidi="ar"/>
                <w14:textFill>
                  <w14:solidFill>
                    <w14:schemeClr w14:val="tx1"/>
                  </w14:solidFill>
                </w14:textFill>
              </w:rPr>
              <w:t>建成</w:t>
            </w:r>
            <w:r>
              <w:rPr>
                <w:color w:val="000000" w:themeColor="text1"/>
                <w:kern w:val="0"/>
                <w:sz w:val="24"/>
                <w:lang w:bidi="ar"/>
                <w14:textFill>
                  <w14:solidFill>
                    <w14:schemeClr w14:val="tx1"/>
                  </w14:solidFill>
                </w14:textFill>
              </w:rPr>
              <w:t>后，牲畜</w:t>
            </w:r>
            <w:r>
              <w:rPr>
                <w:rFonts w:hint="eastAsia"/>
                <w:color w:val="000000" w:themeColor="text1"/>
                <w:kern w:val="0"/>
                <w:sz w:val="24"/>
                <w:lang w:bidi="ar"/>
                <w14:textFill>
                  <w14:solidFill>
                    <w14:schemeClr w14:val="tx1"/>
                  </w14:solidFill>
                </w14:textFill>
              </w:rPr>
              <w:t>待宰圈</w:t>
            </w:r>
            <w:r>
              <w:rPr>
                <w:color w:val="000000" w:themeColor="text1"/>
                <w:kern w:val="0"/>
                <w:sz w:val="24"/>
                <w:lang w:bidi="ar"/>
                <w14:textFill>
                  <w14:solidFill>
                    <w14:schemeClr w14:val="tx1"/>
                  </w14:solidFill>
                </w14:textFill>
              </w:rPr>
              <w:t>、急宰间、屠宰间</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精加工间</w:t>
            </w:r>
            <w:r>
              <w:rPr>
                <w:rFonts w:hint="eastAsia"/>
                <w:color w:val="000000" w:themeColor="text1"/>
                <w:kern w:val="0"/>
                <w:sz w:val="24"/>
                <w:lang w:bidi="ar"/>
                <w14:textFill>
                  <w14:solidFill>
                    <w14:schemeClr w14:val="tx1"/>
                  </w14:solidFill>
                </w14:textFill>
              </w:rPr>
              <w:t>、冷链系统</w:t>
            </w:r>
            <w:r>
              <w:rPr>
                <w:color w:val="000000" w:themeColor="text1"/>
                <w:kern w:val="0"/>
                <w:sz w:val="24"/>
                <w:lang w:bidi="ar"/>
                <w14:textFill>
                  <w14:solidFill>
                    <w14:schemeClr w14:val="tx1"/>
                  </w14:solidFill>
                </w14:textFill>
              </w:rPr>
              <w:t>等保持不变，</w:t>
            </w:r>
            <w:r>
              <w:rPr>
                <w:rFonts w:hint="eastAsia"/>
                <w:color w:val="000000" w:themeColor="text1"/>
                <w:kern w:val="0"/>
                <w:sz w:val="24"/>
                <w:lang w:bidi="ar"/>
                <w14:textFill>
                  <w14:solidFill>
                    <w14:schemeClr w14:val="tx1"/>
                  </w14:solidFill>
                </w14:textFill>
              </w:rPr>
              <w:t>不会</w:t>
            </w:r>
            <w:r>
              <w:rPr>
                <w:color w:val="000000" w:themeColor="text1"/>
                <w:kern w:val="0"/>
                <w:sz w:val="24"/>
                <w:lang w:bidi="ar"/>
                <w14:textFill>
                  <w14:solidFill>
                    <w14:schemeClr w14:val="tx1"/>
                  </w14:solidFill>
                </w14:textFill>
              </w:rPr>
              <w:t>改变厂</w:t>
            </w:r>
            <w:r>
              <w:rPr>
                <w:rFonts w:hint="eastAsia"/>
                <w:color w:val="000000" w:themeColor="text1"/>
                <w:kern w:val="0"/>
                <w:sz w:val="24"/>
                <w:lang w:bidi="ar"/>
                <w14:textFill>
                  <w14:solidFill>
                    <w14:schemeClr w14:val="tx1"/>
                  </w14:solidFill>
                </w14:textFill>
              </w:rPr>
              <w:t>区</w:t>
            </w:r>
            <w:r>
              <w:rPr>
                <w:color w:val="000000" w:themeColor="text1"/>
                <w:kern w:val="0"/>
                <w:sz w:val="24"/>
                <w:lang w:bidi="ar"/>
                <w14:textFill>
                  <w14:solidFill>
                    <w14:schemeClr w14:val="tx1"/>
                  </w14:solidFill>
                </w14:textFill>
              </w:rPr>
              <w:t>现有功能分区、管网结构</w:t>
            </w:r>
            <w:r>
              <w:rPr>
                <w:rFonts w:hint="eastAsia"/>
                <w:color w:val="000000" w:themeColor="text1"/>
                <w:kern w:val="0"/>
                <w:sz w:val="24"/>
                <w:lang w:bidi="ar"/>
                <w14:textFill>
                  <w14:solidFill>
                    <w14:schemeClr w14:val="tx1"/>
                  </w14:solidFill>
                </w14:textFill>
              </w:rPr>
              <w:t>、能源供应等布局</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屠宰加工、物流运输、辅助设施、办公设施、环保设施相互独立又有机结合，节约用地的同时，满足卫生、消防、环保等条件要求。</w:t>
            </w:r>
          </w:p>
          <w:p w14:paraId="3CC76FC8">
            <w:pPr>
              <w:widowControl/>
              <w:spacing w:line="360" w:lineRule="auto"/>
              <w:ind w:firstLine="480" w:firstLineChars="200"/>
              <w:rPr>
                <w:rFonts w:cs="宋体"/>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综上分析，项目平面布置环境</w:t>
            </w:r>
            <w:r>
              <w:rPr>
                <w:rFonts w:hint="eastAsia"/>
                <w:color w:val="000000" w:themeColor="text1"/>
                <w:kern w:val="0"/>
                <w:sz w:val="24"/>
                <w:lang w:bidi="ar"/>
                <w14:textFill>
                  <w14:solidFill>
                    <w14:schemeClr w14:val="tx1"/>
                  </w14:solidFill>
                </w14:textFill>
              </w:rPr>
              <w:t>合理</w:t>
            </w:r>
            <w:r>
              <w:rPr>
                <w:color w:val="000000" w:themeColor="text1"/>
                <w:kern w:val="0"/>
                <w:sz w:val="24"/>
                <w:lang w:bidi="ar"/>
                <w14:textFill>
                  <w14:solidFill>
                    <w14:schemeClr w14:val="tx1"/>
                  </w14:solidFill>
                </w14:textFill>
              </w:rPr>
              <w:t>。</w:t>
            </w:r>
          </w:p>
          <w:p w14:paraId="322AAE27">
            <w:pPr>
              <w:widowControl/>
              <w:spacing w:line="360" w:lineRule="auto"/>
              <w:jc w:val="left"/>
              <w:rPr>
                <w:b/>
                <w:bCs/>
                <w:color w:val="000000" w:themeColor="text1"/>
                <w:sz w:val="20"/>
                <w:szCs w:val="20"/>
                <w14:textFill>
                  <w14:solidFill>
                    <w14:schemeClr w14:val="tx1"/>
                  </w14:solidFill>
                </w14:textFill>
              </w:rPr>
            </w:pPr>
          </w:p>
        </w:tc>
      </w:tr>
    </w:tbl>
    <w:p w14:paraId="6BFACBE7">
      <w:pPr>
        <w:spacing w:line="360" w:lineRule="auto"/>
        <w:rPr>
          <w:color w:val="000000" w:themeColor="text1"/>
          <w:sz w:val="30"/>
          <w14:textFill>
            <w14:solidFill>
              <w14:schemeClr w14:val="tx1"/>
            </w14:solidFill>
          </w14:textFill>
        </w:rPr>
        <w:sectPr>
          <w:headerReference r:id="rId11" w:type="default"/>
          <w:footerReference r:id="rId12" w:type="default"/>
          <w:pgSz w:w="11906" w:h="16838"/>
          <w:pgMar w:top="1701" w:right="1531" w:bottom="1701" w:left="1531" w:header="1474" w:footer="1247" w:gutter="0"/>
          <w:pgNumType w:start="1"/>
          <w:cols w:space="720" w:num="1"/>
          <w:docGrid w:linePitch="312" w:charSpace="0"/>
        </w:sectPr>
      </w:pPr>
    </w:p>
    <w:p w14:paraId="0F6D3C28">
      <w:pPr>
        <w:pStyle w:val="18"/>
        <w:spacing w:before="0" w:beforeAutospacing="0" w:after="0" w:afterAutospacing="0"/>
        <w:jc w:val="center"/>
        <w:outlineLvl w:val="0"/>
        <w:rPr>
          <w:rFonts w:ascii="Times New Roman" w:hAnsi="Times New Roman"/>
          <w:snapToGrid w:val="0"/>
          <w:color w:val="000000" w:themeColor="text1"/>
          <w:sz w:val="36"/>
          <w:szCs w:val="36"/>
          <w14:textFill>
            <w14:solidFill>
              <w14:schemeClr w14:val="tx1"/>
            </w14:solidFill>
          </w14:textFill>
        </w:rPr>
      </w:pPr>
      <w:bookmarkStart w:id="6" w:name="_Toc22085"/>
      <w:bookmarkStart w:id="7" w:name="_Toc218862106"/>
      <w:r>
        <w:rPr>
          <w:rFonts w:hint="eastAsia" w:ascii="Times New Roman" w:hAnsi="Times New Roman"/>
          <w:snapToGrid w:val="0"/>
          <w:color w:val="000000" w:themeColor="text1"/>
          <w:sz w:val="36"/>
          <w:szCs w:val="36"/>
          <w14:textFill>
            <w14:solidFill>
              <w14:schemeClr w14:val="tx1"/>
            </w14:solidFill>
          </w14:textFill>
        </w:rPr>
        <w:t>二、建设项目工程分析</w:t>
      </w:r>
      <w:bookmarkEnd w:id="6"/>
      <w:bookmarkEnd w:id="7"/>
    </w:p>
    <w:tbl>
      <w:tblPr>
        <w:tblStyle w:val="22"/>
        <w:tblW w:w="491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3"/>
        <w:gridCol w:w="8494"/>
      </w:tblGrid>
      <w:tr w14:paraId="4521E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3" w:type="dxa"/>
            <w:vAlign w:val="center"/>
          </w:tcPr>
          <w:p w14:paraId="6CA978E9">
            <w:pPr>
              <w:pStyle w:val="18"/>
              <w:adjustRightInd w:val="0"/>
              <w:snapToGrid w:val="0"/>
              <w:spacing w:before="0" w:beforeAutospacing="0" w:after="0" w:afterAutospacing="0"/>
              <w:jc w:val="center"/>
              <w:rPr>
                <w:rFonts w:ascii="Times New Roman" w:hAnsi="Times New Roman" w:cs="宋体"/>
                <w:color w:val="000000" w:themeColor="text1"/>
                <w:szCs w:val="24"/>
                <w14:textFill>
                  <w14:solidFill>
                    <w14:schemeClr w14:val="tx1"/>
                  </w14:solidFill>
                </w14:textFill>
              </w:rPr>
            </w:pPr>
            <w:r>
              <w:rPr>
                <w:rFonts w:hint="eastAsia" w:ascii="Times New Roman" w:hAnsi="Times New Roman" w:cs="宋体"/>
                <w:color w:val="000000" w:themeColor="text1"/>
                <w:szCs w:val="24"/>
                <w14:textFill>
                  <w14:solidFill>
                    <w14:schemeClr w14:val="tx1"/>
                  </w14:solidFill>
                </w14:textFill>
              </w:rPr>
              <w:t>建设内容</w:t>
            </w:r>
          </w:p>
        </w:tc>
        <w:tc>
          <w:tcPr>
            <w:tcW w:w="8494" w:type="dxa"/>
          </w:tcPr>
          <w:p w14:paraId="0BB9D608">
            <w:pPr>
              <w:widowControl/>
              <w:spacing w:line="360" w:lineRule="auto"/>
              <w:jc w:val="left"/>
              <w:rPr>
                <w:b/>
                <w:bCs/>
                <w:color w:val="000000" w:themeColor="text1"/>
                <w:kern w:val="0"/>
                <w:sz w:val="28"/>
                <w:szCs w:val="28"/>
                <w:lang w:bidi="ar"/>
                <w14:textFill>
                  <w14:solidFill>
                    <w14:schemeClr w14:val="tx1"/>
                  </w14:solidFill>
                </w14:textFill>
              </w:rPr>
            </w:pPr>
            <w:r>
              <w:rPr>
                <w:b/>
                <w:bCs/>
                <w:color w:val="000000" w:themeColor="text1"/>
                <w:kern w:val="0"/>
                <w:sz w:val="28"/>
                <w:szCs w:val="28"/>
                <w:lang w:bidi="ar"/>
                <w14:textFill>
                  <w14:solidFill>
                    <w14:schemeClr w14:val="tx1"/>
                  </w14:solidFill>
                </w14:textFill>
              </w:rPr>
              <w:t>1</w:t>
            </w:r>
            <w:r>
              <w:rPr>
                <w:rFonts w:hint="eastAsia"/>
                <w:b/>
                <w:bCs/>
                <w:color w:val="000000" w:themeColor="text1"/>
                <w:kern w:val="0"/>
                <w:sz w:val="28"/>
                <w:szCs w:val="28"/>
                <w:lang w:bidi="ar"/>
                <w14:textFill>
                  <w14:solidFill>
                    <w14:schemeClr w14:val="tx1"/>
                  </w14:solidFill>
                </w14:textFill>
              </w:rPr>
              <w:t>、项目背景</w:t>
            </w:r>
          </w:p>
          <w:p w14:paraId="7723BACA">
            <w:pPr>
              <w:widowControl/>
              <w:spacing w:line="360" w:lineRule="auto"/>
              <w:ind w:firstLine="480" w:firstLineChars="200"/>
              <w:rPr>
                <w:sz w:val="24"/>
              </w:rPr>
            </w:pPr>
            <w:r>
              <w:rPr>
                <w:rFonts w:hint="eastAsia"/>
                <w:sz w:val="24"/>
              </w:rPr>
              <w:t>2006年5月，云南海潮集团听牧肉牛产业股份有限公司在寻甸成立，计划在寻甸县羊街镇投资建设羊街牛市大型畜产品综合交易市场和肉牛屠宰加工厂。工程分两期建设，一期建设羊街牛市大型畜产品综合交易市场，二期建设30000头/年肉牛屠宰厂。</w:t>
            </w:r>
          </w:p>
          <w:p w14:paraId="511E135F">
            <w:pPr>
              <w:pStyle w:val="36"/>
              <w:ind w:firstLine="482"/>
              <w:jc w:val="left"/>
              <w:rPr>
                <w:b/>
                <w:bCs/>
                <w:spacing w:val="0"/>
                <w:lang w:eastAsia="zh-CN"/>
              </w:rPr>
            </w:pPr>
            <w:r>
              <w:rPr>
                <w:rFonts w:hint="eastAsia"/>
                <w:b/>
                <w:bCs/>
                <w:spacing w:val="0"/>
                <w:lang w:eastAsia="zh-CN"/>
              </w:rPr>
              <w:t>（1）羊街牛市大型畜产品综合交易市场项目（一期工程）</w:t>
            </w:r>
          </w:p>
          <w:p w14:paraId="0A6E18C1">
            <w:pPr>
              <w:widowControl/>
              <w:spacing w:line="360" w:lineRule="auto"/>
              <w:ind w:firstLine="480" w:firstLineChars="200"/>
              <w:rPr>
                <w:rFonts w:cs="宋体"/>
                <w:kern w:val="0"/>
                <w:sz w:val="24"/>
                <w:lang w:bidi="ar"/>
              </w:rPr>
            </w:pPr>
            <w:r>
              <w:rPr>
                <w:rFonts w:hint="eastAsia" w:cs="宋体"/>
                <w:kern w:val="0"/>
                <w:sz w:val="24"/>
                <w:lang w:bidi="ar"/>
              </w:rPr>
              <w:t>2005年4月，寻甸县发改局以“寻发改投资〔</w:t>
            </w:r>
            <w:r>
              <w:rPr>
                <w:rFonts w:cs="宋体"/>
                <w:kern w:val="0"/>
                <w:sz w:val="24"/>
                <w:lang w:bidi="ar"/>
              </w:rPr>
              <w:t>20</w:t>
            </w:r>
            <w:r>
              <w:rPr>
                <w:rFonts w:hint="eastAsia" w:cs="宋体"/>
                <w:kern w:val="0"/>
                <w:sz w:val="24"/>
                <w:lang w:bidi="ar"/>
              </w:rPr>
              <w:t>05〕9号”文对</w:t>
            </w:r>
            <w:r>
              <w:rPr>
                <w:rFonts w:hint="eastAsia"/>
                <w:sz w:val="24"/>
              </w:rPr>
              <w:t>羊街牛市大型畜产品综合交易市场项目（一期工程）和30000头/年肉牛屠宰项目（二期工程）立项。</w:t>
            </w:r>
          </w:p>
          <w:p w14:paraId="618547BD">
            <w:pPr>
              <w:widowControl/>
              <w:spacing w:line="360" w:lineRule="auto"/>
              <w:ind w:firstLine="480" w:firstLineChars="200"/>
              <w:rPr>
                <w:sz w:val="24"/>
              </w:rPr>
            </w:pPr>
            <w:r>
              <w:rPr>
                <w:rFonts w:hint="eastAsia"/>
                <w:sz w:val="24"/>
              </w:rPr>
              <w:t>一期工程总投资2388.32万元，建设内容有主体工程：活畜暂存房13600m</w:t>
            </w:r>
            <w:r>
              <w:rPr>
                <w:sz w:val="24"/>
                <w:vertAlign w:val="superscript"/>
              </w:rPr>
              <w:t>2</w:t>
            </w:r>
            <w:r>
              <w:rPr>
                <w:rFonts w:hint="eastAsia"/>
                <w:sz w:val="24"/>
              </w:rPr>
              <w:t>，畜产品交易大棚4000m</w:t>
            </w:r>
            <w:r>
              <w:rPr>
                <w:sz w:val="24"/>
                <w:vertAlign w:val="superscript"/>
              </w:rPr>
              <w:t>2</w:t>
            </w:r>
            <w:r>
              <w:rPr>
                <w:rFonts w:hint="eastAsia"/>
                <w:sz w:val="24"/>
              </w:rPr>
              <w:t>，门市物流6000m</w:t>
            </w:r>
            <w:r>
              <w:rPr>
                <w:sz w:val="24"/>
                <w:vertAlign w:val="superscript"/>
              </w:rPr>
              <w:t>2</w:t>
            </w:r>
            <w:r>
              <w:rPr>
                <w:rFonts w:hint="eastAsia"/>
                <w:sz w:val="24"/>
              </w:rPr>
              <w:t>，仓库3000m</w:t>
            </w:r>
            <w:r>
              <w:rPr>
                <w:sz w:val="24"/>
                <w:vertAlign w:val="superscript"/>
              </w:rPr>
              <w:t>2</w:t>
            </w:r>
            <w:r>
              <w:rPr>
                <w:rFonts w:hint="eastAsia"/>
                <w:sz w:val="24"/>
              </w:rPr>
              <w:t>；辅助工程：生活服务及综合大楼5000m</w:t>
            </w:r>
            <w:r>
              <w:rPr>
                <w:sz w:val="24"/>
                <w:vertAlign w:val="superscript"/>
              </w:rPr>
              <w:t>2</w:t>
            </w:r>
            <w:r>
              <w:rPr>
                <w:rFonts w:hint="eastAsia"/>
                <w:sz w:val="24"/>
              </w:rPr>
              <w:t>，污水污物处理区4000m</w:t>
            </w:r>
            <w:r>
              <w:rPr>
                <w:sz w:val="24"/>
                <w:vertAlign w:val="superscript"/>
              </w:rPr>
              <w:t>2</w:t>
            </w:r>
            <w:r>
              <w:rPr>
                <w:rFonts w:hint="eastAsia"/>
                <w:sz w:val="24"/>
              </w:rPr>
              <w:t>，绿化面积12000m</w:t>
            </w:r>
            <w:r>
              <w:rPr>
                <w:sz w:val="24"/>
                <w:vertAlign w:val="superscript"/>
              </w:rPr>
              <w:t>2</w:t>
            </w:r>
            <w:r>
              <w:rPr>
                <w:rFonts w:hint="eastAsia"/>
                <w:sz w:val="24"/>
              </w:rPr>
              <w:t>，停车场4000m</w:t>
            </w:r>
            <w:r>
              <w:rPr>
                <w:sz w:val="24"/>
                <w:vertAlign w:val="superscript"/>
              </w:rPr>
              <w:t>2</w:t>
            </w:r>
            <w:r>
              <w:rPr>
                <w:rFonts w:hint="eastAsia"/>
                <w:sz w:val="24"/>
              </w:rPr>
              <w:t>，场内道路21000m</w:t>
            </w:r>
            <w:r>
              <w:rPr>
                <w:sz w:val="24"/>
                <w:vertAlign w:val="superscript"/>
              </w:rPr>
              <w:t>2</w:t>
            </w:r>
            <w:r>
              <w:rPr>
                <w:rFonts w:hint="eastAsia"/>
                <w:sz w:val="24"/>
              </w:rPr>
              <w:t>。</w:t>
            </w:r>
          </w:p>
          <w:p w14:paraId="413C5D72">
            <w:pPr>
              <w:widowControl/>
              <w:spacing w:line="360" w:lineRule="auto"/>
              <w:ind w:firstLine="480" w:firstLineChars="200"/>
              <w:rPr>
                <w:sz w:val="24"/>
              </w:rPr>
            </w:pPr>
            <w:r>
              <w:rPr>
                <w:rFonts w:hint="eastAsia"/>
                <w:sz w:val="24"/>
              </w:rPr>
              <w:t>2006年10月，昆明市环保局批复了《羊街牛市大型畜产品综合交易市场项目环境影响报告表》（</w:t>
            </w:r>
            <w:r>
              <w:rPr>
                <w:rFonts w:hint="eastAsia" w:cs="宋体"/>
                <w:kern w:val="0"/>
                <w:sz w:val="24"/>
                <w:lang w:bidi="ar"/>
              </w:rPr>
              <w:t>昆环保复〔</w:t>
            </w:r>
            <w:r>
              <w:rPr>
                <w:rFonts w:cs="宋体"/>
                <w:kern w:val="0"/>
                <w:sz w:val="24"/>
                <w:lang w:bidi="ar"/>
              </w:rPr>
              <w:t>20</w:t>
            </w:r>
            <w:r>
              <w:rPr>
                <w:rFonts w:hint="eastAsia" w:cs="宋体"/>
                <w:kern w:val="0"/>
                <w:sz w:val="24"/>
                <w:lang w:bidi="ar"/>
              </w:rPr>
              <w:t>06〕134号</w:t>
            </w:r>
            <w:r>
              <w:rPr>
                <w:rFonts w:hint="eastAsia"/>
                <w:sz w:val="24"/>
              </w:rPr>
              <w:t>）。</w:t>
            </w:r>
          </w:p>
          <w:p w14:paraId="3A18D377">
            <w:pPr>
              <w:pStyle w:val="36"/>
              <w:ind w:firstLine="482"/>
              <w:jc w:val="left"/>
              <w:rPr>
                <w:b/>
                <w:bCs/>
                <w:spacing w:val="0"/>
                <w:lang w:eastAsia="zh-CN"/>
              </w:rPr>
            </w:pPr>
            <w:r>
              <w:rPr>
                <w:rFonts w:hint="eastAsia"/>
                <w:b/>
                <w:bCs/>
                <w:spacing w:val="0"/>
                <w:lang w:eastAsia="zh-CN"/>
              </w:rPr>
              <w:t>（2）30000头/年肉牛屠宰项目（二期工程）</w:t>
            </w:r>
          </w:p>
          <w:p w14:paraId="0CE73FB4">
            <w:pPr>
              <w:widowControl/>
              <w:spacing w:line="360" w:lineRule="auto"/>
              <w:ind w:firstLine="480" w:firstLineChars="200"/>
              <w:rPr>
                <w:sz w:val="24"/>
              </w:rPr>
            </w:pPr>
            <w:r>
              <w:rPr>
                <w:rFonts w:hint="eastAsia" w:cs="宋体"/>
                <w:kern w:val="0"/>
                <w:sz w:val="24"/>
                <w:lang w:bidi="ar"/>
              </w:rPr>
              <w:t>2005年4月，寻甸县发改局以“寻发改投资〔</w:t>
            </w:r>
            <w:r>
              <w:rPr>
                <w:rFonts w:cs="宋体"/>
                <w:kern w:val="0"/>
                <w:sz w:val="24"/>
                <w:lang w:bidi="ar"/>
              </w:rPr>
              <w:t>20</w:t>
            </w:r>
            <w:r>
              <w:rPr>
                <w:rFonts w:hint="eastAsia" w:cs="宋体"/>
                <w:kern w:val="0"/>
                <w:sz w:val="24"/>
                <w:lang w:bidi="ar"/>
              </w:rPr>
              <w:t>05〕9号”文对</w:t>
            </w:r>
            <w:r>
              <w:rPr>
                <w:rFonts w:hint="eastAsia"/>
                <w:sz w:val="24"/>
              </w:rPr>
              <w:t>羊街牛市大型畜产品综合交易市场项目（一期工程）和30000头/年肉牛屠宰项目（二期工程）立项。</w:t>
            </w:r>
          </w:p>
          <w:p w14:paraId="40A64438">
            <w:pPr>
              <w:widowControl/>
              <w:spacing w:line="360" w:lineRule="auto"/>
              <w:ind w:firstLine="480" w:firstLineChars="200"/>
              <w:rPr>
                <w:sz w:val="24"/>
              </w:rPr>
            </w:pPr>
            <w:r>
              <w:rPr>
                <w:rFonts w:hint="eastAsia"/>
                <w:sz w:val="24"/>
              </w:rPr>
              <w:t>二期工程总投资1924.92万元，建设内容有主体工程：肉牛屠宰车间3000m</w:t>
            </w:r>
            <w:r>
              <w:rPr>
                <w:sz w:val="24"/>
                <w:vertAlign w:val="superscript"/>
              </w:rPr>
              <w:t>2</w:t>
            </w:r>
            <w:r>
              <w:rPr>
                <w:rFonts w:hint="eastAsia"/>
                <w:sz w:val="24"/>
              </w:rPr>
              <w:t>，保</w:t>
            </w:r>
            <w:r>
              <w:rPr>
                <w:rFonts w:hint="eastAsia"/>
                <w:sz w:val="24"/>
                <w:lang w:eastAsia="zh-CN"/>
              </w:rPr>
              <w:t>鲜</w:t>
            </w:r>
            <w:r>
              <w:rPr>
                <w:rFonts w:hint="eastAsia"/>
                <w:sz w:val="24"/>
              </w:rPr>
              <w:t>冷库1500m</w:t>
            </w:r>
            <w:r>
              <w:rPr>
                <w:rFonts w:hint="eastAsia"/>
                <w:sz w:val="24"/>
                <w:vertAlign w:val="superscript"/>
              </w:rPr>
              <w:t>2</w:t>
            </w:r>
            <w:r>
              <w:rPr>
                <w:rFonts w:hint="eastAsia"/>
                <w:sz w:val="24"/>
              </w:rPr>
              <w:t>，临时待宰区760m</w:t>
            </w:r>
            <w:r>
              <w:rPr>
                <w:rFonts w:hint="eastAsia"/>
                <w:sz w:val="24"/>
                <w:vertAlign w:val="superscript"/>
              </w:rPr>
              <w:t>2</w:t>
            </w:r>
            <w:r>
              <w:rPr>
                <w:rFonts w:hint="eastAsia"/>
                <w:sz w:val="24"/>
              </w:rPr>
              <w:t>；辅助工程：污水处理系统250t/d（一期、二期工程共用），停车场绿化面积5000m</w:t>
            </w:r>
            <w:r>
              <w:rPr>
                <w:sz w:val="24"/>
                <w:vertAlign w:val="superscript"/>
              </w:rPr>
              <w:t>2</w:t>
            </w:r>
            <w:r>
              <w:rPr>
                <w:rFonts w:hint="eastAsia"/>
                <w:sz w:val="24"/>
              </w:rPr>
              <w:t>。</w:t>
            </w:r>
          </w:p>
          <w:p w14:paraId="620BB052">
            <w:pPr>
              <w:widowControl/>
              <w:spacing w:line="360" w:lineRule="auto"/>
              <w:ind w:firstLine="480" w:firstLineChars="200"/>
              <w:rPr>
                <w:sz w:val="24"/>
              </w:rPr>
            </w:pPr>
            <w:r>
              <w:rPr>
                <w:rFonts w:hint="eastAsia"/>
                <w:sz w:val="24"/>
              </w:rPr>
              <w:t>2009年12月，寻甸县环保局批复了《30000头/年肉牛屠宰项目环境影响报告表》（</w:t>
            </w:r>
            <w:r>
              <w:rPr>
                <w:rFonts w:hint="eastAsia" w:cs="宋体"/>
                <w:kern w:val="0"/>
                <w:sz w:val="24"/>
                <w:lang w:bidi="ar"/>
              </w:rPr>
              <w:t>寻环〔</w:t>
            </w:r>
            <w:r>
              <w:rPr>
                <w:rFonts w:cs="宋体"/>
                <w:kern w:val="0"/>
                <w:sz w:val="24"/>
                <w:lang w:bidi="ar"/>
              </w:rPr>
              <w:t>20</w:t>
            </w:r>
            <w:r>
              <w:rPr>
                <w:rFonts w:hint="eastAsia" w:cs="宋体"/>
                <w:kern w:val="0"/>
                <w:sz w:val="24"/>
                <w:lang w:bidi="ar"/>
              </w:rPr>
              <w:t>09〕121号</w:t>
            </w:r>
            <w:r>
              <w:rPr>
                <w:rFonts w:hint="eastAsia"/>
                <w:sz w:val="24"/>
              </w:rPr>
              <w:t>）。</w:t>
            </w:r>
          </w:p>
          <w:p w14:paraId="138D424E">
            <w:pPr>
              <w:pStyle w:val="36"/>
              <w:ind w:firstLine="482"/>
              <w:jc w:val="left"/>
              <w:rPr>
                <w:b/>
                <w:bCs/>
                <w:spacing w:val="0"/>
                <w:lang w:eastAsia="zh-CN"/>
              </w:rPr>
            </w:pPr>
            <w:r>
              <w:rPr>
                <w:rFonts w:hint="eastAsia"/>
                <w:b/>
                <w:bCs/>
                <w:spacing w:val="0"/>
                <w:lang w:eastAsia="zh-CN"/>
              </w:rPr>
              <w:t>（3）10000吨/年优质牛肉精深加工配送系统改扩建项目</w:t>
            </w:r>
          </w:p>
          <w:p w14:paraId="43FDE34F">
            <w:pPr>
              <w:widowControl/>
              <w:spacing w:line="360" w:lineRule="auto"/>
              <w:ind w:firstLine="480" w:firstLineChars="200"/>
              <w:rPr>
                <w:rFonts w:cs="宋体"/>
                <w:b/>
                <w:bCs/>
                <w:kern w:val="0"/>
                <w:sz w:val="24"/>
                <w:lang w:bidi="ar"/>
              </w:rPr>
            </w:pPr>
            <w:r>
              <w:rPr>
                <w:rFonts w:hint="eastAsia"/>
                <w:sz w:val="24"/>
              </w:rPr>
              <w:t>为进一步满足市场需求，2013年云南海潮集团听牧肉牛产业股份有限公司拟在原30000头/年肉牛屠宰项目基础上，新建10000吨/年优质牛肉精深加工配送系统改扩建项目。</w:t>
            </w:r>
            <w:r>
              <w:rPr>
                <w:rFonts w:hint="eastAsia" w:cs="宋体"/>
                <w:kern w:val="0"/>
                <w:sz w:val="24"/>
                <w:lang w:bidi="ar"/>
              </w:rPr>
              <w:t>2013年5月，寻甸县科工贸局以“寻科工贸字〔</w:t>
            </w:r>
            <w:r>
              <w:rPr>
                <w:rFonts w:cs="宋体"/>
                <w:kern w:val="0"/>
                <w:sz w:val="24"/>
                <w:lang w:bidi="ar"/>
              </w:rPr>
              <w:t>20</w:t>
            </w:r>
            <w:r>
              <w:rPr>
                <w:rFonts w:hint="eastAsia" w:cs="宋体"/>
                <w:kern w:val="0"/>
                <w:sz w:val="24"/>
                <w:lang w:bidi="ar"/>
              </w:rPr>
              <w:t>13〕43号”文对</w:t>
            </w:r>
            <w:r>
              <w:rPr>
                <w:rFonts w:hint="eastAsia"/>
                <w:sz w:val="24"/>
              </w:rPr>
              <w:t>10000吨/年优质牛肉精深加工配送系统改扩建项目立项。</w:t>
            </w:r>
          </w:p>
          <w:p w14:paraId="7E06316D">
            <w:pPr>
              <w:widowControl/>
              <w:spacing w:line="360" w:lineRule="auto"/>
              <w:ind w:firstLine="480" w:firstLineChars="200"/>
              <w:rPr>
                <w:sz w:val="24"/>
              </w:rPr>
            </w:pPr>
            <w:r>
              <w:rPr>
                <w:rFonts w:hint="eastAsia"/>
                <w:sz w:val="24"/>
              </w:rPr>
              <w:t>项目总投资3900万元，在原肉牛屠宰项目厂区预留用地范围内改扩建，建设内容有主体工程：精深加工车间1980m</w:t>
            </w:r>
            <w:r>
              <w:rPr>
                <w:sz w:val="24"/>
                <w:vertAlign w:val="superscript"/>
              </w:rPr>
              <w:t>2</w:t>
            </w:r>
            <w:r>
              <w:rPr>
                <w:rFonts w:hint="eastAsia"/>
                <w:sz w:val="24"/>
              </w:rPr>
              <w:t>，冷链系统200m</w:t>
            </w:r>
            <w:r>
              <w:rPr>
                <w:rFonts w:hint="eastAsia"/>
                <w:sz w:val="24"/>
                <w:vertAlign w:val="superscript"/>
              </w:rPr>
              <w:t>2</w:t>
            </w:r>
            <w:r>
              <w:rPr>
                <w:rFonts w:hint="eastAsia"/>
                <w:sz w:val="24"/>
              </w:rPr>
              <w:t>；辅助工程：场内道路2000m，停车场200m</w:t>
            </w:r>
            <w:r>
              <w:rPr>
                <w:sz w:val="24"/>
                <w:vertAlign w:val="superscript"/>
              </w:rPr>
              <w:t>2</w:t>
            </w:r>
            <w:r>
              <w:rPr>
                <w:rFonts w:hint="eastAsia"/>
                <w:sz w:val="24"/>
              </w:rPr>
              <w:t>，绿化面积800m</w:t>
            </w:r>
            <w:r>
              <w:rPr>
                <w:sz w:val="24"/>
                <w:vertAlign w:val="superscript"/>
              </w:rPr>
              <w:t>2</w:t>
            </w:r>
            <w:r>
              <w:rPr>
                <w:rFonts w:hint="eastAsia"/>
                <w:sz w:val="24"/>
              </w:rPr>
              <w:t>。</w:t>
            </w:r>
          </w:p>
          <w:p w14:paraId="607F6D34">
            <w:pPr>
              <w:widowControl/>
              <w:spacing w:line="360" w:lineRule="auto"/>
              <w:ind w:firstLine="480" w:firstLineChars="200"/>
              <w:rPr>
                <w:sz w:val="24"/>
              </w:rPr>
            </w:pPr>
            <w:r>
              <w:rPr>
                <w:rFonts w:hint="eastAsia"/>
                <w:sz w:val="24"/>
              </w:rPr>
              <w:t>2013年8月，云南省环保厅批复了《10000吨/年优质牛肉精深加工配送系统改扩建项目环境影响报告表》（</w:t>
            </w:r>
            <w:r>
              <w:rPr>
                <w:rFonts w:hint="eastAsia" w:cs="宋体"/>
                <w:kern w:val="0"/>
                <w:sz w:val="24"/>
                <w:lang w:bidi="ar"/>
              </w:rPr>
              <w:t>云环审〔</w:t>
            </w:r>
            <w:r>
              <w:rPr>
                <w:rFonts w:cs="宋体"/>
                <w:kern w:val="0"/>
                <w:sz w:val="24"/>
                <w:lang w:bidi="ar"/>
              </w:rPr>
              <w:t>20</w:t>
            </w:r>
            <w:r>
              <w:rPr>
                <w:rFonts w:hint="eastAsia" w:cs="宋体"/>
                <w:kern w:val="0"/>
                <w:sz w:val="24"/>
                <w:lang w:bidi="ar"/>
              </w:rPr>
              <w:t>13〕254号</w:t>
            </w:r>
            <w:r>
              <w:rPr>
                <w:rFonts w:hint="eastAsia"/>
                <w:sz w:val="24"/>
              </w:rPr>
              <w:t>）。</w:t>
            </w:r>
          </w:p>
          <w:p w14:paraId="6AE5BF33">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2、项目情况</w:t>
            </w:r>
          </w:p>
          <w:p w14:paraId="396CE053">
            <w:pPr>
              <w:widowControl/>
              <w:spacing w:line="360" w:lineRule="auto"/>
              <w:ind w:firstLine="480" w:firstLineChars="200"/>
              <w:rPr>
                <w:color w:val="000000" w:themeColor="text1"/>
                <w:sz w:val="24"/>
                <w14:textFill>
                  <w14:solidFill>
                    <w14:schemeClr w14:val="tx1"/>
                  </w14:solidFill>
                </w14:textFill>
              </w:rPr>
            </w:pPr>
            <w:r>
              <w:rPr>
                <w:sz w:val="24"/>
              </w:rPr>
              <w:t>为</w:t>
            </w:r>
            <w:r>
              <w:rPr>
                <w:rFonts w:hint="eastAsia"/>
                <w:sz w:val="24"/>
              </w:rPr>
              <w:t>进一步扩大畜禽肉类产品供应类型，满足</w:t>
            </w:r>
            <w:r>
              <w:rPr>
                <w:sz w:val="24"/>
              </w:rPr>
              <w:t>市场需求，云南海潮集团听牧肉牛产业股份有限公司拟在原听牧肉牛屠宰及优质</w:t>
            </w:r>
            <w:r>
              <w:rPr>
                <w:rFonts w:hint="eastAsia"/>
                <w:sz w:val="24"/>
              </w:rPr>
              <w:t>牛肉</w:t>
            </w:r>
            <w:r>
              <w:rPr>
                <w:sz w:val="24"/>
              </w:rPr>
              <w:t>精深加工厂区</w:t>
            </w:r>
            <w:r>
              <w:rPr>
                <w:rFonts w:hint="eastAsia"/>
                <w:sz w:val="24"/>
              </w:rPr>
              <w:t>用地范围</w:t>
            </w:r>
            <w:r>
              <w:rPr>
                <w:sz w:val="24"/>
              </w:rPr>
              <w:t>内，新</w:t>
            </w:r>
            <w:r>
              <w:rPr>
                <w:rFonts w:hint="eastAsia"/>
                <w:sz w:val="24"/>
              </w:rPr>
              <w:t>建</w:t>
            </w:r>
            <w:r>
              <w:rPr>
                <w:sz w:val="24"/>
              </w:rPr>
              <w:t>一条50000只/年</w:t>
            </w:r>
            <w:r>
              <w:rPr>
                <w:color w:val="000000" w:themeColor="text1"/>
                <w:sz w:val="24"/>
                <w14:textFill>
                  <w14:solidFill>
                    <w14:schemeClr w14:val="tx1"/>
                  </w14:solidFill>
                </w14:textFill>
              </w:rPr>
              <w:t>肉羊屠宰加工及配送系统</w:t>
            </w:r>
            <w:r>
              <w:rPr>
                <w:rFonts w:hint="eastAsia"/>
                <w:color w:val="000000" w:themeColor="text1"/>
                <w:sz w:val="24"/>
                <w14:textFill>
                  <w14:solidFill>
                    <w14:schemeClr w14:val="tx1"/>
                  </w14:solidFill>
                </w14:textFill>
              </w:rPr>
              <w:t>生产线。</w:t>
            </w:r>
          </w:p>
          <w:p w14:paraId="6199EFB2">
            <w:pPr>
              <w:widowControl/>
              <w:spacing w:line="360" w:lineRule="auto"/>
              <w:ind w:firstLine="480" w:firstLineChars="200"/>
              <w:rPr>
                <w:sz w:val="24"/>
              </w:rPr>
            </w:pPr>
            <w:r>
              <w:rPr>
                <w:sz w:val="24"/>
              </w:rPr>
              <w:t>2024年12月</w:t>
            </w:r>
            <w:r>
              <w:rPr>
                <w:rFonts w:hint="eastAsia"/>
                <w:sz w:val="24"/>
              </w:rPr>
              <w:t>，项目</w:t>
            </w:r>
            <w:r>
              <w:rPr>
                <w:sz w:val="24"/>
              </w:rPr>
              <w:t>取得</w:t>
            </w:r>
            <w:r>
              <w:rPr>
                <w:rFonts w:hint="eastAsia"/>
                <w:sz w:val="24"/>
              </w:rPr>
              <w:t>了</w:t>
            </w:r>
            <w:r>
              <w:rPr>
                <w:sz w:val="24"/>
              </w:rPr>
              <w:t>寻甸县发改局</w:t>
            </w:r>
            <w:r>
              <w:rPr>
                <w:rFonts w:hint="eastAsia"/>
                <w:sz w:val="24"/>
              </w:rPr>
              <w:t>核发的固定资产投资</w:t>
            </w:r>
            <w:r>
              <w:rPr>
                <w:sz w:val="24"/>
              </w:rPr>
              <w:t>项目备案证，项目代码：2412-530129-04-02-804758。</w:t>
            </w:r>
          </w:p>
          <w:p w14:paraId="64AEBE42">
            <w:pPr>
              <w:widowControl/>
              <w:spacing w:line="360" w:lineRule="auto"/>
              <w:ind w:firstLine="480" w:firstLineChars="200"/>
              <w:rPr>
                <w:sz w:val="24"/>
              </w:rPr>
            </w:pPr>
            <w:r>
              <w:rPr>
                <w:rFonts w:hint="eastAsia"/>
                <w:sz w:val="24"/>
              </w:rPr>
              <w:t>根据《中华人民共和国环境影响评价法》、《建设项目环境影响评价分类管理名录（2021年版）》等规定，项目属于“</w:t>
            </w:r>
            <w:r>
              <w:rPr>
                <w:rFonts w:hint="eastAsia" w:cs="宋体"/>
                <w:color w:val="000000" w:themeColor="text1"/>
                <w:sz w:val="24"/>
                <w14:textFill>
                  <w14:solidFill>
                    <w14:schemeClr w14:val="tx1"/>
                  </w14:solidFill>
                </w14:textFill>
              </w:rPr>
              <w:t>十、农副食品加工业 18屠宰及肉类加工135”中的“其他屠宰；年加工2万吨及以上的肉类加工</w:t>
            </w:r>
            <w:r>
              <w:rPr>
                <w:rFonts w:hint="eastAsia"/>
                <w:sz w:val="24"/>
              </w:rPr>
              <w:t>”，须编制环境影响报告表。受建设单位委托，云南高科环境保护科技有限公司承担项目的环境影响评价工作。接受委托后，我公司组织技术人员在现场踏勘、资料收集、现状监测、工程分析等工作基础上，于2026年4月编制完成《</w:t>
            </w:r>
            <w:r>
              <w:rPr>
                <w:rFonts w:hint="eastAsia" w:cs="宋体"/>
                <w:color w:val="000000" w:themeColor="text1"/>
                <w:sz w:val="24"/>
                <w14:textFill>
                  <w14:solidFill>
                    <w14:schemeClr w14:val="tx1"/>
                  </w14:solidFill>
                </w14:textFill>
              </w:rPr>
              <w:t>云南海潮集团听牧肉牛产业股份有限公司50000只/年肉羊屠宰加工及配送系统技术改造项目环境影响报告表</w:t>
            </w:r>
            <w:r>
              <w:rPr>
                <w:rFonts w:hint="eastAsia"/>
                <w:sz w:val="24"/>
              </w:rPr>
              <w:t>》，供建设单位上报审批，作为项目环境管理的依据。</w:t>
            </w:r>
          </w:p>
          <w:p w14:paraId="73A32280">
            <w:pPr>
              <w:pStyle w:val="36"/>
              <w:ind w:firstLine="482"/>
              <w:jc w:val="left"/>
              <w:rPr>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（1）基本情况</w:t>
            </w:r>
          </w:p>
          <w:p w14:paraId="27393362">
            <w:pPr>
              <w:spacing w:line="360" w:lineRule="auto"/>
              <w:ind w:firstLine="480" w:firstLineChars="200"/>
              <w:rPr>
                <w:color w:val="000000"/>
                <w:sz w:val="24"/>
              </w:rPr>
            </w:pPr>
            <w:r>
              <w:rPr>
                <w:color w:val="000000" w:themeColor="text1"/>
                <w:sz w:val="24"/>
                <w14:textFill>
                  <w14:solidFill>
                    <w14:schemeClr w14:val="tx1"/>
                  </w14:solidFill>
                </w14:textFill>
              </w:rPr>
              <w:t>项目名称：</w:t>
            </w:r>
            <w:r>
              <w:rPr>
                <w:rFonts w:hint="eastAsia" w:cs="宋体"/>
                <w:color w:val="000000" w:themeColor="text1"/>
                <w:sz w:val="24"/>
                <w14:textFill>
                  <w14:solidFill>
                    <w14:schemeClr w14:val="tx1"/>
                  </w14:solidFill>
                </w14:textFill>
              </w:rPr>
              <w:t>云南海潮集团听牧肉牛产业股份有限公司50000只/年肉羊屠宰加工及配送系统技术改造项目；</w:t>
            </w:r>
          </w:p>
          <w:p w14:paraId="54AA41F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w:t>
            </w:r>
            <w:r>
              <w:rPr>
                <w:rFonts w:hint="eastAsia" w:cs="宋体"/>
                <w:color w:val="000000" w:themeColor="text1"/>
                <w:sz w:val="24"/>
                <w14:textFill>
                  <w14:solidFill>
                    <w14:schemeClr w14:val="tx1"/>
                  </w14:solidFill>
                </w14:textFill>
              </w:rPr>
              <w:t>云南海潮集团听牧肉牛产业股份有限公司；</w:t>
            </w:r>
          </w:p>
          <w:p w14:paraId="22B1E85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r>
              <w:rPr>
                <w:rFonts w:hint="eastAsia"/>
                <w:color w:val="000000" w:themeColor="text1"/>
                <w:sz w:val="24"/>
                <w14:textFill>
                  <w14:solidFill>
                    <w14:schemeClr w14:val="tx1"/>
                  </w14:solidFill>
                </w14:textFill>
              </w:rPr>
              <w:t>改建、扩建</w:t>
            </w:r>
            <w:r>
              <w:rPr>
                <w:color w:val="000000"/>
                <w:sz w:val="24"/>
              </w:rPr>
              <w:t>；</w:t>
            </w:r>
          </w:p>
          <w:p w14:paraId="1E2B274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r>
              <w:rPr>
                <w:rFonts w:hint="eastAsia"/>
                <w:color w:val="000000" w:themeColor="text1"/>
                <w:sz w:val="24"/>
                <w14:textFill>
                  <w14:solidFill>
                    <w14:schemeClr w14:val="tx1"/>
                  </w14:solidFill>
                </w14:textFill>
              </w:rPr>
              <w:t>昆明市寻甸县羊街镇</w:t>
            </w:r>
            <w:r>
              <w:rPr>
                <w:color w:val="000000"/>
                <w:sz w:val="24"/>
              </w:rPr>
              <w:t>；</w:t>
            </w:r>
          </w:p>
          <w:p w14:paraId="788D8D53">
            <w:pPr>
              <w:spacing w:line="360" w:lineRule="auto"/>
              <w:ind w:firstLine="480" w:firstLineChars="200"/>
              <w:rPr>
                <w:color w:val="000000" w:themeColor="text1"/>
                <w:sz w:val="24"/>
                <w14:textFill>
                  <w14:solidFill>
                    <w14:schemeClr w14:val="tx1"/>
                  </w14:solidFill>
                </w14:textFill>
              </w:rPr>
            </w:pPr>
            <w:r>
              <w:rPr>
                <w:color w:val="000000"/>
                <w:sz w:val="24"/>
              </w:rPr>
              <w:t>建设周期：</w:t>
            </w:r>
            <w:r>
              <w:rPr>
                <w:rFonts w:hint="eastAsia"/>
                <w:color w:val="000000"/>
                <w:sz w:val="24"/>
              </w:rPr>
              <w:t>2个月，计划2026年6-8月</w:t>
            </w:r>
            <w:r>
              <w:rPr>
                <w:color w:val="000000"/>
                <w:sz w:val="24"/>
              </w:rPr>
              <w:t>；</w:t>
            </w:r>
          </w:p>
          <w:p w14:paraId="6973A98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占地面积：</w:t>
            </w:r>
            <w:r>
              <w:rPr>
                <w:rFonts w:hint="eastAsia"/>
                <w:color w:val="000000" w:themeColor="text1"/>
                <w:sz w:val="24"/>
                <w14:textFill>
                  <w14:solidFill>
                    <w14:schemeClr w14:val="tx1"/>
                  </w14:solidFill>
                </w14:textFill>
              </w:rPr>
              <w:t>1955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sz w:val="24"/>
              </w:rPr>
              <w:t>；</w:t>
            </w:r>
          </w:p>
          <w:p w14:paraId="153A998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项目投资：</w:t>
            </w:r>
            <w:r>
              <w:rPr>
                <w:rFonts w:hint="eastAsia"/>
                <w:color w:val="000000" w:themeColor="text1"/>
                <w:sz w:val="24"/>
                <w14:textFill>
                  <w14:solidFill>
                    <w14:schemeClr w14:val="tx1"/>
                  </w14:solidFill>
                </w14:textFill>
              </w:rPr>
              <w:t>515.44</w:t>
            </w:r>
            <w:r>
              <w:rPr>
                <w:color w:val="000000" w:themeColor="text1"/>
                <w:sz w:val="24"/>
                <w14:textFill>
                  <w14:solidFill>
                    <w14:schemeClr w14:val="tx1"/>
                  </w14:solidFill>
                </w14:textFill>
              </w:rPr>
              <w:t>万元</w:t>
            </w:r>
            <w:r>
              <w:rPr>
                <w:color w:val="000000"/>
                <w:sz w:val="24"/>
              </w:rPr>
              <w:t>；</w:t>
            </w:r>
          </w:p>
          <w:p w14:paraId="042167F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生产规模：</w:t>
            </w:r>
            <w:r>
              <w:rPr>
                <w:rFonts w:hint="eastAsia" w:cs="宋体"/>
                <w:color w:val="000000" w:themeColor="text1"/>
                <w:sz w:val="24"/>
                <w14:textFill>
                  <w14:solidFill>
                    <w14:schemeClr w14:val="tx1"/>
                  </w14:solidFill>
                </w14:textFill>
              </w:rPr>
              <w:t>50000只/年肉羊屠宰加工</w:t>
            </w:r>
            <w:r>
              <w:rPr>
                <w:rFonts w:hint="eastAsia"/>
                <w:color w:val="000000" w:themeColor="text1"/>
                <w:sz w:val="24"/>
                <w14:textFill>
                  <w14:solidFill>
                    <w14:schemeClr w14:val="tx1"/>
                  </w14:solidFill>
                </w14:textFill>
              </w:rPr>
              <w:t>。</w:t>
            </w:r>
          </w:p>
          <w:p w14:paraId="1144FC16">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（2）建设内容及组成</w:t>
            </w:r>
          </w:p>
          <w:p w14:paraId="734C7FA3">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项目在原</w:t>
            </w:r>
            <w:r>
              <w:rPr>
                <w:rFonts w:cs="Times New Roman"/>
                <w:spacing w:val="0"/>
                <w:lang w:eastAsia="zh-CN"/>
              </w:rPr>
              <w:t>听牧肉牛屠宰及优质</w:t>
            </w:r>
            <w:r>
              <w:rPr>
                <w:rFonts w:hint="eastAsia" w:cs="Times New Roman"/>
                <w:spacing w:val="0"/>
                <w:lang w:eastAsia="zh-CN"/>
              </w:rPr>
              <w:t>牛肉</w:t>
            </w:r>
            <w:r>
              <w:rPr>
                <w:rFonts w:cs="Times New Roman"/>
                <w:spacing w:val="0"/>
                <w:lang w:eastAsia="zh-CN"/>
              </w:rPr>
              <w:t>精深加工厂区</w:t>
            </w:r>
            <w:r>
              <w:rPr>
                <w:rFonts w:hint="eastAsia"/>
                <w:spacing w:val="0"/>
                <w:lang w:eastAsia="zh-CN"/>
              </w:rPr>
              <w:t>用地范围</w:t>
            </w:r>
            <w:r>
              <w:rPr>
                <w:rFonts w:cs="Times New Roman"/>
                <w:spacing w:val="0"/>
                <w:lang w:eastAsia="zh-CN"/>
              </w:rPr>
              <w:t>内</w:t>
            </w:r>
            <w:r>
              <w:rPr>
                <w:rFonts w:hint="eastAsia"/>
                <w:color w:val="000000" w:themeColor="text1"/>
                <w:spacing w:val="0"/>
                <w:lang w:eastAsia="zh-CN"/>
                <w14:textFill>
                  <w14:solidFill>
                    <w14:schemeClr w14:val="tx1"/>
                  </w14:solidFill>
                </w14:textFill>
              </w:rPr>
              <w:t>，将原料青储池改建为肉羊待宰圈，</w:t>
            </w:r>
            <w:r>
              <w:rPr>
                <w:rFonts w:hint="eastAsia" w:cs="Times New Roman"/>
                <w:spacing w:val="0"/>
                <w:lang w:eastAsia="zh-CN"/>
              </w:rPr>
              <w:t>肉牛急宰间改建为</w:t>
            </w:r>
            <w:r>
              <w:rPr>
                <w:rFonts w:cs="Times New Roman"/>
                <w:color w:val="000000" w:themeColor="text1"/>
                <w:spacing w:val="0"/>
                <w:lang w:eastAsia="zh-CN"/>
                <w14:textFill>
                  <w14:solidFill>
                    <w14:schemeClr w14:val="tx1"/>
                  </w14:solidFill>
                </w14:textFill>
              </w:rPr>
              <w:t>肉羊屠宰加工</w:t>
            </w:r>
            <w:r>
              <w:rPr>
                <w:rFonts w:hint="eastAsia" w:cs="Times New Roman"/>
                <w:color w:val="000000" w:themeColor="text1"/>
                <w:spacing w:val="0"/>
                <w:lang w:eastAsia="zh-CN"/>
                <w14:textFill>
                  <w14:solidFill>
                    <w14:schemeClr w14:val="tx1"/>
                  </w14:solidFill>
                </w14:textFill>
              </w:rPr>
              <w:t>生产线</w:t>
            </w:r>
            <w:r>
              <w:rPr>
                <w:rFonts w:hint="eastAsia"/>
                <w:color w:val="000000" w:themeColor="text1"/>
                <w:spacing w:val="0"/>
                <w:lang w:eastAsia="zh-CN"/>
                <w14:textFill>
                  <w14:solidFill>
                    <w14:schemeClr w14:val="tx1"/>
                  </w14:solidFill>
                </w14:textFill>
              </w:rPr>
              <w:t>。除此之外，原有项目其他工程内容、规模及平面布置保持不变。</w:t>
            </w:r>
          </w:p>
          <w:p w14:paraId="17F65EDC">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项目由主体工程、辅助工程、共用工程、环保工程组成。项目建设内容以及与原项目依托关系见表2-1。</w:t>
            </w:r>
          </w:p>
          <w:p w14:paraId="7BCA9964">
            <w:pPr>
              <w:numPr>
                <w:ilvl w:val="255"/>
                <w:numId w:val="0"/>
              </w:numPr>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表2-1 项目建设内容及与原项目依托关系表</w:t>
            </w:r>
          </w:p>
          <w:tbl>
            <w:tblPr>
              <w:tblStyle w:val="22"/>
              <w:tblW w:w="8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997"/>
              <w:gridCol w:w="849"/>
              <w:gridCol w:w="3544"/>
              <w:gridCol w:w="2240"/>
            </w:tblGrid>
            <w:tr w14:paraId="6773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99" w:type="pct"/>
                  <w:vMerge w:val="restart"/>
                  <w:vAlign w:val="center"/>
                </w:tcPr>
                <w:p w14:paraId="4C4DB3F0">
                  <w:pPr>
                    <w:widowControl/>
                    <w:jc w:val="center"/>
                    <w:textAlignment w:val="center"/>
                    <w:rPr>
                      <w:b/>
                      <w:bCs/>
                      <w:kern w:val="0"/>
                      <w:szCs w:val="21"/>
                      <w:lang w:bidi="ar"/>
                    </w:rPr>
                  </w:pPr>
                  <w:r>
                    <w:rPr>
                      <w:b/>
                      <w:bCs/>
                      <w:kern w:val="0"/>
                      <w:szCs w:val="21"/>
                      <w:lang w:bidi="ar"/>
                    </w:rPr>
                    <w:t>类别</w:t>
                  </w:r>
                </w:p>
              </w:tc>
              <w:tc>
                <w:tcPr>
                  <w:tcW w:w="601" w:type="pct"/>
                  <w:vMerge w:val="restart"/>
                  <w:vAlign w:val="center"/>
                </w:tcPr>
                <w:p w14:paraId="5BFCD5ED">
                  <w:pPr>
                    <w:widowControl/>
                    <w:jc w:val="center"/>
                    <w:textAlignment w:val="center"/>
                    <w:rPr>
                      <w:b/>
                      <w:bCs/>
                      <w:kern w:val="0"/>
                      <w:szCs w:val="21"/>
                      <w:lang w:bidi="ar"/>
                    </w:rPr>
                  </w:pPr>
                  <w:r>
                    <w:rPr>
                      <w:rFonts w:hint="eastAsia"/>
                      <w:b/>
                      <w:bCs/>
                      <w:kern w:val="0"/>
                      <w:szCs w:val="21"/>
                      <w:lang w:bidi="ar"/>
                    </w:rPr>
                    <w:t>名称</w:t>
                  </w:r>
                </w:p>
              </w:tc>
              <w:tc>
                <w:tcPr>
                  <w:tcW w:w="512" w:type="pct"/>
                  <w:vMerge w:val="restart"/>
                  <w:vAlign w:val="center"/>
                </w:tcPr>
                <w:p w14:paraId="0DA7D9D7">
                  <w:pPr>
                    <w:widowControl/>
                    <w:jc w:val="center"/>
                    <w:textAlignment w:val="center"/>
                    <w:rPr>
                      <w:b/>
                      <w:bCs/>
                      <w:kern w:val="0"/>
                      <w:szCs w:val="21"/>
                      <w:lang w:bidi="ar"/>
                    </w:rPr>
                  </w:pPr>
                  <w:r>
                    <w:rPr>
                      <w:rFonts w:hint="eastAsia"/>
                      <w:b/>
                      <w:bCs/>
                      <w:kern w:val="0"/>
                      <w:szCs w:val="21"/>
                      <w:lang w:bidi="ar"/>
                    </w:rPr>
                    <w:t>组成</w:t>
                  </w:r>
                </w:p>
              </w:tc>
              <w:tc>
                <w:tcPr>
                  <w:tcW w:w="3488" w:type="pct"/>
                  <w:gridSpan w:val="2"/>
                  <w:vAlign w:val="center"/>
                </w:tcPr>
                <w:p w14:paraId="304F2610">
                  <w:pPr>
                    <w:widowControl/>
                    <w:jc w:val="center"/>
                    <w:textAlignment w:val="center"/>
                    <w:rPr>
                      <w:b/>
                      <w:bCs/>
                      <w:kern w:val="0"/>
                      <w:szCs w:val="21"/>
                      <w:lang w:bidi="ar"/>
                    </w:rPr>
                  </w:pPr>
                  <w:r>
                    <w:rPr>
                      <w:b/>
                      <w:bCs/>
                      <w:kern w:val="0"/>
                      <w:szCs w:val="21"/>
                      <w:lang w:bidi="ar"/>
                    </w:rPr>
                    <w:t>工程</w:t>
                  </w:r>
                  <w:r>
                    <w:rPr>
                      <w:rFonts w:hint="eastAsia"/>
                      <w:b/>
                      <w:bCs/>
                      <w:kern w:val="0"/>
                      <w:szCs w:val="21"/>
                      <w:lang w:bidi="ar"/>
                    </w:rPr>
                    <w:t>内容及规模</w:t>
                  </w:r>
                </w:p>
              </w:tc>
            </w:tr>
            <w:tr w14:paraId="35B9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99" w:type="pct"/>
                  <w:vMerge w:val="continue"/>
                  <w:vAlign w:val="center"/>
                </w:tcPr>
                <w:p w14:paraId="5EFE83C2">
                  <w:pPr>
                    <w:widowControl/>
                    <w:jc w:val="center"/>
                    <w:textAlignment w:val="center"/>
                    <w:rPr>
                      <w:kern w:val="0"/>
                      <w:szCs w:val="21"/>
                      <w:lang w:bidi="ar"/>
                    </w:rPr>
                  </w:pPr>
                </w:p>
              </w:tc>
              <w:tc>
                <w:tcPr>
                  <w:tcW w:w="601" w:type="pct"/>
                  <w:vMerge w:val="continue"/>
                  <w:vAlign w:val="center"/>
                </w:tcPr>
                <w:p w14:paraId="65118E7A">
                  <w:pPr>
                    <w:widowControl/>
                    <w:jc w:val="center"/>
                    <w:textAlignment w:val="center"/>
                    <w:rPr>
                      <w:kern w:val="0"/>
                      <w:szCs w:val="21"/>
                      <w:lang w:bidi="ar"/>
                    </w:rPr>
                  </w:pPr>
                </w:p>
              </w:tc>
              <w:tc>
                <w:tcPr>
                  <w:tcW w:w="512" w:type="pct"/>
                  <w:vMerge w:val="continue"/>
                  <w:vAlign w:val="center"/>
                </w:tcPr>
                <w:p w14:paraId="6D93D8D3">
                  <w:pPr>
                    <w:widowControl/>
                    <w:jc w:val="center"/>
                    <w:textAlignment w:val="center"/>
                    <w:rPr>
                      <w:kern w:val="0"/>
                      <w:szCs w:val="21"/>
                      <w:lang w:bidi="ar"/>
                    </w:rPr>
                  </w:pPr>
                </w:p>
              </w:tc>
              <w:tc>
                <w:tcPr>
                  <w:tcW w:w="2137" w:type="pct"/>
                  <w:vAlign w:val="center"/>
                </w:tcPr>
                <w:p w14:paraId="5BF2162E">
                  <w:pPr>
                    <w:widowControl/>
                    <w:jc w:val="center"/>
                    <w:textAlignment w:val="center"/>
                    <w:rPr>
                      <w:b/>
                      <w:bCs/>
                      <w:kern w:val="0"/>
                      <w:szCs w:val="21"/>
                      <w:lang w:bidi="ar"/>
                    </w:rPr>
                  </w:pPr>
                  <w:r>
                    <w:rPr>
                      <w:rFonts w:hint="eastAsia"/>
                      <w:b/>
                      <w:bCs/>
                      <w:kern w:val="0"/>
                      <w:szCs w:val="21"/>
                      <w:lang w:bidi="ar"/>
                    </w:rPr>
                    <w:t>原项目情况</w:t>
                  </w:r>
                </w:p>
              </w:tc>
              <w:tc>
                <w:tcPr>
                  <w:tcW w:w="1351" w:type="pct"/>
                  <w:vAlign w:val="center"/>
                </w:tcPr>
                <w:p w14:paraId="7149C28B">
                  <w:pPr>
                    <w:widowControl/>
                    <w:jc w:val="center"/>
                    <w:textAlignment w:val="center"/>
                    <w:rPr>
                      <w:b/>
                      <w:bCs/>
                      <w:kern w:val="0"/>
                      <w:szCs w:val="21"/>
                      <w:lang w:bidi="ar"/>
                    </w:rPr>
                  </w:pPr>
                  <w:r>
                    <w:rPr>
                      <w:rFonts w:hint="eastAsia"/>
                      <w:b/>
                      <w:bCs/>
                      <w:kern w:val="0"/>
                      <w:szCs w:val="21"/>
                      <w:lang w:bidi="ar"/>
                    </w:rPr>
                    <w:t>本项目情况</w:t>
                  </w:r>
                </w:p>
              </w:tc>
            </w:tr>
            <w:tr w14:paraId="13F0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99" w:type="pct"/>
                  <w:vMerge w:val="restart"/>
                  <w:vAlign w:val="center"/>
                </w:tcPr>
                <w:p w14:paraId="65A7C61A">
                  <w:pPr>
                    <w:widowControl/>
                    <w:jc w:val="center"/>
                    <w:textAlignment w:val="center"/>
                    <w:rPr>
                      <w:color w:val="000000"/>
                      <w:kern w:val="0"/>
                      <w:szCs w:val="21"/>
                      <w:lang w:bidi="ar"/>
                    </w:rPr>
                  </w:pPr>
                  <w:r>
                    <w:rPr>
                      <w:color w:val="000000"/>
                      <w:kern w:val="0"/>
                      <w:szCs w:val="21"/>
                      <w:lang w:bidi="ar"/>
                    </w:rPr>
                    <w:t>主体工程</w:t>
                  </w:r>
                </w:p>
              </w:tc>
              <w:tc>
                <w:tcPr>
                  <w:tcW w:w="1113" w:type="pct"/>
                  <w:gridSpan w:val="2"/>
                  <w:vAlign w:val="center"/>
                </w:tcPr>
                <w:p w14:paraId="59212522">
                  <w:pPr>
                    <w:widowControl/>
                    <w:jc w:val="center"/>
                    <w:textAlignment w:val="center"/>
                    <w:rPr>
                      <w:color w:val="000000"/>
                      <w:kern w:val="0"/>
                      <w:szCs w:val="21"/>
                      <w:lang w:bidi="ar"/>
                    </w:rPr>
                  </w:pPr>
                  <w:r>
                    <w:rPr>
                      <w:color w:val="000000"/>
                      <w:kern w:val="0"/>
                      <w:szCs w:val="21"/>
                      <w:lang w:bidi="ar"/>
                    </w:rPr>
                    <w:t>羊街牛市大型畜产品综合交易市场项</w:t>
                  </w:r>
                  <w:r>
                    <w:rPr>
                      <w:rFonts w:hint="eastAsia"/>
                      <w:color w:val="000000"/>
                      <w:kern w:val="0"/>
                      <w:szCs w:val="21"/>
                      <w:lang w:bidi="ar"/>
                    </w:rPr>
                    <w:t>目</w:t>
                  </w:r>
                </w:p>
              </w:tc>
              <w:tc>
                <w:tcPr>
                  <w:tcW w:w="2137" w:type="pct"/>
                  <w:vAlign w:val="center"/>
                </w:tcPr>
                <w:p w14:paraId="679A667C">
                  <w:pPr>
                    <w:widowControl/>
                    <w:textAlignment w:val="center"/>
                    <w:rPr>
                      <w:color w:val="000000"/>
                      <w:kern w:val="0"/>
                      <w:szCs w:val="21"/>
                      <w:lang w:bidi="ar"/>
                    </w:rPr>
                  </w:pPr>
                  <w:r>
                    <w:rPr>
                      <w:rFonts w:hint="eastAsia"/>
                      <w:color w:val="000000"/>
                      <w:kern w:val="0"/>
                      <w:szCs w:val="21"/>
                      <w:lang w:bidi="ar"/>
                    </w:rPr>
                    <w:t>1</w:t>
                  </w:r>
                  <w:r>
                    <w:rPr>
                      <w:color w:val="000000"/>
                      <w:kern w:val="0"/>
                      <w:szCs w:val="21"/>
                      <w:lang w:bidi="ar"/>
                    </w:rPr>
                    <w:t>层钢结构大棚，半封闭</w:t>
                  </w:r>
                  <w:r>
                    <w:rPr>
                      <w:rFonts w:hint="eastAsia"/>
                      <w:color w:val="000000"/>
                      <w:kern w:val="0"/>
                      <w:szCs w:val="21"/>
                      <w:lang w:bidi="ar"/>
                    </w:rPr>
                    <w:t>，</w:t>
                  </w:r>
                  <w:r>
                    <w:rPr>
                      <w:color w:val="000000"/>
                      <w:kern w:val="0"/>
                      <w:szCs w:val="21"/>
                      <w:lang w:bidi="ar"/>
                    </w:rPr>
                    <w:t>建筑面积13856m</w:t>
                  </w:r>
                  <w:r>
                    <w:rPr>
                      <w:color w:val="000000"/>
                      <w:kern w:val="0"/>
                      <w:szCs w:val="21"/>
                      <w:vertAlign w:val="superscript"/>
                      <w:lang w:bidi="ar"/>
                    </w:rPr>
                    <w:t>2</w:t>
                  </w:r>
                  <w:r>
                    <w:rPr>
                      <w:color w:val="000000"/>
                      <w:kern w:val="0"/>
                      <w:szCs w:val="21"/>
                      <w:lang w:bidi="ar"/>
                    </w:rPr>
                    <w:t>，位于厂区南侧。</w:t>
                  </w:r>
                </w:p>
              </w:tc>
              <w:tc>
                <w:tcPr>
                  <w:tcW w:w="1351" w:type="pct"/>
                  <w:vAlign w:val="center"/>
                </w:tcPr>
                <w:p w14:paraId="295A9AC9">
                  <w:pPr>
                    <w:widowControl/>
                    <w:jc w:val="center"/>
                    <w:textAlignment w:val="center"/>
                    <w:rPr>
                      <w:color w:val="000000"/>
                      <w:kern w:val="0"/>
                      <w:szCs w:val="21"/>
                      <w:lang w:bidi="ar"/>
                    </w:rPr>
                  </w:pPr>
                  <w:r>
                    <w:rPr>
                      <w:rFonts w:hint="eastAsia"/>
                      <w:color w:val="000000"/>
                      <w:kern w:val="0"/>
                      <w:szCs w:val="21"/>
                      <w:lang w:bidi="ar"/>
                    </w:rPr>
                    <w:t>不涉及</w:t>
                  </w:r>
                </w:p>
              </w:tc>
            </w:tr>
            <w:tr w14:paraId="74D7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99" w:type="pct"/>
                  <w:vMerge w:val="continue"/>
                  <w:vAlign w:val="center"/>
                </w:tcPr>
                <w:p w14:paraId="18303C7B">
                  <w:pPr>
                    <w:widowControl/>
                    <w:jc w:val="center"/>
                    <w:textAlignment w:val="center"/>
                    <w:rPr>
                      <w:color w:val="000000"/>
                      <w:kern w:val="0"/>
                      <w:szCs w:val="21"/>
                      <w:lang w:bidi="ar"/>
                    </w:rPr>
                  </w:pPr>
                </w:p>
              </w:tc>
              <w:tc>
                <w:tcPr>
                  <w:tcW w:w="601" w:type="pct"/>
                  <w:vMerge w:val="restart"/>
                  <w:vAlign w:val="center"/>
                </w:tcPr>
                <w:p w14:paraId="0D8D04F1">
                  <w:pPr>
                    <w:widowControl/>
                    <w:jc w:val="center"/>
                    <w:textAlignment w:val="center"/>
                    <w:rPr>
                      <w:color w:val="000000"/>
                      <w:kern w:val="0"/>
                      <w:szCs w:val="21"/>
                      <w:lang w:bidi="ar"/>
                    </w:rPr>
                  </w:pPr>
                  <w:r>
                    <w:rPr>
                      <w:color w:val="000000"/>
                      <w:kern w:val="0"/>
                      <w:szCs w:val="21"/>
                      <w:lang w:bidi="ar"/>
                    </w:rPr>
                    <w:t>30000头/年肉牛屠宰项目</w:t>
                  </w:r>
                </w:p>
              </w:tc>
              <w:tc>
                <w:tcPr>
                  <w:tcW w:w="512" w:type="pct"/>
                  <w:vAlign w:val="center"/>
                </w:tcPr>
                <w:p w14:paraId="76034540">
                  <w:pPr>
                    <w:widowControl/>
                    <w:jc w:val="center"/>
                    <w:textAlignment w:val="center"/>
                    <w:rPr>
                      <w:color w:val="000000"/>
                      <w:kern w:val="0"/>
                      <w:szCs w:val="21"/>
                      <w:lang w:bidi="ar"/>
                    </w:rPr>
                  </w:pPr>
                  <w:r>
                    <w:rPr>
                      <w:rFonts w:hint="eastAsia"/>
                      <w:color w:val="000000"/>
                      <w:kern w:val="0"/>
                      <w:szCs w:val="21"/>
                      <w:lang w:bidi="ar"/>
                    </w:rPr>
                    <w:t>饲料间</w:t>
                  </w:r>
                </w:p>
              </w:tc>
              <w:tc>
                <w:tcPr>
                  <w:tcW w:w="2137" w:type="pct"/>
                  <w:vAlign w:val="center"/>
                </w:tcPr>
                <w:p w14:paraId="76848ED3">
                  <w:pPr>
                    <w:widowControl/>
                    <w:textAlignment w:val="center"/>
                    <w:rPr>
                      <w:color w:val="000000"/>
                      <w:kern w:val="0"/>
                      <w:szCs w:val="21"/>
                      <w:lang w:bidi="ar"/>
                    </w:rPr>
                  </w:pPr>
                  <w:r>
                    <w:rPr>
                      <w:rFonts w:hint="eastAsia"/>
                      <w:color w:val="000000"/>
                      <w:kern w:val="0"/>
                      <w:szCs w:val="21"/>
                      <w:lang w:bidi="ar"/>
                    </w:rPr>
                    <w:t>1层钢结构，建筑面积760m</w:t>
                  </w:r>
                  <w:r>
                    <w:rPr>
                      <w:rFonts w:hint="eastAsia"/>
                      <w:color w:val="000000"/>
                      <w:kern w:val="0"/>
                      <w:szCs w:val="21"/>
                      <w:vertAlign w:val="superscript"/>
                      <w:lang w:bidi="ar"/>
                    </w:rPr>
                    <w:t>2</w:t>
                  </w:r>
                  <w:r>
                    <w:rPr>
                      <w:rFonts w:hint="eastAsia"/>
                      <w:color w:val="000000"/>
                      <w:kern w:val="0"/>
                      <w:szCs w:val="21"/>
                      <w:lang w:bidi="ar"/>
                    </w:rPr>
                    <w:t>，位于厂区西北侧。</w:t>
                  </w:r>
                </w:p>
              </w:tc>
              <w:tc>
                <w:tcPr>
                  <w:tcW w:w="1351" w:type="pct"/>
                  <w:vAlign w:val="center"/>
                </w:tcPr>
                <w:p w14:paraId="5668281E">
                  <w:pPr>
                    <w:widowControl/>
                    <w:jc w:val="center"/>
                    <w:textAlignment w:val="center"/>
                    <w:rPr>
                      <w:color w:val="000000"/>
                      <w:kern w:val="0"/>
                      <w:szCs w:val="21"/>
                      <w:lang w:bidi="ar"/>
                    </w:rPr>
                  </w:pPr>
                  <w:r>
                    <w:rPr>
                      <w:rFonts w:hint="eastAsia"/>
                      <w:color w:val="000000"/>
                      <w:kern w:val="0"/>
                      <w:szCs w:val="21"/>
                      <w:lang w:bidi="ar"/>
                    </w:rPr>
                    <w:t>依托</w:t>
                  </w:r>
                </w:p>
              </w:tc>
            </w:tr>
            <w:tr w14:paraId="3DAF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99" w:type="pct"/>
                  <w:vMerge w:val="continue"/>
                  <w:vAlign w:val="center"/>
                </w:tcPr>
                <w:p w14:paraId="18514A49">
                  <w:pPr>
                    <w:widowControl/>
                    <w:jc w:val="center"/>
                    <w:textAlignment w:val="center"/>
                    <w:rPr>
                      <w:color w:val="000000"/>
                      <w:kern w:val="0"/>
                      <w:szCs w:val="21"/>
                      <w:lang w:bidi="ar"/>
                    </w:rPr>
                  </w:pPr>
                </w:p>
              </w:tc>
              <w:tc>
                <w:tcPr>
                  <w:tcW w:w="601" w:type="pct"/>
                  <w:vMerge w:val="continue"/>
                  <w:vAlign w:val="center"/>
                </w:tcPr>
                <w:p w14:paraId="019B834D">
                  <w:pPr>
                    <w:widowControl/>
                    <w:jc w:val="center"/>
                    <w:textAlignment w:val="center"/>
                    <w:rPr>
                      <w:color w:val="000000"/>
                      <w:kern w:val="0"/>
                      <w:szCs w:val="21"/>
                      <w:lang w:bidi="ar"/>
                    </w:rPr>
                  </w:pPr>
                </w:p>
              </w:tc>
              <w:tc>
                <w:tcPr>
                  <w:tcW w:w="512" w:type="pct"/>
                  <w:vAlign w:val="center"/>
                </w:tcPr>
                <w:p w14:paraId="4608DDF7">
                  <w:pPr>
                    <w:widowControl/>
                    <w:jc w:val="center"/>
                    <w:textAlignment w:val="center"/>
                    <w:rPr>
                      <w:color w:val="000000"/>
                      <w:kern w:val="0"/>
                      <w:szCs w:val="21"/>
                      <w:lang w:bidi="ar"/>
                    </w:rPr>
                  </w:pPr>
                  <w:r>
                    <w:rPr>
                      <w:rFonts w:hint="eastAsia"/>
                      <w:color w:val="000000"/>
                      <w:kern w:val="0"/>
                      <w:szCs w:val="21"/>
                      <w:lang w:bidi="ar"/>
                    </w:rPr>
                    <w:t>冷库</w:t>
                  </w:r>
                </w:p>
              </w:tc>
              <w:tc>
                <w:tcPr>
                  <w:tcW w:w="2137" w:type="pct"/>
                  <w:vAlign w:val="center"/>
                </w:tcPr>
                <w:p w14:paraId="5D382106">
                  <w:pPr>
                    <w:widowControl/>
                    <w:textAlignment w:val="center"/>
                    <w:rPr>
                      <w:color w:val="000000"/>
                      <w:kern w:val="0"/>
                      <w:szCs w:val="21"/>
                      <w:lang w:bidi="ar"/>
                    </w:rPr>
                  </w:pPr>
                  <w:r>
                    <w:rPr>
                      <w:rFonts w:hint="eastAsia"/>
                      <w:color w:val="000000"/>
                      <w:kern w:val="0"/>
                      <w:szCs w:val="21"/>
                      <w:lang w:bidi="ar"/>
                    </w:rPr>
                    <w:t>1层砖房，全封闭，建筑面积960m</w:t>
                  </w:r>
                  <w:r>
                    <w:rPr>
                      <w:rFonts w:hint="eastAsia"/>
                      <w:color w:val="000000"/>
                      <w:kern w:val="0"/>
                      <w:szCs w:val="21"/>
                      <w:vertAlign w:val="superscript"/>
                      <w:lang w:bidi="ar"/>
                    </w:rPr>
                    <w:t>2</w:t>
                  </w:r>
                  <w:r>
                    <w:rPr>
                      <w:rFonts w:hint="eastAsia"/>
                      <w:color w:val="000000"/>
                      <w:kern w:val="0"/>
                      <w:szCs w:val="21"/>
                      <w:lang w:bidi="ar"/>
                    </w:rPr>
                    <w:t>，包含高温冷库、速冻库、成品冷库，位于厂区中心东侧。</w:t>
                  </w:r>
                </w:p>
              </w:tc>
              <w:tc>
                <w:tcPr>
                  <w:tcW w:w="1351" w:type="pct"/>
                  <w:vAlign w:val="center"/>
                </w:tcPr>
                <w:p w14:paraId="4D57D5BF">
                  <w:pPr>
                    <w:widowControl/>
                    <w:jc w:val="center"/>
                    <w:textAlignment w:val="center"/>
                    <w:rPr>
                      <w:color w:val="000000"/>
                      <w:kern w:val="0"/>
                      <w:szCs w:val="21"/>
                      <w:lang w:bidi="ar"/>
                    </w:rPr>
                  </w:pPr>
                  <w:r>
                    <w:rPr>
                      <w:rFonts w:hint="eastAsia"/>
                      <w:color w:val="000000"/>
                      <w:kern w:val="0"/>
                      <w:szCs w:val="21"/>
                      <w:lang w:bidi="ar"/>
                    </w:rPr>
                    <w:t>依托</w:t>
                  </w:r>
                </w:p>
              </w:tc>
            </w:tr>
            <w:tr w14:paraId="572C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99" w:type="pct"/>
                  <w:vMerge w:val="continue"/>
                  <w:vAlign w:val="center"/>
                </w:tcPr>
                <w:p w14:paraId="1CC426B9">
                  <w:pPr>
                    <w:widowControl/>
                    <w:jc w:val="center"/>
                    <w:textAlignment w:val="center"/>
                    <w:rPr>
                      <w:color w:val="000000"/>
                      <w:kern w:val="0"/>
                      <w:szCs w:val="21"/>
                      <w:lang w:bidi="ar"/>
                    </w:rPr>
                  </w:pPr>
                </w:p>
              </w:tc>
              <w:tc>
                <w:tcPr>
                  <w:tcW w:w="601" w:type="pct"/>
                  <w:vMerge w:val="continue"/>
                  <w:vAlign w:val="center"/>
                </w:tcPr>
                <w:p w14:paraId="2C0E379D">
                  <w:pPr>
                    <w:widowControl/>
                    <w:jc w:val="center"/>
                    <w:textAlignment w:val="center"/>
                    <w:rPr>
                      <w:color w:val="000000"/>
                      <w:kern w:val="0"/>
                      <w:szCs w:val="21"/>
                      <w:lang w:bidi="ar"/>
                    </w:rPr>
                  </w:pPr>
                </w:p>
              </w:tc>
              <w:tc>
                <w:tcPr>
                  <w:tcW w:w="512" w:type="pct"/>
                  <w:vAlign w:val="center"/>
                </w:tcPr>
                <w:p w14:paraId="3878428D">
                  <w:pPr>
                    <w:widowControl/>
                    <w:jc w:val="center"/>
                    <w:textAlignment w:val="center"/>
                    <w:rPr>
                      <w:color w:val="000000"/>
                      <w:kern w:val="0"/>
                      <w:szCs w:val="21"/>
                      <w:lang w:bidi="ar"/>
                    </w:rPr>
                  </w:pPr>
                  <w:r>
                    <w:rPr>
                      <w:rFonts w:hint="eastAsia"/>
                      <w:color w:val="000000"/>
                      <w:kern w:val="0"/>
                      <w:szCs w:val="21"/>
                      <w:lang w:bidi="ar"/>
                    </w:rPr>
                    <w:t>肉牛待宰圈</w:t>
                  </w:r>
                </w:p>
              </w:tc>
              <w:tc>
                <w:tcPr>
                  <w:tcW w:w="2137" w:type="pct"/>
                  <w:vAlign w:val="center"/>
                </w:tcPr>
                <w:p w14:paraId="789DDDC1">
                  <w:pPr>
                    <w:widowControl/>
                    <w:textAlignment w:val="center"/>
                    <w:rPr>
                      <w:color w:val="000000"/>
                      <w:kern w:val="0"/>
                      <w:szCs w:val="21"/>
                      <w:lang w:bidi="ar"/>
                    </w:rPr>
                  </w:pPr>
                  <w:r>
                    <w:rPr>
                      <w:rFonts w:hint="eastAsia"/>
                      <w:color w:val="000000"/>
                      <w:kern w:val="0"/>
                      <w:szCs w:val="21"/>
                      <w:lang w:bidi="ar"/>
                    </w:rPr>
                    <w:t>1个钢结构大棚，半封闭，建筑面积2100m</w:t>
                  </w:r>
                  <w:r>
                    <w:rPr>
                      <w:rFonts w:hint="eastAsia"/>
                      <w:color w:val="000000"/>
                      <w:kern w:val="0"/>
                      <w:szCs w:val="21"/>
                      <w:vertAlign w:val="superscript"/>
                      <w:lang w:bidi="ar"/>
                    </w:rPr>
                    <w:t>2</w:t>
                  </w:r>
                  <w:r>
                    <w:rPr>
                      <w:rFonts w:hint="eastAsia"/>
                      <w:color w:val="000000"/>
                      <w:kern w:val="0"/>
                      <w:szCs w:val="21"/>
                      <w:lang w:bidi="ar"/>
                    </w:rPr>
                    <w:t>，位于厂区中心东北侧。</w:t>
                  </w:r>
                </w:p>
              </w:tc>
              <w:tc>
                <w:tcPr>
                  <w:tcW w:w="1351" w:type="pct"/>
                  <w:vAlign w:val="center"/>
                </w:tcPr>
                <w:p w14:paraId="5B5140B4">
                  <w:pPr>
                    <w:widowControl/>
                    <w:jc w:val="center"/>
                    <w:textAlignment w:val="center"/>
                    <w:rPr>
                      <w:color w:val="000000"/>
                      <w:kern w:val="0"/>
                      <w:szCs w:val="21"/>
                      <w:lang w:bidi="ar"/>
                    </w:rPr>
                  </w:pPr>
                  <w:r>
                    <w:rPr>
                      <w:rFonts w:hint="eastAsia"/>
                      <w:color w:val="000000"/>
                      <w:kern w:val="0"/>
                      <w:szCs w:val="21"/>
                      <w:lang w:bidi="ar"/>
                    </w:rPr>
                    <w:t>不涉及</w:t>
                  </w:r>
                </w:p>
              </w:tc>
            </w:tr>
            <w:tr w14:paraId="0676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99" w:type="pct"/>
                  <w:vMerge w:val="continue"/>
                  <w:vAlign w:val="center"/>
                </w:tcPr>
                <w:p w14:paraId="2DA8AE87">
                  <w:pPr>
                    <w:widowControl/>
                    <w:jc w:val="center"/>
                    <w:textAlignment w:val="center"/>
                    <w:rPr>
                      <w:color w:val="000000"/>
                      <w:kern w:val="0"/>
                      <w:szCs w:val="21"/>
                      <w:lang w:bidi="ar"/>
                    </w:rPr>
                  </w:pPr>
                </w:p>
              </w:tc>
              <w:tc>
                <w:tcPr>
                  <w:tcW w:w="601" w:type="pct"/>
                  <w:vMerge w:val="continue"/>
                  <w:vAlign w:val="center"/>
                </w:tcPr>
                <w:p w14:paraId="3B3C45F0">
                  <w:pPr>
                    <w:widowControl/>
                    <w:jc w:val="center"/>
                    <w:textAlignment w:val="center"/>
                    <w:rPr>
                      <w:color w:val="000000"/>
                      <w:kern w:val="0"/>
                      <w:szCs w:val="21"/>
                      <w:lang w:bidi="ar"/>
                    </w:rPr>
                  </w:pPr>
                </w:p>
              </w:tc>
              <w:tc>
                <w:tcPr>
                  <w:tcW w:w="512" w:type="pct"/>
                  <w:vAlign w:val="center"/>
                </w:tcPr>
                <w:p w14:paraId="1253DA50">
                  <w:pPr>
                    <w:widowControl/>
                    <w:jc w:val="center"/>
                    <w:textAlignment w:val="center"/>
                    <w:rPr>
                      <w:color w:val="000000"/>
                      <w:kern w:val="0"/>
                      <w:szCs w:val="21"/>
                      <w:lang w:bidi="ar"/>
                    </w:rPr>
                  </w:pPr>
                  <w:r>
                    <w:rPr>
                      <w:rFonts w:hint="eastAsia"/>
                      <w:color w:val="000000"/>
                      <w:kern w:val="0"/>
                      <w:szCs w:val="21"/>
                      <w:lang w:bidi="ar"/>
                    </w:rPr>
                    <w:t>原料青储池</w:t>
                  </w:r>
                </w:p>
              </w:tc>
              <w:tc>
                <w:tcPr>
                  <w:tcW w:w="2137" w:type="pct"/>
                  <w:vAlign w:val="center"/>
                </w:tcPr>
                <w:p w14:paraId="35EAE589">
                  <w:pPr>
                    <w:widowControl/>
                    <w:textAlignment w:val="center"/>
                    <w:rPr>
                      <w:color w:val="000000"/>
                      <w:kern w:val="0"/>
                      <w:szCs w:val="21"/>
                      <w:lang w:bidi="ar"/>
                    </w:rPr>
                  </w:pPr>
                  <w:r>
                    <w:rPr>
                      <w:rFonts w:hint="eastAsia"/>
                      <w:color w:val="000000"/>
                      <w:kern w:val="0"/>
                      <w:szCs w:val="21"/>
                      <w:lang w:bidi="ar"/>
                    </w:rPr>
                    <w:t>1个钢结构大棚，半封闭，建筑面积730m</w:t>
                  </w:r>
                  <w:r>
                    <w:rPr>
                      <w:rFonts w:hint="eastAsia"/>
                      <w:color w:val="000000"/>
                      <w:kern w:val="0"/>
                      <w:szCs w:val="21"/>
                      <w:vertAlign w:val="superscript"/>
                      <w:lang w:bidi="ar"/>
                    </w:rPr>
                    <w:t>2</w:t>
                  </w:r>
                  <w:r>
                    <w:rPr>
                      <w:rFonts w:hint="eastAsia"/>
                      <w:color w:val="000000"/>
                      <w:kern w:val="0"/>
                      <w:szCs w:val="21"/>
                      <w:lang w:bidi="ar"/>
                    </w:rPr>
                    <w:t>，位于厂区中心东北侧。</w:t>
                  </w:r>
                </w:p>
              </w:tc>
              <w:tc>
                <w:tcPr>
                  <w:tcW w:w="1351" w:type="pct"/>
                  <w:vAlign w:val="center"/>
                </w:tcPr>
                <w:p w14:paraId="0F7494A3">
                  <w:pPr>
                    <w:widowControl/>
                    <w:jc w:val="center"/>
                    <w:textAlignment w:val="center"/>
                    <w:rPr>
                      <w:color w:val="000000"/>
                      <w:kern w:val="0"/>
                      <w:szCs w:val="21"/>
                      <w:lang w:bidi="ar"/>
                    </w:rPr>
                  </w:pPr>
                  <w:r>
                    <w:rPr>
                      <w:rFonts w:hint="eastAsia"/>
                      <w:color w:val="000000"/>
                      <w:kern w:val="0"/>
                      <w:szCs w:val="21"/>
                      <w:lang w:bidi="ar"/>
                    </w:rPr>
                    <w:t>改建为肉羊待宰圈</w:t>
                  </w:r>
                </w:p>
              </w:tc>
            </w:tr>
            <w:tr w14:paraId="14F0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99" w:type="pct"/>
                  <w:vMerge w:val="continue"/>
                  <w:vAlign w:val="center"/>
                </w:tcPr>
                <w:p w14:paraId="5334F5B9">
                  <w:pPr>
                    <w:widowControl/>
                    <w:jc w:val="center"/>
                    <w:textAlignment w:val="center"/>
                    <w:rPr>
                      <w:color w:val="000000"/>
                      <w:kern w:val="0"/>
                      <w:szCs w:val="21"/>
                      <w:lang w:bidi="ar"/>
                    </w:rPr>
                  </w:pPr>
                </w:p>
              </w:tc>
              <w:tc>
                <w:tcPr>
                  <w:tcW w:w="601" w:type="pct"/>
                  <w:vMerge w:val="continue"/>
                  <w:vAlign w:val="center"/>
                </w:tcPr>
                <w:p w14:paraId="31C396E5">
                  <w:pPr>
                    <w:widowControl/>
                    <w:jc w:val="center"/>
                    <w:textAlignment w:val="center"/>
                    <w:rPr>
                      <w:color w:val="000000"/>
                      <w:kern w:val="0"/>
                      <w:szCs w:val="21"/>
                      <w:lang w:bidi="ar"/>
                    </w:rPr>
                  </w:pPr>
                </w:p>
              </w:tc>
              <w:tc>
                <w:tcPr>
                  <w:tcW w:w="512" w:type="pct"/>
                  <w:vAlign w:val="center"/>
                </w:tcPr>
                <w:p w14:paraId="37809D1E">
                  <w:pPr>
                    <w:widowControl/>
                    <w:jc w:val="center"/>
                    <w:textAlignment w:val="center"/>
                    <w:rPr>
                      <w:color w:val="000000"/>
                      <w:kern w:val="0"/>
                      <w:szCs w:val="21"/>
                      <w:lang w:bidi="ar"/>
                    </w:rPr>
                  </w:pPr>
                  <w:r>
                    <w:rPr>
                      <w:rFonts w:hint="eastAsia"/>
                      <w:color w:val="000000"/>
                      <w:kern w:val="0"/>
                      <w:szCs w:val="21"/>
                      <w:lang w:bidi="ar"/>
                    </w:rPr>
                    <w:t>肉牛屠宰间</w:t>
                  </w:r>
                </w:p>
              </w:tc>
              <w:tc>
                <w:tcPr>
                  <w:tcW w:w="2137" w:type="pct"/>
                  <w:vAlign w:val="center"/>
                </w:tcPr>
                <w:p w14:paraId="5C185E24">
                  <w:pPr>
                    <w:widowControl/>
                    <w:textAlignment w:val="center"/>
                    <w:rPr>
                      <w:color w:val="000000"/>
                      <w:kern w:val="0"/>
                      <w:szCs w:val="21"/>
                      <w:lang w:bidi="ar"/>
                    </w:rPr>
                  </w:pPr>
                  <w:r>
                    <w:rPr>
                      <w:rFonts w:hint="eastAsia"/>
                      <w:color w:val="000000"/>
                      <w:kern w:val="0"/>
                      <w:szCs w:val="21"/>
                      <w:lang w:bidi="ar"/>
                    </w:rPr>
                    <w:t>1层钢结构，全封闭，建筑面积3956m</w:t>
                  </w:r>
                  <w:r>
                    <w:rPr>
                      <w:rFonts w:hint="eastAsia"/>
                      <w:color w:val="000000"/>
                      <w:kern w:val="0"/>
                      <w:szCs w:val="21"/>
                      <w:vertAlign w:val="superscript"/>
                      <w:lang w:bidi="ar"/>
                    </w:rPr>
                    <w:t>2</w:t>
                  </w:r>
                  <w:r>
                    <w:rPr>
                      <w:rFonts w:hint="eastAsia"/>
                      <w:color w:val="000000"/>
                      <w:kern w:val="0"/>
                      <w:szCs w:val="21"/>
                      <w:lang w:bidi="ar"/>
                    </w:rPr>
                    <w:t>，设有肉牛屠宰线1条、速冻库1间、排酸库1间和成品库1间，位于厂区中心东北侧。</w:t>
                  </w:r>
                </w:p>
              </w:tc>
              <w:tc>
                <w:tcPr>
                  <w:tcW w:w="1351" w:type="pct"/>
                  <w:vAlign w:val="center"/>
                </w:tcPr>
                <w:p w14:paraId="2DE0678B">
                  <w:pPr>
                    <w:widowControl/>
                    <w:jc w:val="center"/>
                    <w:textAlignment w:val="center"/>
                    <w:rPr>
                      <w:color w:val="000000"/>
                      <w:kern w:val="0"/>
                      <w:szCs w:val="21"/>
                      <w:lang w:bidi="ar"/>
                    </w:rPr>
                  </w:pPr>
                  <w:r>
                    <w:rPr>
                      <w:rFonts w:hint="eastAsia"/>
                      <w:color w:val="000000"/>
                      <w:kern w:val="0"/>
                      <w:szCs w:val="21"/>
                      <w:lang w:bidi="ar"/>
                    </w:rPr>
                    <w:t>将肉牛急宰间生产线移至肉牛屠宰间，新增1台2t提升设备</w:t>
                  </w:r>
                </w:p>
              </w:tc>
            </w:tr>
            <w:tr w14:paraId="3B6D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99" w:type="pct"/>
                  <w:vMerge w:val="continue"/>
                  <w:vAlign w:val="center"/>
                </w:tcPr>
                <w:p w14:paraId="7B7AC28E">
                  <w:pPr>
                    <w:widowControl/>
                    <w:jc w:val="center"/>
                    <w:textAlignment w:val="center"/>
                    <w:rPr>
                      <w:color w:val="000000"/>
                      <w:kern w:val="0"/>
                      <w:szCs w:val="21"/>
                      <w:lang w:bidi="ar"/>
                    </w:rPr>
                  </w:pPr>
                </w:p>
              </w:tc>
              <w:tc>
                <w:tcPr>
                  <w:tcW w:w="601" w:type="pct"/>
                  <w:vMerge w:val="continue"/>
                  <w:vAlign w:val="center"/>
                </w:tcPr>
                <w:p w14:paraId="2F86C34A">
                  <w:pPr>
                    <w:widowControl/>
                    <w:jc w:val="center"/>
                    <w:textAlignment w:val="center"/>
                    <w:rPr>
                      <w:color w:val="000000"/>
                      <w:kern w:val="0"/>
                      <w:szCs w:val="21"/>
                      <w:lang w:bidi="ar"/>
                    </w:rPr>
                  </w:pPr>
                </w:p>
              </w:tc>
              <w:tc>
                <w:tcPr>
                  <w:tcW w:w="512" w:type="pct"/>
                  <w:vAlign w:val="center"/>
                </w:tcPr>
                <w:p w14:paraId="5FFEB18B">
                  <w:pPr>
                    <w:widowControl/>
                    <w:jc w:val="center"/>
                    <w:textAlignment w:val="center"/>
                    <w:rPr>
                      <w:color w:val="000000"/>
                      <w:kern w:val="0"/>
                      <w:szCs w:val="21"/>
                      <w:lang w:bidi="ar"/>
                    </w:rPr>
                  </w:pPr>
                  <w:r>
                    <w:rPr>
                      <w:rFonts w:hint="eastAsia"/>
                      <w:color w:val="000000"/>
                      <w:kern w:val="0"/>
                      <w:szCs w:val="21"/>
                      <w:lang w:bidi="ar"/>
                    </w:rPr>
                    <w:t>肉牛</w:t>
                  </w:r>
                  <w:r>
                    <w:rPr>
                      <w:color w:val="000000"/>
                      <w:kern w:val="0"/>
                      <w:szCs w:val="21"/>
                      <w:lang w:bidi="ar"/>
                    </w:rPr>
                    <w:t>急宰间</w:t>
                  </w:r>
                </w:p>
              </w:tc>
              <w:tc>
                <w:tcPr>
                  <w:tcW w:w="2137" w:type="pct"/>
                  <w:vAlign w:val="center"/>
                </w:tcPr>
                <w:p w14:paraId="48EDFC29">
                  <w:pPr>
                    <w:widowControl/>
                    <w:textAlignment w:val="center"/>
                    <w:rPr>
                      <w:color w:val="000000"/>
                      <w:kern w:val="0"/>
                      <w:szCs w:val="21"/>
                      <w:lang w:bidi="ar"/>
                    </w:rPr>
                  </w:pPr>
                  <w:r>
                    <w:rPr>
                      <w:rFonts w:hint="eastAsia"/>
                      <w:color w:val="000000"/>
                      <w:kern w:val="0"/>
                      <w:szCs w:val="21"/>
                      <w:lang w:bidi="ar"/>
                    </w:rPr>
                    <w:t>1层钢结构，全封闭，建筑面积595m</w:t>
                  </w:r>
                  <w:r>
                    <w:rPr>
                      <w:rFonts w:hint="eastAsia"/>
                      <w:color w:val="000000"/>
                      <w:kern w:val="0"/>
                      <w:szCs w:val="21"/>
                      <w:vertAlign w:val="superscript"/>
                      <w:lang w:bidi="ar"/>
                    </w:rPr>
                    <w:t>2</w:t>
                  </w:r>
                  <w:r>
                    <w:rPr>
                      <w:rFonts w:hint="eastAsia"/>
                      <w:color w:val="000000"/>
                      <w:kern w:val="0"/>
                      <w:szCs w:val="21"/>
                      <w:lang w:bidi="ar"/>
                    </w:rPr>
                    <w:t>，设有仓库1间、速冻库1间、排酸库1间和成品库1间，位于厂区东北侧。</w:t>
                  </w:r>
                </w:p>
              </w:tc>
              <w:tc>
                <w:tcPr>
                  <w:tcW w:w="1351" w:type="pct"/>
                  <w:vAlign w:val="center"/>
                </w:tcPr>
                <w:p w14:paraId="6CEF827D">
                  <w:pPr>
                    <w:widowControl/>
                    <w:jc w:val="center"/>
                    <w:textAlignment w:val="center"/>
                    <w:rPr>
                      <w:color w:val="000000"/>
                      <w:kern w:val="0"/>
                      <w:szCs w:val="21"/>
                      <w:lang w:bidi="ar"/>
                    </w:rPr>
                  </w:pPr>
                  <w:r>
                    <w:rPr>
                      <w:rFonts w:hint="eastAsia"/>
                      <w:color w:val="000000"/>
                      <w:kern w:val="0"/>
                      <w:szCs w:val="21"/>
                      <w:lang w:bidi="ar"/>
                    </w:rPr>
                    <w:t>将肉牛急宰间改建为肉羊屠宰间，原有仓库、速冻库、排酸库、成品库不变</w:t>
                  </w:r>
                </w:p>
              </w:tc>
            </w:tr>
            <w:tr w14:paraId="6EAA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99" w:type="pct"/>
                  <w:vMerge w:val="continue"/>
                  <w:vAlign w:val="center"/>
                </w:tcPr>
                <w:p w14:paraId="0357C684">
                  <w:pPr>
                    <w:widowControl/>
                    <w:jc w:val="center"/>
                    <w:textAlignment w:val="center"/>
                    <w:rPr>
                      <w:color w:val="000000"/>
                      <w:kern w:val="0"/>
                      <w:szCs w:val="21"/>
                      <w:lang w:bidi="ar"/>
                    </w:rPr>
                  </w:pPr>
                </w:p>
              </w:tc>
              <w:tc>
                <w:tcPr>
                  <w:tcW w:w="601" w:type="pct"/>
                  <w:vMerge w:val="continue"/>
                  <w:vAlign w:val="center"/>
                </w:tcPr>
                <w:p w14:paraId="59675AF7">
                  <w:pPr>
                    <w:widowControl/>
                    <w:jc w:val="center"/>
                    <w:textAlignment w:val="center"/>
                    <w:rPr>
                      <w:color w:val="000000"/>
                      <w:kern w:val="0"/>
                      <w:szCs w:val="21"/>
                      <w:lang w:bidi="ar"/>
                    </w:rPr>
                  </w:pPr>
                </w:p>
              </w:tc>
              <w:tc>
                <w:tcPr>
                  <w:tcW w:w="512" w:type="pct"/>
                  <w:vAlign w:val="center"/>
                </w:tcPr>
                <w:p w14:paraId="6D19AB97">
                  <w:pPr>
                    <w:widowControl/>
                    <w:jc w:val="center"/>
                    <w:textAlignment w:val="center"/>
                    <w:rPr>
                      <w:color w:val="000000"/>
                      <w:kern w:val="0"/>
                      <w:szCs w:val="21"/>
                      <w:lang w:bidi="ar"/>
                    </w:rPr>
                  </w:pPr>
                  <w:r>
                    <w:rPr>
                      <w:color w:val="000000"/>
                      <w:kern w:val="0"/>
                      <w:szCs w:val="21"/>
                      <w:lang w:bidi="ar"/>
                    </w:rPr>
                    <w:t>活畜暂存</w:t>
                  </w:r>
                  <w:r>
                    <w:rPr>
                      <w:rFonts w:hint="eastAsia"/>
                      <w:color w:val="000000"/>
                      <w:kern w:val="0"/>
                      <w:szCs w:val="21"/>
                      <w:lang w:bidi="ar"/>
                    </w:rPr>
                    <w:t>圈</w:t>
                  </w:r>
                </w:p>
              </w:tc>
              <w:tc>
                <w:tcPr>
                  <w:tcW w:w="2137" w:type="pct"/>
                  <w:vAlign w:val="center"/>
                </w:tcPr>
                <w:p w14:paraId="0CD8B559">
                  <w:pPr>
                    <w:widowControl/>
                    <w:textAlignment w:val="center"/>
                    <w:rPr>
                      <w:color w:val="000000"/>
                      <w:kern w:val="0"/>
                      <w:szCs w:val="21"/>
                      <w:lang w:bidi="ar"/>
                    </w:rPr>
                  </w:pPr>
                  <w:r>
                    <w:rPr>
                      <w:rFonts w:hint="eastAsia"/>
                      <w:color w:val="000000"/>
                      <w:kern w:val="0"/>
                      <w:szCs w:val="21"/>
                      <w:lang w:bidi="ar"/>
                    </w:rPr>
                    <w:t>2个1层钢结构大棚，半封闭，建筑面积分别为1950m</w:t>
                  </w:r>
                  <w:r>
                    <w:rPr>
                      <w:rFonts w:hint="eastAsia"/>
                      <w:color w:val="000000"/>
                      <w:kern w:val="0"/>
                      <w:szCs w:val="21"/>
                      <w:vertAlign w:val="superscript"/>
                      <w:lang w:bidi="ar"/>
                    </w:rPr>
                    <w:t>2</w:t>
                  </w:r>
                  <w:r>
                    <w:rPr>
                      <w:rFonts w:hint="eastAsia"/>
                      <w:color w:val="000000"/>
                      <w:kern w:val="0"/>
                      <w:szCs w:val="21"/>
                      <w:lang w:bidi="ar"/>
                    </w:rPr>
                    <w:t>、2592m</w:t>
                  </w:r>
                  <w:r>
                    <w:rPr>
                      <w:rFonts w:hint="eastAsia"/>
                      <w:color w:val="000000"/>
                      <w:kern w:val="0"/>
                      <w:szCs w:val="21"/>
                      <w:vertAlign w:val="superscript"/>
                      <w:lang w:bidi="ar"/>
                    </w:rPr>
                    <w:t>2</w:t>
                  </w:r>
                  <w:r>
                    <w:rPr>
                      <w:rFonts w:hint="eastAsia"/>
                      <w:color w:val="000000"/>
                      <w:kern w:val="0"/>
                      <w:szCs w:val="21"/>
                      <w:lang w:bidi="ar"/>
                    </w:rPr>
                    <w:t>，位于厂区西北侧。</w:t>
                  </w:r>
                </w:p>
              </w:tc>
              <w:tc>
                <w:tcPr>
                  <w:tcW w:w="1351" w:type="pct"/>
                  <w:vAlign w:val="center"/>
                </w:tcPr>
                <w:p w14:paraId="70B1C39D">
                  <w:pPr>
                    <w:widowControl/>
                    <w:jc w:val="center"/>
                    <w:textAlignment w:val="center"/>
                    <w:rPr>
                      <w:color w:val="000000"/>
                      <w:kern w:val="0"/>
                      <w:szCs w:val="21"/>
                      <w:lang w:bidi="ar"/>
                    </w:rPr>
                  </w:pPr>
                  <w:r>
                    <w:rPr>
                      <w:rFonts w:hint="eastAsia"/>
                      <w:color w:val="000000"/>
                      <w:kern w:val="0"/>
                      <w:szCs w:val="21"/>
                      <w:lang w:bidi="ar"/>
                    </w:rPr>
                    <w:t>不涉及</w:t>
                  </w:r>
                </w:p>
              </w:tc>
            </w:tr>
            <w:tr w14:paraId="7628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99" w:type="pct"/>
                  <w:vMerge w:val="continue"/>
                  <w:vAlign w:val="center"/>
                </w:tcPr>
                <w:p w14:paraId="1530E70D">
                  <w:pPr>
                    <w:widowControl/>
                    <w:jc w:val="center"/>
                    <w:textAlignment w:val="center"/>
                    <w:rPr>
                      <w:color w:val="000000"/>
                      <w:kern w:val="0"/>
                      <w:szCs w:val="21"/>
                      <w:lang w:bidi="ar"/>
                    </w:rPr>
                  </w:pPr>
                </w:p>
              </w:tc>
              <w:tc>
                <w:tcPr>
                  <w:tcW w:w="601" w:type="pct"/>
                  <w:vMerge w:val="continue"/>
                  <w:vAlign w:val="center"/>
                </w:tcPr>
                <w:p w14:paraId="101C95FF">
                  <w:pPr>
                    <w:widowControl/>
                    <w:jc w:val="center"/>
                    <w:textAlignment w:val="center"/>
                    <w:rPr>
                      <w:color w:val="000000"/>
                      <w:kern w:val="0"/>
                      <w:szCs w:val="21"/>
                      <w:lang w:bidi="ar"/>
                    </w:rPr>
                  </w:pPr>
                </w:p>
              </w:tc>
              <w:tc>
                <w:tcPr>
                  <w:tcW w:w="512" w:type="pct"/>
                  <w:vAlign w:val="center"/>
                </w:tcPr>
                <w:p w14:paraId="33B31AEC">
                  <w:pPr>
                    <w:widowControl/>
                    <w:jc w:val="center"/>
                    <w:textAlignment w:val="center"/>
                    <w:rPr>
                      <w:color w:val="000000"/>
                      <w:kern w:val="0"/>
                      <w:szCs w:val="21"/>
                      <w:lang w:bidi="ar"/>
                    </w:rPr>
                  </w:pPr>
                  <w:r>
                    <w:rPr>
                      <w:rFonts w:hint="eastAsia"/>
                      <w:color w:val="000000"/>
                      <w:kern w:val="0"/>
                      <w:szCs w:val="21"/>
                      <w:lang w:bidi="ar"/>
                    </w:rPr>
                    <w:t>检疫楼</w:t>
                  </w:r>
                </w:p>
              </w:tc>
              <w:tc>
                <w:tcPr>
                  <w:tcW w:w="2137" w:type="pct"/>
                  <w:vAlign w:val="center"/>
                </w:tcPr>
                <w:p w14:paraId="791CADEB">
                  <w:pPr>
                    <w:widowControl/>
                    <w:textAlignment w:val="center"/>
                    <w:rPr>
                      <w:color w:val="000000"/>
                      <w:kern w:val="0"/>
                      <w:szCs w:val="21"/>
                      <w:lang w:bidi="ar"/>
                    </w:rPr>
                  </w:pPr>
                  <w:r>
                    <w:rPr>
                      <w:rFonts w:hint="eastAsia"/>
                      <w:color w:val="000000"/>
                      <w:kern w:val="0"/>
                      <w:szCs w:val="21"/>
                      <w:lang w:bidi="ar"/>
                    </w:rPr>
                    <w:t>2层砖混结构，全封闭，建筑面积460m</w:t>
                  </w:r>
                  <w:r>
                    <w:rPr>
                      <w:rFonts w:hint="eastAsia"/>
                      <w:color w:val="000000"/>
                      <w:kern w:val="0"/>
                      <w:szCs w:val="21"/>
                      <w:vertAlign w:val="superscript"/>
                      <w:lang w:bidi="ar"/>
                    </w:rPr>
                    <w:t>2</w:t>
                  </w:r>
                  <w:r>
                    <w:rPr>
                      <w:rFonts w:hint="eastAsia"/>
                      <w:color w:val="000000"/>
                      <w:kern w:val="0"/>
                      <w:szCs w:val="21"/>
                      <w:lang w:bidi="ar"/>
                    </w:rPr>
                    <w:t>，位于厂区中心北侧。</w:t>
                  </w:r>
                </w:p>
              </w:tc>
              <w:tc>
                <w:tcPr>
                  <w:tcW w:w="1351" w:type="pct"/>
                  <w:vAlign w:val="center"/>
                </w:tcPr>
                <w:p w14:paraId="5C48F692">
                  <w:pPr>
                    <w:widowControl/>
                    <w:jc w:val="center"/>
                    <w:textAlignment w:val="center"/>
                    <w:rPr>
                      <w:color w:val="000000"/>
                      <w:kern w:val="0"/>
                      <w:szCs w:val="21"/>
                      <w:lang w:bidi="ar"/>
                    </w:rPr>
                  </w:pPr>
                  <w:r>
                    <w:rPr>
                      <w:rFonts w:hint="eastAsia"/>
                      <w:color w:val="000000"/>
                      <w:kern w:val="0"/>
                      <w:szCs w:val="21"/>
                      <w:lang w:bidi="ar"/>
                    </w:rPr>
                    <w:t>依托</w:t>
                  </w:r>
                </w:p>
              </w:tc>
            </w:tr>
            <w:tr w14:paraId="1EDA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399" w:type="pct"/>
                  <w:vMerge w:val="continue"/>
                  <w:vAlign w:val="center"/>
                </w:tcPr>
                <w:p w14:paraId="7FAA8F3A">
                  <w:pPr>
                    <w:widowControl/>
                    <w:jc w:val="center"/>
                    <w:textAlignment w:val="center"/>
                    <w:rPr>
                      <w:color w:val="000000"/>
                      <w:kern w:val="0"/>
                      <w:szCs w:val="21"/>
                      <w:lang w:bidi="ar"/>
                    </w:rPr>
                  </w:pPr>
                </w:p>
              </w:tc>
              <w:tc>
                <w:tcPr>
                  <w:tcW w:w="601" w:type="pct"/>
                  <w:vAlign w:val="center"/>
                </w:tcPr>
                <w:p w14:paraId="4D45B043">
                  <w:pPr>
                    <w:widowControl/>
                    <w:jc w:val="center"/>
                    <w:textAlignment w:val="center"/>
                    <w:rPr>
                      <w:color w:val="000000"/>
                      <w:kern w:val="0"/>
                      <w:szCs w:val="21"/>
                      <w:lang w:bidi="ar"/>
                    </w:rPr>
                  </w:pPr>
                  <w:r>
                    <w:rPr>
                      <w:color w:val="000000"/>
                      <w:kern w:val="0"/>
                      <w:szCs w:val="21"/>
                      <w:lang w:bidi="ar"/>
                    </w:rPr>
                    <w:t>10000吨/年优质牛肉精深加工及配送系统改扩建项目</w:t>
                  </w:r>
                </w:p>
              </w:tc>
              <w:tc>
                <w:tcPr>
                  <w:tcW w:w="512" w:type="pct"/>
                  <w:vAlign w:val="center"/>
                </w:tcPr>
                <w:p w14:paraId="0587CE7D">
                  <w:pPr>
                    <w:widowControl/>
                    <w:jc w:val="center"/>
                    <w:textAlignment w:val="center"/>
                    <w:rPr>
                      <w:color w:val="000000"/>
                      <w:kern w:val="0"/>
                      <w:szCs w:val="21"/>
                      <w:lang w:bidi="ar"/>
                    </w:rPr>
                  </w:pPr>
                  <w:r>
                    <w:rPr>
                      <w:rFonts w:hint="eastAsia"/>
                      <w:color w:val="000000"/>
                      <w:kern w:val="0"/>
                      <w:szCs w:val="21"/>
                      <w:lang w:bidi="ar"/>
                    </w:rPr>
                    <w:t>精深加工车间</w:t>
                  </w:r>
                </w:p>
              </w:tc>
              <w:tc>
                <w:tcPr>
                  <w:tcW w:w="2137" w:type="pct"/>
                  <w:vAlign w:val="center"/>
                </w:tcPr>
                <w:p w14:paraId="46094436">
                  <w:pPr>
                    <w:widowControl/>
                    <w:textAlignment w:val="center"/>
                    <w:rPr>
                      <w:color w:val="000000"/>
                      <w:kern w:val="0"/>
                      <w:szCs w:val="21"/>
                      <w:lang w:bidi="ar"/>
                    </w:rPr>
                  </w:pPr>
                  <w:r>
                    <w:rPr>
                      <w:rFonts w:hint="eastAsia"/>
                      <w:color w:val="000000"/>
                      <w:kern w:val="0"/>
                      <w:szCs w:val="21"/>
                      <w:lang w:bidi="ar"/>
                    </w:rPr>
                    <w:t>2层钢结构，全封闭，建筑面积4000m</w:t>
                  </w:r>
                  <w:r>
                    <w:rPr>
                      <w:rFonts w:hint="eastAsia"/>
                      <w:color w:val="000000"/>
                      <w:kern w:val="0"/>
                      <w:szCs w:val="21"/>
                      <w:vertAlign w:val="superscript"/>
                      <w:lang w:bidi="ar"/>
                    </w:rPr>
                    <w:t>2</w:t>
                  </w:r>
                  <w:r>
                    <w:rPr>
                      <w:rFonts w:hint="eastAsia"/>
                      <w:color w:val="000000"/>
                      <w:kern w:val="0"/>
                      <w:szCs w:val="21"/>
                      <w:lang w:bidi="ar"/>
                    </w:rPr>
                    <w:t>，位于厂区北侧。</w:t>
                  </w:r>
                </w:p>
              </w:tc>
              <w:tc>
                <w:tcPr>
                  <w:tcW w:w="1351" w:type="pct"/>
                  <w:vAlign w:val="center"/>
                </w:tcPr>
                <w:p w14:paraId="6C8AAB4C">
                  <w:pPr>
                    <w:widowControl/>
                    <w:jc w:val="center"/>
                    <w:textAlignment w:val="center"/>
                    <w:rPr>
                      <w:color w:val="000000"/>
                      <w:kern w:val="0"/>
                      <w:szCs w:val="21"/>
                      <w:lang w:bidi="ar"/>
                    </w:rPr>
                  </w:pPr>
                  <w:r>
                    <w:rPr>
                      <w:rFonts w:hint="eastAsia"/>
                      <w:color w:val="000000"/>
                      <w:kern w:val="0"/>
                      <w:szCs w:val="21"/>
                      <w:lang w:bidi="ar"/>
                    </w:rPr>
                    <w:t>不涉及</w:t>
                  </w:r>
                </w:p>
              </w:tc>
            </w:tr>
            <w:tr w14:paraId="0150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restart"/>
                  <w:vAlign w:val="center"/>
                </w:tcPr>
                <w:p w14:paraId="49D28F3D">
                  <w:pPr>
                    <w:widowControl/>
                    <w:jc w:val="center"/>
                    <w:textAlignment w:val="center"/>
                    <w:rPr>
                      <w:color w:val="000000"/>
                      <w:kern w:val="0"/>
                      <w:szCs w:val="21"/>
                      <w:lang w:bidi="ar"/>
                    </w:rPr>
                  </w:pPr>
                  <w:r>
                    <w:rPr>
                      <w:color w:val="000000"/>
                      <w:kern w:val="0"/>
                      <w:szCs w:val="21"/>
                      <w:lang w:bidi="ar"/>
                    </w:rPr>
                    <w:t>辅助工程</w:t>
                  </w:r>
                </w:p>
              </w:tc>
              <w:tc>
                <w:tcPr>
                  <w:tcW w:w="512" w:type="pct"/>
                  <w:vAlign w:val="center"/>
                </w:tcPr>
                <w:p w14:paraId="6933E85F">
                  <w:pPr>
                    <w:widowControl/>
                    <w:jc w:val="center"/>
                    <w:textAlignment w:val="center"/>
                    <w:rPr>
                      <w:color w:val="000000"/>
                      <w:kern w:val="0"/>
                      <w:szCs w:val="21"/>
                      <w:lang w:bidi="ar"/>
                    </w:rPr>
                  </w:pPr>
                  <w:r>
                    <w:rPr>
                      <w:rFonts w:hint="eastAsia"/>
                      <w:color w:val="000000"/>
                      <w:kern w:val="0"/>
                      <w:szCs w:val="21"/>
                      <w:lang w:bidi="ar"/>
                    </w:rPr>
                    <w:t>办公</w:t>
                  </w:r>
                </w:p>
                <w:p w14:paraId="2DCDE3E3">
                  <w:pPr>
                    <w:widowControl/>
                    <w:jc w:val="center"/>
                    <w:textAlignment w:val="center"/>
                    <w:rPr>
                      <w:color w:val="000000"/>
                      <w:kern w:val="0"/>
                      <w:szCs w:val="21"/>
                      <w:lang w:bidi="ar"/>
                    </w:rPr>
                  </w:pPr>
                  <w:r>
                    <w:rPr>
                      <w:rFonts w:hint="eastAsia"/>
                      <w:color w:val="000000"/>
                      <w:kern w:val="0"/>
                      <w:szCs w:val="21"/>
                      <w:lang w:bidi="ar"/>
                    </w:rPr>
                    <w:t>大楼</w:t>
                  </w:r>
                </w:p>
              </w:tc>
              <w:tc>
                <w:tcPr>
                  <w:tcW w:w="2137" w:type="pct"/>
                  <w:vAlign w:val="center"/>
                </w:tcPr>
                <w:p w14:paraId="4EAC554E">
                  <w:pPr>
                    <w:widowControl/>
                    <w:textAlignment w:val="center"/>
                    <w:rPr>
                      <w:color w:val="000000"/>
                      <w:kern w:val="0"/>
                      <w:szCs w:val="21"/>
                      <w:lang w:bidi="ar"/>
                    </w:rPr>
                  </w:pPr>
                  <w:r>
                    <w:rPr>
                      <w:rFonts w:hint="eastAsia"/>
                      <w:color w:val="000000"/>
                      <w:kern w:val="0"/>
                      <w:szCs w:val="21"/>
                      <w:lang w:bidi="ar"/>
                    </w:rPr>
                    <w:t>3层砖混结构，全封闭，建筑面积2880m</w:t>
                  </w:r>
                  <w:r>
                    <w:rPr>
                      <w:rFonts w:hint="eastAsia"/>
                      <w:color w:val="000000"/>
                      <w:kern w:val="0"/>
                      <w:szCs w:val="21"/>
                      <w:vertAlign w:val="superscript"/>
                      <w:lang w:bidi="ar"/>
                    </w:rPr>
                    <w:t>2</w:t>
                  </w:r>
                  <w:r>
                    <w:rPr>
                      <w:rFonts w:hint="eastAsia"/>
                      <w:color w:val="000000"/>
                      <w:kern w:val="0"/>
                      <w:szCs w:val="21"/>
                      <w:lang w:bidi="ar"/>
                    </w:rPr>
                    <w:t>，位于厂区中心。</w:t>
                  </w:r>
                </w:p>
              </w:tc>
              <w:tc>
                <w:tcPr>
                  <w:tcW w:w="1351" w:type="pct"/>
                  <w:vAlign w:val="center"/>
                </w:tcPr>
                <w:p w14:paraId="44516302">
                  <w:pPr>
                    <w:widowControl/>
                    <w:jc w:val="center"/>
                    <w:textAlignment w:val="center"/>
                    <w:rPr>
                      <w:color w:val="000000"/>
                      <w:kern w:val="0"/>
                      <w:szCs w:val="21"/>
                      <w:lang w:bidi="ar"/>
                    </w:rPr>
                  </w:pPr>
                  <w:r>
                    <w:rPr>
                      <w:rFonts w:hint="eastAsia"/>
                      <w:color w:val="000000"/>
                      <w:kern w:val="0"/>
                      <w:szCs w:val="21"/>
                      <w:lang w:bidi="ar"/>
                    </w:rPr>
                    <w:t>依托</w:t>
                  </w:r>
                </w:p>
              </w:tc>
            </w:tr>
            <w:tr w14:paraId="6608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continue"/>
                  <w:vAlign w:val="center"/>
                </w:tcPr>
                <w:p w14:paraId="7979D61F">
                  <w:pPr>
                    <w:widowControl/>
                    <w:jc w:val="center"/>
                    <w:textAlignment w:val="center"/>
                    <w:rPr>
                      <w:color w:val="000000"/>
                      <w:kern w:val="0"/>
                      <w:szCs w:val="21"/>
                      <w:lang w:bidi="ar"/>
                    </w:rPr>
                  </w:pPr>
                </w:p>
              </w:tc>
              <w:tc>
                <w:tcPr>
                  <w:tcW w:w="512" w:type="pct"/>
                  <w:vAlign w:val="center"/>
                </w:tcPr>
                <w:p w14:paraId="5A6AE56E">
                  <w:pPr>
                    <w:widowControl/>
                    <w:jc w:val="center"/>
                    <w:textAlignment w:val="center"/>
                    <w:rPr>
                      <w:color w:val="000000"/>
                      <w:kern w:val="0"/>
                      <w:szCs w:val="21"/>
                      <w:lang w:bidi="ar"/>
                    </w:rPr>
                  </w:pPr>
                  <w:r>
                    <w:rPr>
                      <w:rFonts w:hint="eastAsia"/>
                      <w:color w:val="000000"/>
                      <w:kern w:val="0"/>
                      <w:szCs w:val="21"/>
                      <w:lang w:bidi="ar"/>
                    </w:rPr>
                    <w:t>职工</w:t>
                  </w:r>
                </w:p>
                <w:p w14:paraId="52185561">
                  <w:pPr>
                    <w:widowControl/>
                    <w:jc w:val="center"/>
                    <w:textAlignment w:val="center"/>
                    <w:rPr>
                      <w:color w:val="000000"/>
                      <w:kern w:val="0"/>
                      <w:szCs w:val="21"/>
                      <w:lang w:bidi="ar"/>
                    </w:rPr>
                  </w:pPr>
                  <w:r>
                    <w:rPr>
                      <w:rFonts w:hint="eastAsia"/>
                      <w:color w:val="000000"/>
                      <w:kern w:val="0"/>
                      <w:szCs w:val="21"/>
                      <w:lang w:bidi="ar"/>
                    </w:rPr>
                    <w:t>食堂</w:t>
                  </w:r>
                </w:p>
              </w:tc>
              <w:tc>
                <w:tcPr>
                  <w:tcW w:w="2137" w:type="pct"/>
                  <w:vAlign w:val="center"/>
                </w:tcPr>
                <w:p w14:paraId="0A9041D5">
                  <w:pPr>
                    <w:widowControl/>
                    <w:textAlignment w:val="center"/>
                    <w:rPr>
                      <w:color w:val="000000"/>
                      <w:kern w:val="0"/>
                      <w:szCs w:val="21"/>
                      <w:lang w:bidi="ar"/>
                    </w:rPr>
                  </w:pPr>
                  <w:r>
                    <w:rPr>
                      <w:rFonts w:hint="eastAsia"/>
                      <w:color w:val="000000"/>
                      <w:kern w:val="0"/>
                      <w:szCs w:val="21"/>
                      <w:lang w:bidi="ar"/>
                    </w:rPr>
                    <w:t>2层砖混结构，全封闭，建筑面积540m</w:t>
                  </w:r>
                  <w:r>
                    <w:rPr>
                      <w:rFonts w:hint="eastAsia"/>
                      <w:color w:val="000000"/>
                      <w:kern w:val="0"/>
                      <w:szCs w:val="21"/>
                      <w:vertAlign w:val="superscript"/>
                      <w:lang w:bidi="ar"/>
                    </w:rPr>
                    <w:t>2</w:t>
                  </w:r>
                  <w:r>
                    <w:rPr>
                      <w:rFonts w:hint="eastAsia"/>
                      <w:color w:val="000000"/>
                      <w:kern w:val="0"/>
                      <w:szCs w:val="21"/>
                      <w:lang w:bidi="ar"/>
                    </w:rPr>
                    <w:t>，位于厂区西北侧。</w:t>
                  </w:r>
                </w:p>
              </w:tc>
              <w:tc>
                <w:tcPr>
                  <w:tcW w:w="1351" w:type="pct"/>
                  <w:vAlign w:val="center"/>
                </w:tcPr>
                <w:p w14:paraId="5B3A48D1">
                  <w:pPr>
                    <w:widowControl/>
                    <w:jc w:val="center"/>
                    <w:textAlignment w:val="center"/>
                    <w:rPr>
                      <w:color w:val="000000"/>
                      <w:kern w:val="0"/>
                      <w:szCs w:val="21"/>
                      <w:lang w:bidi="ar"/>
                    </w:rPr>
                  </w:pPr>
                  <w:r>
                    <w:rPr>
                      <w:rFonts w:hint="eastAsia"/>
                      <w:color w:val="000000"/>
                      <w:kern w:val="0"/>
                      <w:szCs w:val="21"/>
                      <w:lang w:bidi="ar"/>
                    </w:rPr>
                    <w:t>依托</w:t>
                  </w:r>
                </w:p>
              </w:tc>
            </w:tr>
            <w:tr w14:paraId="2EF1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continue"/>
                  <w:vAlign w:val="center"/>
                </w:tcPr>
                <w:p w14:paraId="69B8C9E8">
                  <w:pPr>
                    <w:widowControl/>
                    <w:jc w:val="center"/>
                    <w:textAlignment w:val="center"/>
                    <w:rPr>
                      <w:color w:val="000000"/>
                      <w:kern w:val="0"/>
                      <w:szCs w:val="21"/>
                      <w:lang w:bidi="ar"/>
                    </w:rPr>
                  </w:pPr>
                </w:p>
              </w:tc>
              <w:tc>
                <w:tcPr>
                  <w:tcW w:w="512" w:type="pct"/>
                  <w:vAlign w:val="center"/>
                </w:tcPr>
                <w:p w14:paraId="7126B1F4">
                  <w:pPr>
                    <w:widowControl/>
                    <w:jc w:val="center"/>
                    <w:textAlignment w:val="center"/>
                    <w:rPr>
                      <w:color w:val="000000"/>
                      <w:kern w:val="0"/>
                      <w:szCs w:val="21"/>
                      <w:lang w:bidi="ar"/>
                    </w:rPr>
                  </w:pPr>
                  <w:r>
                    <w:rPr>
                      <w:rFonts w:hint="eastAsia"/>
                      <w:color w:val="000000"/>
                      <w:kern w:val="0"/>
                      <w:szCs w:val="21"/>
                      <w:lang w:bidi="ar"/>
                    </w:rPr>
                    <w:t>交易市场餐厅</w:t>
                  </w:r>
                </w:p>
              </w:tc>
              <w:tc>
                <w:tcPr>
                  <w:tcW w:w="2137" w:type="pct"/>
                  <w:vAlign w:val="center"/>
                </w:tcPr>
                <w:p w14:paraId="7485D453">
                  <w:pPr>
                    <w:widowControl/>
                    <w:textAlignment w:val="center"/>
                    <w:rPr>
                      <w:color w:val="000000"/>
                      <w:kern w:val="0"/>
                      <w:szCs w:val="21"/>
                      <w:lang w:bidi="ar"/>
                    </w:rPr>
                  </w:pPr>
                  <w:r>
                    <w:rPr>
                      <w:rFonts w:hint="eastAsia"/>
                      <w:color w:val="000000"/>
                      <w:kern w:val="0"/>
                      <w:szCs w:val="21"/>
                      <w:lang w:bidi="ar"/>
                    </w:rPr>
                    <w:t>6个2层门市餐厅，砖混结构，全封闭，建筑面积2000m</w:t>
                  </w:r>
                  <w:r>
                    <w:rPr>
                      <w:rFonts w:hint="eastAsia"/>
                      <w:color w:val="000000"/>
                      <w:kern w:val="0"/>
                      <w:szCs w:val="21"/>
                      <w:vertAlign w:val="superscript"/>
                      <w:lang w:bidi="ar"/>
                    </w:rPr>
                    <w:t>2</w:t>
                  </w:r>
                  <w:r>
                    <w:rPr>
                      <w:rFonts w:hint="eastAsia"/>
                      <w:color w:val="000000"/>
                      <w:kern w:val="0"/>
                      <w:szCs w:val="21"/>
                      <w:lang w:bidi="ar"/>
                    </w:rPr>
                    <w:t>。</w:t>
                  </w:r>
                </w:p>
              </w:tc>
              <w:tc>
                <w:tcPr>
                  <w:tcW w:w="1351" w:type="pct"/>
                  <w:vAlign w:val="center"/>
                </w:tcPr>
                <w:p w14:paraId="4D2F6991">
                  <w:pPr>
                    <w:widowControl/>
                    <w:jc w:val="center"/>
                    <w:textAlignment w:val="center"/>
                    <w:rPr>
                      <w:color w:val="000000"/>
                      <w:kern w:val="0"/>
                      <w:szCs w:val="21"/>
                      <w:lang w:bidi="ar"/>
                    </w:rPr>
                  </w:pPr>
                  <w:r>
                    <w:rPr>
                      <w:rFonts w:hint="eastAsia"/>
                      <w:color w:val="000000"/>
                      <w:kern w:val="0"/>
                      <w:szCs w:val="21"/>
                      <w:lang w:bidi="ar"/>
                    </w:rPr>
                    <w:t>不涉及</w:t>
                  </w:r>
                </w:p>
              </w:tc>
            </w:tr>
            <w:tr w14:paraId="5680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continue"/>
                  <w:vAlign w:val="center"/>
                </w:tcPr>
                <w:p w14:paraId="084A66F1">
                  <w:pPr>
                    <w:widowControl/>
                    <w:jc w:val="center"/>
                    <w:textAlignment w:val="center"/>
                    <w:rPr>
                      <w:color w:val="000000"/>
                      <w:kern w:val="0"/>
                      <w:szCs w:val="21"/>
                      <w:lang w:bidi="ar"/>
                    </w:rPr>
                  </w:pPr>
                </w:p>
              </w:tc>
              <w:tc>
                <w:tcPr>
                  <w:tcW w:w="512" w:type="pct"/>
                  <w:vAlign w:val="center"/>
                </w:tcPr>
                <w:p w14:paraId="295BE612">
                  <w:pPr>
                    <w:widowControl/>
                    <w:jc w:val="center"/>
                    <w:textAlignment w:val="center"/>
                    <w:rPr>
                      <w:color w:val="000000"/>
                      <w:kern w:val="0"/>
                      <w:szCs w:val="21"/>
                      <w:lang w:bidi="ar"/>
                    </w:rPr>
                  </w:pPr>
                  <w:r>
                    <w:rPr>
                      <w:color w:val="000000"/>
                      <w:kern w:val="0"/>
                      <w:szCs w:val="21"/>
                      <w:lang w:bidi="ar"/>
                    </w:rPr>
                    <w:t>道路</w:t>
                  </w:r>
                </w:p>
              </w:tc>
              <w:tc>
                <w:tcPr>
                  <w:tcW w:w="2137" w:type="pct"/>
                  <w:vAlign w:val="center"/>
                </w:tcPr>
                <w:p w14:paraId="29B2B618">
                  <w:pPr>
                    <w:widowControl/>
                    <w:textAlignment w:val="center"/>
                    <w:rPr>
                      <w:color w:val="000000"/>
                      <w:kern w:val="0"/>
                      <w:szCs w:val="21"/>
                      <w:lang w:bidi="ar"/>
                    </w:rPr>
                  </w:pPr>
                  <w:r>
                    <w:rPr>
                      <w:color w:val="000000"/>
                      <w:kern w:val="0"/>
                      <w:szCs w:val="21"/>
                      <w:lang w:bidi="ar"/>
                    </w:rPr>
                    <w:t>道路面积2</w:t>
                  </w:r>
                  <w:r>
                    <w:rPr>
                      <w:rFonts w:hint="eastAsia"/>
                      <w:color w:val="000000"/>
                      <w:kern w:val="0"/>
                      <w:szCs w:val="21"/>
                      <w:lang w:bidi="ar"/>
                    </w:rPr>
                    <w:t>2</w:t>
                  </w:r>
                  <w:r>
                    <w:rPr>
                      <w:color w:val="000000"/>
                      <w:kern w:val="0"/>
                      <w:szCs w:val="21"/>
                      <w:lang w:bidi="ar"/>
                    </w:rPr>
                    <w:t>100m</w:t>
                  </w:r>
                  <w:r>
                    <w:rPr>
                      <w:color w:val="000000"/>
                      <w:kern w:val="0"/>
                      <w:szCs w:val="21"/>
                      <w:vertAlign w:val="superscript"/>
                      <w:lang w:bidi="ar"/>
                    </w:rPr>
                    <w:t>2</w:t>
                  </w:r>
                  <w:r>
                    <w:rPr>
                      <w:rFonts w:hint="eastAsia"/>
                      <w:color w:val="000000"/>
                      <w:kern w:val="0"/>
                      <w:szCs w:val="21"/>
                      <w:lang w:bidi="ar"/>
                    </w:rPr>
                    <w:t>。</w:t>
                  </w:r>
                </w:p>
              </w:tc>
              <w:tc>
                <w:tcPr>
                  <w:tcW w:w="1351" w:type="pct"/>
                  <w:vAlign w:val="center"/>
                </w:tcPr>
                <w:p w14:paraId="480081CC">
                  <w:pPr>
                    <w:widowControl/>
                    <w:jc w:val="center"/>
                    <w:textAlignment w:val="center"/>
                    <w:rPr>
                      <w:color w:val="000000"/>
                      <w:kern w:val="0"/>
                      <w:szCs w:val="21"/>
                      <w:lang w:bidi="ar"/>
                    </w:rPr>
                  </w:pPr>
                  <w:r>
                    <w:rPr>
                      <w:rFonts w:hint="eastAsia"/>
                      <w:color w:val="000000"/>
                      <w:kern w:val="0"/>
                      <w:szCs w:val="21"/>
                      <w:lang w:bidi="ar"/>
                    </w:rPr>
                    <w:t>依托</w:t>
                  </w:r>
                </w:p>
              </w:tc>
            </w:tr>
            <w:tr w14:paraId="6BF7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continue"/>
                  <w:vAlign w:val="center"/>
                </w:tcPr>
                <w:p w14:paraId="5CC04F9F">
                  <w:pPr>
                    <w:widowControl/>
                    <w:jc w:val="center"/>
                    <w:textAlignment w:val="center"/>
                    <w:rPr>
                      <w:color w:val="000000"/>
                      <w:kern w:val="0"/>
                      <w:szCs w:val="21"/>
                      <w:lang w:bidi="ar"/>
                    </w:rPr>
                  </w:pPr>
                </w:p>
              </w:tc>
              <w:tc>
                <w:tcPr>
                  <w:tcW w:w="512" w:type="pct"/>
                  <w:vAlign w:val="center"/>
                </w:tcPr>
                <w:p w14:paraId="58BB5B81">
                  <w:pPr>
                    <w:widowControl/>
                    <w:jc w:val="center"/>
                    <w:textAlignment w:val="center"/>
                    <w:rPr>
                      <w:color w:val="000000"/>
                      <w:kern w:val="0"/>
                      <w:szCs w:val="21"/>
                      <w:lang w:bidi="ar"/>
                    </w:rPr>
                  </w:pPr>
                  <w:r>
                    <w:rPr>
                      <w:rFonts w:hint="eastAsia"/>
                      <w:color w:val="000000"/>
                      <w:kern w:val="0"/>
                      <w:szCs w:val="21"/>
                      <w:lang w:bidi="ar"/>
                    </w:rPr>
                    <w:t>场地</w:t>
                  </w:r>
                </w:p>
              </w:tc>
              <w:tc>
                <w:tcPr>
                  <w:tcW w:w="2137" w:type="pct"/>
                  <w:vAlign w:val="center"/>
                </w:tcPr>
                <w:p w14:paraId="26B24E6A">
                  <w:pPr>
                    <w:widowControl/>
                    <w:textAlignment w:val="center"/>
                    <w:rPr>
                      <w:color w:val="000000"/>
                      <w:kern w:val="0"/>
                      <w:szCs w:val="21"/>
                      <w:lang w:bidi="ar"/>
                    </w:rPr>
                  </w:pPr>
                  <w:r>
                    <w:rPr>
                      <w:rFonts w:hint="eastAsia"/>
                      <w:color w:val="000000"/>
                      <w:kern w:val="0"/>
                      <w:szCs w:val="21"/>
                      <w:lang w:bidi="ar"/>
                    </w:rPr>
                    <w:t>场地</w:t>
                  </w:r>
                  <w:r>
                    <w:rPr>
                      <w:color w:val="000000"/>
                      <w:kern w:val="0"/>
                      <w:szCs w:val="21"/>
                      <w:lang w:bidi="ar"/>
                    </w:rPr>
                    <w:t>面积</w:t>
                  </w:r>
                  <w:r>
                    <w:rPr>
                      <w:rFonts w:hint="eastAsia"/>
                      <w:color w:val="000000"/>
                      <w:kern w:val="0"/>
                      <w:szCs w:val="21"/>
                      <w:lang w:bidi="ar"/>
                    </w:rPr>
                    <w:t>39800</w:t>
                  </w:r>
                  <w:r>
                    <w:rPr>
                      <w:color w:val="000000"/>
                      <w:kern w:val="0"/>
                      <w:szCs w:val="21"/>
                      <w:lang w:bidi="ar"/>
                    </w:rPr>
                    <w:t>m</w:t>
                  </w:r>
                  <w:r>
                    <w:rPr>
                      <w:color w:val="000000"/>
                      <w:kern w:val="0"/>
                      <w:szCs w:val="21"/>
                      <w:vertAlign w:val="superscript"/>
                      <w:lang w:bidi="ar"/>
                    </w:rPr>
                    <w:t>2</w:t>
                  </w:r>
                  <w:r>
                    <w:rPr>
                      <w:rFonts w:hint="eastAsia"/>
                      <w:color w:val="000000"/>
                      <w:kern w:val="0"/>
                      <w:szCs w:val="21"/>
                      <w:lang w:bidi="ar"/>
                    </w:rPr>
                    <w:t>。</w:t>
                  </w:r>
                </w:p>
              </w:tc>
              <w:tc>
                <w:tcPr>
                  <w:tcW w:w="1351" w:type="pct"/>
                  <w:vAlign w:val="center"/>
                </w:tcPr>
                <w:p w14:paraId="2176F73A">
                  <w:pPr>
                    <w:widowControl/>
                    <w:jc w:val="center"/>
                    <w:textAlignment w:val="center"/>
                    <w:rPr>
                      <w:color w:val="000000"/>
                      <w:kern w:val="0"/>
                      <w:szCs w:val="21"/>
                      <w:lang w:bidi="ar"/>
                    </w:rPr>
                  </w:pPr>
                  <w:r>
                    <w:rPr>
                      <w:rFonts w:hint="eastAsia"/>
                      <w:color w:val="000000"/>
                      <w:kern w:val="0"/>
                      <w:szCs w:val="21"/>
                      <w:lang w:bidi="ar"/>
                    </w:rPr>
                    <w:t>依托</w:t>
                  </w:r>
                </w:p>
              </w:tc>
            </w:tr>
            <w:tr w14:paraId="3694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continue"/>
                  <w:vAlign w:val="center"/>
                </w:tcPr>
                <w:p w14:paraId="128123B2">
                  <w:pPr>
                    <w:widowControl/>
                    <w:jc w:val="center"/>
                    <w:textAlignment w:val="center"/>
                    <w:rPr>
                      <w:color w:val="000000"/>
                      <w:kern w:val="0"/>
                      <w:szCs w:val="21"/>
                      <w:lang w:bidi="ar"/>
                    </w:rPr>
                  </w:pPr>
                </w:p>
              </w:tc>
              <w:tc>
                <w:tcPr>
                  <w:tcW w:w="512" w:type="pct"/>
                  <w:vAlign w:val="center"/>
                </w:tcPr>
                <w:p w14:paraId="7F430E72">
                  <w:pPr>
                    <w:widowControl/>
                    <w:jc w:val="center"/>
                    <w:textAlignment w:val="center"/>
                    <w:rPr>
                      <w:color w:val="000000"/>
                      <w:kern w:val="0"/>
                      <w:szCs w:val="21"/>
                      <w:lang w:bidi="ar"/>
                    </w:rPr>
                  </w:pPr>
                  <w:r>
                    <w:rPr>
                      <w:color w:val="000000"/>
                      <w:kern w:val="0"/>
                      <w:szCs w:val="21"/>
                      <w:lang w:bidi="ar"/>
                    </w:rPr>
                    <w:t>停车场</w:t>
                  </w:r>
                </w:p>
              </w:tc>
              <w:tc>
                <w:tcPr>
                  <w:tcW w:w="2137" w:type="pct"/>
                  <w:vAlign w:val="center"/>
                </w:tcPr>
                <w:p w14:paraId="498B50F9">
                  <w:pPr>
                    <w:widowControl/>
                    <w:textAlignment w:val="center"/>
                    <w:rPr>
                      <w:color w:val="000000"/>
                      <w:kern w:val="0"/>
                      <w:szCs w:val="21"/>
                      <w:lang w:bidi="ar"/>
                    </w:rPr>
                  </w:pPr>
                  <w:r>
                    <w:rPr>
                      <w:color w:val="000000"/>
                      <w:kern w:val="0"/>
                      <w:szCs w:val="21"/>
                      <w:lang w:bidi="ar"/>
                    </w:rPr>
                    <w:t>停车场面积4000m</w:t>
                  </w:r>
                  <w:r>
                    <w:rPr>
                      <w:color w:val="000000"/>
                      <w:kern w:val="0"/>
                      <w:szCs w:val="21"/>
                      <w:vertAlign w:val="superscript"/>
                      <w:lang w:bidi="ar"/>
                    </w:rPr>
                    <w:t>2</w:t>
                  </w:r>
                  <w:r>
                    <w:rPr>
                      <w:rFonts w:hint="eastAsia"/>
                      <w:color w:val="000000"/>
                      <w:kern w:val="0"/>
                      <w:szCs w:val="21"/>
                      <w:lang w:bidi="ar"/>
                    </w:rPr>
                    <w:t>，</w:t>
                  </w:r>
                  <w:r>
                    <w:rPr>
                      <w:color w:val="000000"/>
                      <w:kern w:val="0"/>
                      <w:szCs w:val="21"/>
                      <w:lang w:bidi="ar"/>
                    </w:rPr>
                    <w:t>植草砖200m</w:t>
                  </w:r>
                  <w:r>
                    <w:rPr>
                      <w:color w:val="000000"/>
                      <w:kern w:val="0"/>
                      <w:szCs w:val="21"/>
                      <w:vertAlign w:val="superscript"/>
                      <w:lang w:bidi="ar"/>
                    </w:rPr>
                    <w:t>2</w:t>
                  </w:r>
                  <w:r>
                    <w:rPr>
                      <w:rFonts w:hint="eastAsia"/>
                      <w:color w:val="000000"/>
                      <w:kern w:val="0"/>
                      <w:szCs w:val="21"/>
                      <w:lang w:bidi="ar"/>
                    </w:rPr>
                    <w:t>。</w:t>
                  </w:r>
                </w:p>
              </w:tc>
              <w:tc>
                <w:tcPr>
                  <w:tcW w:w="1351" w:type="pct"/>
                  <w:vAlign w:val="center"/>
                </w:tcPr>
                <w:p w14:paraId="00AE3787">
                  <w:pPr>
                    <w:widowControl/>
                    <w:jc w:val="center"/>
                    <w:textAlignment w:val="center"/>
                    <w:rPr>
                      <w:color w:val="000000"/>
                      <w:kern w:val="0"/>
                      <w:szCs w:val="21"/>
                      <w:lang w:bidi="ar"/>
                    </w:rPr>
                  </w:pPr>
                  <w:r>
                    <w:rPr>
                      <w:rFonts w:hint="eastAsia"/>
                      <w:color w:val="000000"/>
                      <w:kern w:val="0"/>
                      <w:szCs w:val="21"/>
                      <w:lang w:bidi="ar"/>
                    </w:rPr>
                    <w:t>依托</w:t>
                  </w:r>
                </w:p>
              </w:tc>
            </w:tr>
            <w:tr w14:paraId="1B15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continue"/>
                  <w:vAlign w:val="center"/>
                </w:tcPr>
                <w:p w14:paraId="0A312099">
                  <w:pPr>
                    <w:widowControl/>
                    <w:jc w:val="center"/>
                    <w:textAlignment w:val="center"/>
                    <w:rPr>
                      <w:color w:val="000000"/>
                      <w:kern w:val="0"/>
                      <w:szCs w:val="21"/>
                      <w:lang w:bidi="ar"/>
                    </w:rPr>
                  </w:pPr>
                </w:p>
              </w:tc>
              <w:tc>
                <w:tcPr>
                  <w:tcW w:w="512" w:type="pct"/>
                  <w:vAlign w:val="center"/>
                </w:tcPr>
                <w:p w14:paraId="19BC330D">
                  <w:pPr>
                    <w:widowControl/>
                    <w:jc w:val="center"/>
                    <w:textAlignment w:val="center"/>
                    <w:rPr>
                      <w:color w:val="000000"/>
                      <w:kern w:val="0"/>
                      <w:szCs w:val="21"/>
                      <w:lang w:bidi="ar"/>
                    </w:rPr>
                  </w:pPr>
                  <w:r>
                    <w:rPr>
                      <w:color w:val="000000"/>
                      <w:kern w:val="0"/>
                      <w:szCs w:val="21"/>
                      <w:lang w:bidi="ar"/>
                    </w:rPr>
                    <w:t>绿化</w:t>
                  </w:r>
                </w:p>
              </w:tc>
              <w:tc>
                <w:tcPr>
                  <w:tcW w:w="2137" w:type="pct"/>
                  <w:vAlign w:val="center"/>
                </w:tcPr>
                <w:p w14:paraId="4E6D5B19">
                  <w:pPr>
                    <w:widowControl/>
                    <w:textAlignment w:val="center"/>
                    <w:rPr>
                      <w:color w:val="000000"/>
                      <w:kern w:val="0"/>
                      <w:szCs w:val="21"/>
                      <w:lang w:bidi="ar"/>
                    </w:rPr>
                  </w:pPr>
                  <w:r>
                    <w:rPr>
                      <w:color w:val="000000"/>
                      <w:kern w:val="0"/>
                      <w:szCs w:val="21"/>
                      <w:lang w:bidi="ar"/>
                    </w:rPr>
                    <w:t>绿化</w:t>
                  </w:r>
                  <w:r>
                    <w:rPr>
                      <w:rFonts w:hint="eastAsia"/>
                      <w:color w:val="000000"/>
                      <w:kern w:val="0"/>
                      <w:szCs w:val="21"/>
                      <w:lang w:bidi="ar"/>
                    </w:rPr>
                    <w:t>面积</w:t>
                  </w:r>
                  <w:r>
                    <w:rPr>
                      <w:color w:val="000000"/>
                      <w:kern w:val="0"/>
                      <w:szCs w:val="21"/>
                      <w:lang w:bidi="ar"/>
                    </w:rPr>
                    <w:t>15334m</w:t>
                  </w:r>
                  <w:r>
                    <w:rPr>
                      <w:color w:val="000000"/>
                      <w:kern w:val="0"/>
                      <w:szCs w:val="21"/>
                      <w:vertAlign w:val="superscript"/>
                      <w:lang w:bidi="ar"/>
                    </w:rPr>
                    <w:t>2</w:t>
                  </w:r>
                  <w:r>
                    <w:rPr>
                      <w:rFonts w:hint="eastAsia"/>
                      <w:color w:val="000000"/>
                      <w:kern w:val="0"/>
                      <w:szCs w:val="21"/>
                      <w:lang w:bidi="ar"/>
                    </w:rPr>
                    <w:t>。</w:t>
                  </w:r>
                </w:p>
              </w:tc>
              <w:tc>
                <w:tcPr>
                  <w:tcW w:w="1351" w:type="pct"/>
                  <w:vAlign w:val="center"/>
                </w:tcPr>
                <w:p w14:paraId="544CA2FA">
                  <w:pPr>
                    <w:widowControl/>
                    <w:jc w:val="center"/>
                    <w:textAlignment w:val="center"/>
                    <w:rPr>
                      <w:color w:val="000000"/>
                      <w:kern w:val="0"/>
                      <w:szCs w:val="21"/>
                      <w:lang w:bidi="ar"/>
                    </w:rPr>
                  </w:pPr>
                  <w:r>
                    <w:rPr>
                      <w:rFonts w:hint="eastAsia"/>
                      <w:color w:val="000000"/>
                      <w:kern w:val="0"/>
                      <w:szCs w:val="21"/>
                      <w:lang w:bidi="ar"/>
                    </w:rPr>
                    <w:t>依托</w:t>
                  </w:r>
                </w:p>
              </w:tc>
            </w:tr>
            <w:tr w14:paraId="4204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restart"/>
                  <w:vAlign w:val="center"/>
                </w:tcPr>
                <w:p w14:paraId="14EA5464">
                  <w:pPr>
                    <w:widowControl/>
                    <w:jc w:val="center"/>
                    <w:textAlignment w:val="center"/>
                    <w:rPr>
                      <w:color w:val="000000"/>
                      <w:kern w:val="0"/>
                      <w:szCs w:val="21"/>
                      <w:lang w:bidi="ar"/>
                    </w:rPr>
                  </w:pPr>
                  <w:r>
                    <w:rPr>
                      <w:color w:val="000000"/>
                      <w:kern w:val="0"/>
                      <w:szCs w:val="21"/>
                      <w:lang w:bidi="ar"/>
                    </w:rPr>
                    <w:t>公用工程</w:t>
                  </w:r>
                </w:p>
              </w:tc>
              <w:tc>
                <w:tcPr>
                  <w:tcW w:w="512" w:type="pct"/>
                  <w:vAlign w:val="center"/>
                </w:tcPr>
                <w:p w14:paraId="7F57DB52">
                  <w:pPr>
                    <w:widowControl/>
                    <w:jc w:val="center"/>
                    <w:textAlignment w:val="center"/>
                    <w:rPr>
                      <w:color w:val="000000"/>
                      <w:kern w:val="0"/>
                      <w:szCs w:val="21"/>
                      <w:lang w:bidi="ar"/>
                    </w:rPr>
                  </w:pPr>
                  <w:r>
                    <w:rPr>
                      <w:color w:val="000000"/>
                      <w:kern w:val="0"/>
                      <w:szCs w:val="21"/>
                      <w:lang w:bidi="ar"/>
                    </w:rPr>
                    <w:t>给水</w:t>
                  </w:r>
                </w:p>
                <w:p w14:paraId="7CB435D3">
                  <w:pPr>
                    <w:widowControl/>
                    <w:jc w:val="center"/>
                    <w:textAlignment w:val="center"/>
                    <w:rPr>
                      <w:color w:val="000000"/>
                      <w:kern w:val="0"/>
                      <w:szCs w:val="21"/>
                      <w:lang w:bidi="ar"/>
                    </w:rPr>
                  </w:pPr>
                  <w:r>
                    <w:rPr>
                      <w:color w:val="000000"/>
                      <w:kern w:val="0"/>
                      <w:szCs w:val="21"/>
                      <w:lang w:bidi="ar"/>
                    </w:rPr>
                    <w:t>工程</w:t>
                  </w:r>
                </w:p>
              </w:tc>
              <w:tc>
                <w:tcPr>
                  <w:tcW w:w="2137" w:type="pct"/>
                  <w:vAlign w:val="center"/>
                </w:tcPr>
                <w:p w14:paraId="2881D405">
                  <w:pPr>
                    <w:widowControl/>
                    <w:textAlignment w:val="center"/>
                    <w:rPr>
                      <w:color w:val="000000"/>
                      <w:kern w:val="0"/>
                      <w:szCs w:val="21"/>
                      <w:lang w:bidi="ar"/>
                    </w:rPr>
                  </w:pPr>
                  <w:r>
                    <w:rPr>
                      <w:color w:val="000000"/>
                      <w:kern w:val="0"/>
                      <w:szCs w:val="21"/>
                      <w:lang w:bidi="ar"/>
                    </w:rPr>
                    <w:t>市政</w:t>
                  </w:r>
                  <w:r>
                    <w:rPr>
                      <w:rFonts w:hint="eastAsia"/>
                      <w:color w:val="000000"/>
                      <w:kern w:val="0"/>
                      <w:szCs w:val="21"/>
                      <w:lang w:bidi="ar"/>
                    </w:rPr>
                    <w:t>自来水</w:t>
                  </w:r>
                  <w:r>
                    <w:rPr>
                      <w:color w:val="000000"/>
                      <w:kern w:val="0"/>
                      <w:szCs w:val="21"/>
                      <w:lang w:bidi="ar"/>
                    </w:rPr>
                    <w:t>管网</w:t>
                  </w:r>
                  <w:r>
                    <w:rPr>
                      <w:rFonts w:hint="eastAsia"/>
                      <w:color w:val="000000"/>
                      <w:kern w:val="0"/>
                      <w:szCs w:val="21"/>
                      <w:lang w:bidi="ar"/>
                    </w:rPr>
                    <w:t>供水。</w:t>
                  </w:r>
                </w:p>
              </w:tc>
              <w:tc>
                <w:tcPr>
                  <w:tcW w:w="1351" w:type="pct"/>
                  <w:vAlign w:val="center"/>
                </w:tcPr>
                <w:p w14:paraId="17AF7ABE">
                  <w:pPr>
                    <w:widowControl/>
                    <w:jc w:val="center"/>
                    <w:textAlignment w:val="center"/>
                    <w:rPr>
                      <w:color w:val="000000"/>
                      <w:kern w:val="0"/>
                      <w:szCs w:val="21"/>
                      <w:lang w:bidi="ar"/>
                    </w:rPr>
                  </w:pPr>
                  <w:r>
                    <w:rPr>
                      <w:rFonts w:hint="eastAsia"/>
                      <w:color w:val="000000"/>
                      <w:kern w:val="0"/>
                      <w:szCs w:val="21"/>
                      <w:lang w:bidi="ar"/>
                    </w:rPr>
                    <w:t>依托</w:t>
                  </w:r>
                </w:p>
              </w:tc>
            </w:tr>
            <w:tr w14:paraId="6894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continue"/>
                  <w:vAlign w:val="center"/>
                </w:tcPr>
                <w:p w14:paraId="42479CBB">
                  <w:pPr>
                    <w:widowControl/>
                    <w:jc w:val="center"/>
                    <w:textAlignment w:val="center"/>
                    <w:rPr>
                      <w:color w:val="000000"/>
                      <w:kern w:val="0"/>
                      <w:szCs w:val="21"/>
                      <w:lang w:bidi="ar"/>
                    </w:rPr>
                  </w:pPr>
                </w:p>
              </w:tc>
              <w:tc>
                <w:tcPr>
                  <w:tcW w:w="512" w:type="pct"/>
                  <w:vAlign w:val="center"/>
                </w:tcPr>
                <w:p w14:paraId="1DA971AC">
                  <w:pPr>
                    <w:widowControl/>
                    <w:jc w:val="center"/>
                    <w:textAlignment w:val="center"/>
                    <w:rPr>
                      <w:color w:val="000000"/>
                      <w:kern w:val="0"/>
                      <w:szCs w:val="21"/>
                      <w:lang w:bidi="ar"/>
                    </w:rPr>
                  </w:pPr>
                  <w:r>
                    <w:rPr>
                      <w:color w:val="000000"/>
                      <w:kern w:val="0"/>
                      <w:szCs w:val="21"/>
                      <w:lang w:bidi="ar"/>
                    </w:rPr>
                    <w:t>排水</w:t>
                  </w:r>
                </w:p>
                <w:p w14:paraId="50549164">
                  <w:pPr>
                    <w:widowControl/>
                    <w:jc w:val="center"/>
                    <w:textAlignment w:val="center"/>
                    <w:rPr>
                      <w:color w:val="000000"/>
                      <w:kern w:val="0"/>
                      <w:szCs w:val="21"/>
                      <w:lang w:bidi="ar"/>
                    </w:rPr>
                  </w:pPr>
                  <w:r>
                    <w:rPr>
                      <w:color w:val="000000"/>
                      <w:kern w:val="0"/>
                      <w:szCs w:val="21"/>
                      <w:lang w:bidi="ar"/>
                    </w:rPr>
                    <w:t>工程</w:t>
                  </w:r>
                </w:p>
              </w:tc>
              <w:tc>
                <w:tcPr>
                  <w:tcW w:w="2137" w:type="pct"/>
                  <w:vAlign w:val="center"/>
                </w:tcPr>
                <w:p w14:paraId="575A92E7">
                  <w:pPr>
                    <w:widowControl/>
                    <w:textAlignment w:val="center"/>
                    <w:rPr>
                      <w:color w:val="000000"/>
                      <w:kern w:val="0"/>
                      <w:szCs w:val="21"/>
                      <w:lang w:bidi="ar"/>
                    </w:rPr>
                  </w:pPr>
                  <w:r>
                    <w:rPr>
                      <w:rFonts w:hint="eastAsia"/>
                      <w:color w:val="000000"/>
                      <w:kern w:val="0"/>
                      <w:szCs w:val="21"/>
                      <w:lang w:bidi="ar"/>
                    </w:rPr>
                    <w:t>雨水通过集排水沟收集至雨水收集池。</w:t>
                  </w:r>
                  <w:r>
                    <w:rPr>
                      <w:rFonts w:hint="eastAsia"/>
                      <w:color w:val="000000" w:themeColor="text1"/>
                      <w:szCs w:val="21"/>
                      <w14:textFill>
                        <w14:solidFill>
                          <w14:schemeClr w14:val="tx1"/>
                        </w14:solidFill>
                      </w14:textFill>
                    </w:rPr>
                    <w:t>生产废水依托厂区现有生产废水处理站处理达标后用于厂区绿化、洒水降尘。</w:t>
                  </w:r>
                  <w:r>
                    <w:rPr>
                      <w:rFonts w:hint="eastAsia"/>
                      <w:szCs w:val="21"/>
                    </w:rPr>
                    <w:t>生活污水经隔油池、化粪池预处理后接入市政污水管网，最终进入羊街镇污水处理站处理。</w:t>
                  </w:r>
                </w:p>
              </w:tc>
              <w:tc>
                <w:tcPr>
                  <w:tcW w:w="1351" w:type="pct"/>
                  <w:vAlign w:val="center"/>
                </w:tcPr>
                <w:p w14:paraId="48C27F22">
                  <w:pPr>
                    <w:widowControl/>
                    <w:jc w:val="center"/>
                    <w:textAlignment w:val="center"/>
                    <w:rPr>
                      <w:color w:val="000000"/>
                      <w:kern w:val="0"/>
                      <w:szCs w:val="21"/>
                      <w:lang w:bidi="ar"/>
                    </w:rPr>
                  </w:pPr>
                  <w:r>
                    <w:rPr>
                      <w:rFonts w:hint="eastAsia"/>
                      <w:color w:val="000000"/>
                      <w:kern w:val="0"/>
                      <w:szCs w:val="21"/>
                      <w:lang w:bidi="ar"/>
                    </w:rPr>
                    <w:t>依托</w:t>
                  </w:r>
                </w:p>
              </w:tc>
            </w:tr>
            <w:tr w14:paraId="7E33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continue"/>
                  <w:vAlign w:val="center"/>
                </w:tcPr>
                <w:p w14:paraId="16762E06">
                  <w:pPr>
                    <w:widowControl/>
                    <w:jc w:val="center"/>
                    <w:textAlignment w:val="center"/>
                    <w:rPr>
                      <w:color w:val="000000"/>
                      <w:kern w:val="0"/>
                      <w:szCs w:val="21"/>
                      <w:lang w:bidi="ar"/>
                    </w:rPr>
                  </w:pPr>
                </w:p>
              </w:tc>
              <w:tc>
                <w:tcPr>
                  <w:tcW w:w="512" w:type="pct"/>
                  <w:vAlign w:val="center"/>
                </w:tcPr>
                <w:p w14:paraId="53956295">
                  <w:pPr>
                    <w:widowControl/>
                    <w:jc w:val="center"/>
                    <w:textAlignment w:val="center"/>
                    <w:rPr>
                      <w:color w:val="000000"/>
                      <w:kern w:val="0"/>
                      <w:szCs w:val="21"/>
                      <w:lang w:bidi="ar"/>
                    </w:rPr>
                  </w:pPr>
                  <w:r>
                    <w:rPr>
                      <w:color w:val="000000"/>
                      <w:kern w:val="0"/>
                      <w:szCs w:val="21"/>
                      <w:lang w:bidi="ar"/>
                    </w:rPr>
                    <w:t>供电</w:t>
                  </w:r>
                </w:p>
                <w:p w14:paraId="4ED05D4B">
                  <w:pPr>
                    <w:widowControl/>
                    <w:jc w:val="center"/>
                    <w:textAlignment w:val="center"/>
                    <w:rPr>
                      <w:color w:val="000000"/>
                      <w:kern w:val="0"/>
                      <w:szCs w:val="21"/>
                      <w:lang w:bidi="ar"/>
                    </w:rPr>
                  </w:pPr>
                  <w:r>
                    <w:rPr>
                      <w:color w:val="000000"/>
                      <w:kern w:val="0"/>
                      <w:szCs w:val="21"/>
                      <w:lang w:bidi="ar"/>
                    </w:rPr>
                    <w:t>工程</w:t>
                  </w:r>
                </w:p>
              </w:tc>
              <w:tc>
                <w:tcPr>
                  <w:tcW w:w="2137" w:type="pct"/>
                  <w:vAlign w:val="center"/>
                </w:tcPr>
                <w:p w14:paraId="2A97DA2B">
                  <w:pPr>
                    <w:widowControl/>
                    <w:textAlignment w:val="center"/>
                    <w:rPr>
                      <w:color w:val="000000"/>
                      <w:kern w:val="0"/>
                      <w:szCs w:val="21"/>
                      <w:lang w:bidi="ar"/>
                    </w:rPr>
                  </w:pPr>
                  <w:r>
                    <w:rPr>
                      <w:rFonts w:hint="eastAsia"/>
                      <w:color w:val="000000"/>
                      <w:kern w:val="0"/>
                      <w:szCs w:val="21"/>
                      <w:lang w:bidi="ar"/>
                    </w:rPr>
                    <w:t>市政供电系统供电。</w:t>
                  </w:r>
                </w:p>
              </w:tc>
              <w:tc>
                <w:tcPr>
                  <w:tcW w:w="1351" w:type="pct"/>
                  <w:vAlign w:val="center"/>
                </w:tcPr>
                <w:p w14:paraId="1E9967E2">
                  <w:pPr>
                    <w:widowControl/>
                    <w:jc w:val="center"/>
                    <w:textAlignment w:val="center"/>
                    <w:rPr>
                      <w:color w:val="000000"/>
                      <w:kern w:val="0"/>
                      <w:szCs w:val="21"/>
                      <w:lang w:bidi="ar"/>
                    </w:rPr>
                  </w:pPr>
                  <w:r>
                    <w:rPr>
                      <w:rFonts w:hint="eastAsia"/>
                      <w:color w:val="000000"/>
                      <w:kern w:val="0"/>
                      <w:szCs w:val="21"/>
                      <w:lang w:bidi="ar"/>
                    </w:rPr>
                    <w:t>依托</w:t>
                  </w:r>
                </w:p>
              </w:tc>
            </w:tr>
            <w:tr w14:paraId="2102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continue"/>
                  <w:vAlign w:val="center"/>
                </w:tcPr>
                <w:p w14:paraId="07CB0C04">
                  <w:pPr>
                    <w:widowControl/>
                    <w:jc w:val="center"/>
                    <w:textAlignment w:val="center"/>
                    <w:rPr>
                      <w:color w:val="000000"/>
                      <w:kern w:val="0"/>
                      <w:szCs w:val="21"/>
                      <w:lang w:bidi="ar"/>
                    </w:rPr>
                  </w:pPr>
                </w:p>
              </w:tc>
              <w:tc>
                <w:tcPr>
                  <w:tcW w:w="512" w:type="pct"/>
                  <w:vAlign w:val="center"/>
                </w:tcPr>
                <w:p w14:paraId="3AFFDC17">
                  <w:pPr>
                    <w:widowControl/>
                    <w:jc w:val="center"/>
                    <w:textAlignment w:val="center"/>
                    <w:rPr>
                      <w:color w:val="000000"/>
                      <w:kern w:val="0"/>
                      <w:szCs w:val="21"/>
                      <w:lang w:bidi="ar"/>
                    </w:rPr>
                  </w:pPr>
                  <w:r>
                    <w:rPr>
                      <w:color w:val="000000"/>
                      <w:kern w:val="0"/>
                      <w:szCs w:val="21"/>
                      <w:lang w:bidi="ar"/>
                    </w:rPr>
                    <w:t>通信</w:t>
                  </w:r>
                </w:p>
                <w:p w14:paraId="1398A496">
                  <w:pPr>
                    <w:widowControl/>
                    <w:jc w:val="center"/>
                    <w:textAlignment w:val="center"/>
                    <w:rPr>
                      <w:color w:val="000000"/>
                      <w:kern w:val="0"/>
                      <w:szCs w:val="21"/>
                      <w:lang w:bidi="ar"/>
                    </w:rPr>
                  </w:pPr>
                  <w:r>
                    <w:rPr>
                      <w:color w:val="000000"/>
                      <w:kern w:val="0"/>
                      <w:szCs w:val="21"/>
                      <w:lang w:bidi="ar"/>
                    </w:rPr>
                    <w:t>工程</w:t>
                  </w:r>
                </w:p>
              </w:tc>
              <w:tc>
                <w:tcPr>
                  <w:tcW w:w="2137" w:type="pct"/>
                  <w:vAlign w:val="center"/>
                </w:tcPr>
                <w:p w14:paraId="61EECBA2">
                  <w:pPr>
                    <w:widowControl/>
                    <w:textAlignment w:val="center"/>
                    <w:rPr>
                      <w:color w:val="000000"/>
                      <w:kern w:val="0"/>
                      <w:szCs w:val="21"/>
                      <w:lang w:bidi="ar"/>
                    </w:rPr>
                  </w:pPr>
                  <w:r>
                    <w:rPr>
                      <w:rFonts w:hint="eastAsia"/>
                      <w:color w:val="000000"/>
                      <w:kern w:val="0"/>
                      <w:szCs w:val="21"/>
                      <w:lang w:bidi="ar"/>
                    </w:rPr>
                    <w:t>已配套通信光缆、移动电话。</w:t>
                  </w:r>
                </w:p>
              </w:tc>
              <w:tc>
                <w:tcPr>
                  <w:tcW w:w="1351" w:type="pct"/>
                  <w:vAlign w:val="center"/>
                </w:tcPr>
                <w:p w14:paraId="2106E816">
                  <w:pPr>
                    <w:widowControl/>
                    <w:jc w:val="center"/>
                    <w:textAlignment w:val="center"/>
                    <w:rPr>
                      <w:color w:val="000000"/>
                      <w:kern w:val="0"/>
                      <w:szCs w:val="21"/>
                      <w:lang w:bidi="ar"/>
                    </w:rPr>
                  </w:pPr>
                  <w:r>
                    <w:rPr>
                      <w:rFonts w:hint="eastAsia"/>
                      <w:color w:val="000000"/>
                      <w:kern w:val="0"/>
                      <w:szCs w:val="21"/>
                      <w:lang w:bidi="ar"/>
                    </w:rPr>
                    <w:t>依托</w:t>
                  </w:r>
                </w:p>
              </w:tc>
            </w:tr>
            <w:tr w14:paraId="174A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restart"/>
                  <w:vAlign w:val="center"/>
                </w:tcPr>
                <w:p w14:paraId="703D2F99">
                  <w:pPr>
                    <w:widowControl/>
                    <w:jc w:val="center"/>
                    <w:textAlignment w:val="center"/>
                    <w:rPr>
                      <w:color w:val="000000"/>
                      <w:kern w:val="0"/>
                      <w:szCs w:val="21"/>
                      <w:lang w:bidi="ar"/>
                    </w:rPr>
                  </w:pPr>
                  <w:r>
                    <w:rPr>
                      <w:color w:val="000000"/>
                      <w:kern w:val="0"/>
                      <w:szCs w:val="21"/>
                      <w:lang w:bidi="ar"/>
                    </w:rPr>
                    <w:t>环保工程</w:t>
                  </w:r>
                </w:p>
              </w:tc>
              <w:tc>
                <w:tcPr>
                  <w:tcW w:w="512" w:type="pct"/>
                  <w:vAlign w:val="center"/>
                </w:tcPr>
                <w:p w14:paraId="7657F8C4">
                  <w:pPr>
                    <w:widowControl/>
                    <w:jc w:val="center"/>
                    <w:textAlignment w:val="center"/>
                    <w:rPr>
                      <w:color w:val="000000"/>
                      <w:kern w:val="0"/>
                      <w:szCs w:val="21"/>
                      <w:lang w:bidi="ar"/>
                    </w:rPr>
                  </w:pPr>
                  <w:r>
                    <w:rPr>
                      <w:color w:val="000000"/>
                      <w:kern w:val="0"/>
                      <w:szCs w:val="21"/>
                      <w:lang w:bidi="ar"/>
                    </w:rPr>
                    <w:t>废气</w:t>
                  </w:r>
                </w:p>
              </w:tc>
              <w:tc>
                <w:tcPr>
                  <w:tcW w:w="2137" w:type="pct"/>
                  <w:vAlign w:val="center"/>
                </w:tcPr>
                <w:p w14:paraId="27EF5E88">
                  <w:pPr>
                    <w:widowControl/>
                    <w:textAlignment w:val="center"/>
                    <w:rPr>
                      <w:color w:val="000000"/>
                      <w:kern w:val="0"/>
                      <w:szCs w:val="21"/>
                      <w:lang w:bidi="ar"/>
                    </w:rPr>
                  </w:pPr>
                  <w:r>
                    <w:rPr>
                      <w:rFonts w:hint="eastAsia"/>
                      <w:color w:val="000000"/>
                      <w:kern w:val="0"/>
                      <w:szCs w:val="21"/>
                      <w:lang w:bidi="ar"/>
                    </w:rPr>
                    <w:t>及时清理待宰圈、屠宰车间粪便、血污、内脏，冲洗屠宰车间地面，加强屠宰车间、精深加工车间机械通风；粪便</w:t>
                  </w:r>
                  <w:r>
                    <w:rPr>
                      <w:color w:val="000000"/>
                      <w:kern w:val="0"/>
                      <w:szCs w:val="21"/>
                      <w:lang w:bidi="ar"/>
                    </w:rPr>
                    <w:t>临时堆</w:t>
                  </w:r>
                  <w:r>
                    <w:rPr>
                      <w:rFonts w:hint="eastAsia"/>
                      <w:color w:val="000000"/>
                      <w:kern w:val="0"/>
                      <w:szCs w:val="21"/>
                      <w:lang w:bidi="ar"/>
                    </w:rPr>
                    <w:t>场布设在厂区下风向；生产废水处理</w:t>
                  </w:r>
                  <w:r>
                    <w:rPr>
                      <w:color w:val="000000"/>
                      <w:kern w:val="0"/>
                      <w:szCs w:val="21"/>
                      <w:lang w:bidi="ar"/>
                    </w:rPr>
                    <w:t>站</w:t>
                  </w:r>
                  <w:r>
                    <w:rPr>
                      <w:rFonts w:hint="eastAsia"/>
                      <w:color w:val="000000"/>
                      <w:kern w:val="0"/>
                      <w:szCs w:val="21"/>
                      <w:lang w:bidi="ar"/>
                    </w:rPr>
                    <w:t>处理单元</w:t>
                  </w:r>
                  <w:r>
                    <w:rPr>
                      <w:rFonts w:hint="eastAsia"/>
                      <w:bCs/>
                      <w:szCs w:val="21"/>
                    </w:rPr>
                    <w:t>加罩、加盖，废水臭氧催化氧化塔内密闭处理；化粪池地埋式密闭处理；</w:t>
                  </w:r>
                  <w:r>
                    <w:rPr>
                      <w:color w:val="000000"/>
                      <w:kern w:val="0"/>
                      <w:szCs w:val="21"/>
                      <w:lang w:bidi="ar"/>
                    </w:rPr>
                    <w:t>厂界</w:t>
                  </w:r>
                  <w:r>
                    <w:rPr>
                      <w:rFonts w:hint="eastAsia"/>
                      <w:color w:val="000000"/>
                      <w:kern w:val="0"/>
                      <w:szCs w:val="21"/>
                      <w:lang w:bidi="ar"/>
                    </w:rPr>
                    <w:t>设置</w:t>
                  </w:r>
                  <w:r>
                    <w:rPr>
                      <w:color w:val="000000"/>
                      <w:kern w:val="0"/>
                      <w:szCs w:val="21"/>
                      <w:lang w:bidi="ar"/>
                    </w:rPr>
                    <w:t>绿化带</w:t>
                  </w:r>
                  <w:r>
                    <w:rPr>
                      <w:rFonts w:hint="eastAsia"/>
                      <w:color w:val="000000"/>
                      <w:kern w:val="0"/>
                      <w:szCs w:val="21"/>
                      <w:lang w:bidi="ar"/>
                    </w:rPr>
                    <w:t>；职工食堂安装油烟净化器。</w:t>
                  </w:r>
                </w:p>
              </w:tc>
              <w:tc>
                <w:tcPr>
                  <w:tcW w:w="1351" w:type="pct"/>
                  <w:vAlign w:val="center"/>
                </w:tcPr>
                <w:p w14:paraId="250A4D77">
                  <w:pPr>
                    <w:widowControl/>
                    <w:jc w:val="center"/>
                    <w:textAlignment w:val="center"/>
                    <w:rPr>
                      <w:color w:val="000000"/>
                      <w:kern w:val="0"/>
                      <w:szCs w:val="21"/>
                      <w:lang w:bidi="ar"/>
                    </w:rPr>
                  </w:pPr>
                  <w:r>
                    <w:rPr>
                      <w:rFonts w:hint="eastAsia"/>
                      <w:kern w:val="0"/>
                      <w:szCs w:val="21"/>
                      <w:lang w:bidi="ar"/>
                    </w:rPr>
                    <w:t>新增待宰圈、屠宰车间、生产废水处理站、粪便临时堆场喷洒生物除臭剂，粪便临时堆场加装封闭围栏，屠宰车间、生产废水处理站预留恶臭污染物集中收集、处理（</w:t>
                  </w:r>
                  <w:r>
                    <w:rPr>
                      <w:rFonts w:hint="eastAsia"/>
                    </w:rPr>
                    <w:t>喷淋塔除臭、活性炭吸附等</w:t>
                  </w:r>
                  <w:r>
                    <w:rPr>
                      <w:rFonts w:hint="eastAsia"/>
                      <w:kern w:val="0"/>
                      <w:szCs w:val="21"/>
                      <w:lang w:bidi="ar"/>
                    </w:rPr>
                    <w:t>）、导排设施费</w:t>
                  </w:r>
                </w:p>
              </w:tc>
            </w:tr>
            <w:tr w14:paraId="052E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continue"/>
                  <w:vAlign w:val="center"/>
                </w:tcPr>
                <w:p w14:paraId="252A3735">
                  <w:pPr>
                    <w:widowControl/>
                    <w:jc w:val="center"/>
                    <w:textAlignment w:val="center"/>
                    <w:rPr>
                      <w:color w:val="000000"/>
                      <w:kern w:val="0"/>
                      <w:szCs w:val="21"/>
                      <w:lang w:bidi="ar"/>
                    </w:rPr>
                  </w:pPr>
                </w:p>
              </w:tc>
              <w:tc>
                <w:tcPr>
                  <w:tcW w:w="512" w:type="pct"/>
                  <w:vAlign w:val="center"/>
                </w:tcPr>
                <w:p w14:paraId="5F94A44C">
                  <w:pPr>
                    <w:widowControl/>
                    <w:jc w:val="center"/>
                    <w:textAlignment w:val="center"/>
                    <w:rPr>
                      <w:color w:val="000000"/>
                      <w:kern w:val="0"/>
                      <w:szCs w:val="21"/>
                      <w:lang w:bidi="ar"/>
                    </w:rPr>
                  </w:pPr>
                  <w:r>
                    <w:rPr>
                      <w:color w:val="000000"/>
                      <w:kern w:val="0"/>
                      <w:szCs w:val="21"/>
                      <w:lang w:bidi="ar"/>
                    </w:rPr>
                    <w:t>废水</w:t>
                  </w:r>
                </w:p>
              </w:tc>
              <w:tc>
                <w:tcPr>
                  <w:tcW w:w="2137" w:type="pct"/>
                  <w:vAlign w:val="center"/>
                </w:tcPr>
                <w:p w14:paraId="54000E5C">
                  <w:pPr>
                    <w:widowControl/>
                    <w:textAlignment w:val="center"/>
                    <w:rPr>
                      <w:color w:val="000000" w:themeColor="text1"/>
                      <w:szCs w:val="21"/>
                      <w14:textFill>
                        <w14:solidFill>
                          <w14:schemeClr w14:val="tx1"/>
                        </w14:solidFill>
                      </w14:textFill>
                    </w:rPr>
                  </w:pPr>
                  <w:r>
                    <w:rPr>
                      <w:rFonts w:hint="eastAsia"/>
                      <w:color w:val="000000"/>
                      <w:kern w:val="0"/>
                      <w:szCs w:val="21"/>
                      <w:lang w:bidi="ar"/>
                    </w:rPr>
                    <w:t>建有</w:t>
                  </w:r>
                  <w:r>
                    <w:rPr>
                      <w:color w:val="000000"/>
                      <w:kern w:val="0"/>
                      <w:szCs w:val="21"/>
                      <w:lang w:bidi="ar"/>
                    </w:rPr>
                    <w:t>250m</w:t>
                  </w:r>
                  <w:r>
                    <w:rPr>
                      <w:color w:val="000000"/>
                      <w:kern w:val="0"/>
                      <w:szCs w:val="21"/>
                      <w:vertAlign w:val="superscript"/>
                      <w:lang w:bidi="ar"/>
                    </w:rPr>
                    <w:t>3</w:t>
                  </w:r>
                  <w:r>
                    <w:rPr>
                      <w:color w:val="000000"/>
                      <w:kern w:val="0"/>
                      <w:szCs w:val="21"/>
                      <w:lang w:bidi="ar"/>
                    </w:rPr>
                    <w:t>/d</w:t>
                  </w:r>
                  <w:r>
                    <w:rPr>
                      <w:rFonts w:hint="eastAsia"/>
                      <w:color w:val="000000"/>
                      <w:kern w:val="0"/>
                      <w:szCs w:val="21"/>
                      <w:lang w:bidi="ar"/>
                    </w:rPr>
                    <w:t>生产废水处理站1座，处理工艺为：</w:t>
                  </w:r>
                  <w:r>
                    <w:rPr>
                      <w:rFonts w:hint="eastAsia"/>
                      <w:bCs/>
                      <w:szCs w:val="21"/>
                    </w:rPr>
                    <w:t>机械格栅+微滤机+气浮+强化厌氧+接触氧化+过滤吸附+消毒，</w:t>
                  </w:r>
                  <w:r>
                    <w:rPr>
                      <w:rFonts w:hint="eastAsia"/>
                      <w:color w:val="000000"/>
                      <w:kern w:val="0"/>
                      <w:szCs w:val="21"/>
                      <w:lang w:bidi="ar"/>
                    </w:rPr>
                    <w:t>生产废水</w:t>
                  </w:r>
                  <w:r>
                    <w:rPr>
                      <w:rFonts w:hint="eastAsia"/>
                      <w:color w:val="000000" w:themeColor="text1"/>
                      <w:szCs w:val="21"/>
                      <w14:textFill>
                        <w14:solidFill>
                          <w14:schemeClr w14:val="tx1"/>
                        </w14:solidFill>
                      </w14:textFill>
                    </w:rPr>
                    <w:t>处理达标后用于厂区绿化、洒水降尘。</w:t>
                  </w:r>
                </w:p>
                <w:p w14:paraId="646FF2B7">
                  <w:pPr>
                    <w:widowControl/>
                    <w:textAlignment w:val="center"/>
                    <w:rPr>
                      <w:color w:val="000000"/>
                      <w:kern w:val="0"/>
                      <w:szCs w:val="21"/>
                      <w:lang w:bidi="ar"/>
                    </w:rPr>
                  </w:pPr>
                  <w:r>
                    <w:rPr>
                      <w:rFonts w:hint="eastAsia"/>
                      <w:color w:val="000000"/>
                      <w:kern w:val="0"/>
                      <w:szCs w:val="21"/>
                      <w:lang w:bidi="ar"/>
                    </w:rPr>
                    <w:t>生活污水经100m</w:t>
                  </w:r>
                  <w:r>
                    <w:rPr>
                      <w:rFonts w:hint="eastAsia"/>
                      <w:color w:val="000000"/>
                      <w:kern w:val="0"/>
                      <w:szCs w:val="21"/>
                      <w:vertAlign w:val="superscript"/>
                      <w:lang w:bidi="ar"/>
                    </w:rPr>
                    <w:t>3</w:t>
                  </w:r>
                  <w:r>
                    <w:rPr>
                      <w:rFonts w:hint="eastAsia"/>
                      <w:color w:val="000000"/>
                      <w:kern w:val="0"/>
                      <w:szCs w:val="21"/>
                      <w:lang w:bidi="ar"/>
                    </w:rPr>
                    <w:t>隔油池、300m</w:t>
                  </w:r>
                  <w:r>
                    <w:rPr>
                      <w:rFonts w:hint="eastAsia"/>
                      <w:color w:val="000000"/>
                      <w:kern w:val="0"/>
                      <w:szCs w:val="21"/>
                      <w:vertAlign w:val="superscript"/>
                      <w:lang w:bidi="ar"/>
                    </w:rPr>
                    <w:t>3</w:t>
                  </w:r>
                  <w:r>
                    <w:rPr>
                      <w:rFonts w:hint="eastAsia"/>
                      <w:color w:val="000000"/>
                      <w:kern w:val="0"/>
                      <w:szCs w:val="21"/>
                      <w:lang w:bidi="ar"/>
                    </w:rPr>
                    <w:t>化粪池预处理后接入市政污水管网，最终进入羊街镇污水处理站处理。</w:t>
                  </w:r>
                </w:p>
              </w:tc>
              <w:tc>
                <w:tcPr>
                  <w:tcW w:w="1351" w:type="pct"/>
                  <w:vAlign w:val="center"/>
                </w:tcPr>
                <w:p w14:paraId="35BF4108">
                  <w:pPr>
                    <w:widowControl/>
                    <w:jc w:val="center"/>
                    <w:textAlignment w:val="center"/>
                    <w:rPr>
                      <w:color w:val="000000"/>
                      <w:kern w:val="0"/>
                      <w:szCs w:val="21"/>
                      <w:lang w:bidi="ar"/>
                    </w:rPr>
                  </w:pPr>
                  <w:r>
                    <w:rPr>
                      <w:rFonts w:hint="eastAsia"/>
                      <w:color w:val="000000"/>
                      <w:kern w:val="0"/>
                      <w:szCs w:val="21"/>
                      <w:lang w:bidi="ar"/>
                    </w:rPr>
                    <w:t>依托</w:t>
                  </w:r>
                </w:p>
              </w:tc>
            </w:tr>
            <w:tr w14:paraId="6C6E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continue"/>
                  <w:vAlign w:val="center"/>
                </w:tcPr>
                <w:p w14:paraId="662244DF">
                  <w:pPr>
                    <w:widowControl/>
                    <w:jc w:val="center"/>
                    <w:textAlignment w:val="center"/>
                    <w:rPr>
                      <w:color w:val="000000"/>
                      <w:kern w:val="0"/>
                      <w:szCs w:val="21"/>
                      <w:lang w:bidi="ar"/>
                    </w:rPr>
                  </w:pPr>
                </w:p>
              </w:tc>
              <w:tc>
                <w:tcPr>
                  <w:tcW w:w="512" w:type="pct"/>
                  <w:vAlign w:val="center"/>
                </w:tcPr>
                <w:p w14:paraId="4BB91A6B">
                  <w:pPr>
                    <w:widowControl/>
                    <w:jc w:val="center"/>
                    <w:textAlignment w:val="center"/>
                    <w:rPr>
                      <w:color w:val="000000"/>
                      <w:kern w:val="0"/>
                      <w:szCs w:val="21"/>
                      <w:lang w:bidi="ar"/>
                    </w:rPr>
                  </w:pPr>
                  <w:r>
                    <w:rPr>
                      <w:color w:val="000000"/>
                      <w:kern w:val="0"/>
                      <w:szCs w:val="21"/>
                      <w:lang w:bidi="ar"/>
                    </w:rPr>
                    <w:t>噪声</w:t>
                  </w:r>
                </w:p>
              </w:tc>
              <w:tc>
                <w:tcPr>
                  <w:tcW w:w="2137" w:type="pct"/>
                  <w:vAlign w:val="center"/>
                </w:tcPr>
                <w:p w14:paraId="17375AEF">
                  <w:pPr>
                    <w:widowControl/>
                    <w:textAlignment w:val="center"/>
                    <w:rPr>
                      <w:color w:val="000000"/>
                      <w:kern w:val="0"/>
                      <w:szCs w:val="21"/>
                      <w:lang w:bidi="ar"/>
                    </w:rPr>
                  </w:pPr>
                  <w:r>
                    <w:rPr>
                      <w:rFonts w:hint="eastAsia"/>
                      <w:color w:val="000000"/>
                      <w:kern w:val="0"/>
                      <w:szCs w:val="21"/>
                      <w:lang w:bidi="ar"/>
                    </w:rPr>
                    <w:t>厂区、厂房、设备</w:t>
                  </w:r>
                  <w:r>
                    <w:rPr>
                      <w:color w:val="000000"/>
                      <w:kern w:val="0"/>
                      <w:szCs w:val="21"/>
                      <w:lang w:bidi="ar"/>
                    </w:rPr>
                    <w:t>采取减震、</w:t>
                  </w:r>
                  <w:r>
                    <w:rPr>
                      <w:rFonts w:hint="eastAsia"/>
                      <w:color w:val="000000"/>
                      <w:kern w:val="0"/>
                      <w:szCs w:val="21"/>
                      <w:lang w:bidi="ar"/>
                    </w:rPr>
                    <w:t>降噪、</w:t>
                  </w:r>
                  <w:r>
                    <w:rPr>
                      <w:color w:val="000000"/>
                      <w:kern w:val="0"/>
                      <w:szCs w:val="21"/>
                      <w:lang w:bidi="ar"/>
                    </w:rPr>
                    <w:t>隔声、合理布局等措施。</w:t>
                  </w:r>
                </w:p>
              </w:tc>
              <w:tc>
                <w:tcPr>
                  <w:tcW w:w="1351" w:type="pct"/>
                  <w:vAlign w:val="center"/>
                </w:tcPr>
                <w:p w14:paraId="41A8310E">
                  <w:pPr>
                    <w:widowControl/>
                    <w:jc w:val="center"/>
                    <w:textAlignment w:val="center"/>
                    <w:rPr>
                      <w:color w:val="000000"/>
                      <w:kern w:val="0"/>
                      <w:szCs w:val="21"/>
                      <w:lang w:bidi="ar"/>
                    </w:rPr>
                  </w:pPr>
                  <w:r>
                    <w:rPr>
                      <w:rFonts w:hint="eastAsia"/>
                      <w:color w:val="000000"/>
                      <w:kern w:val="0"/>
                      <w:szCs w:val="21"/>
                      <w:lang w:bidi="ar"/>
                    </w:rPr>
                    <w:t>新增肉羊屠宰车间</w:t>
                  </w:r>
                  <w:r>
                    <w:rPr>
                      <w:rFonts w:hint="eastAsia"/>
                      <w:color w:val="000000" w:themeColor="text1"/>
                      <w14:textFill>
                        <w14:solidFill>
                          <w14:schemeClr w14:val="tx1"/>
                        </w14:solidFill>
                      </w14:textFill>
                    </w:rPr>
                    <w:t>减振垫，基础减振措施</w:t>
                  </w:r>
                </w:p>
              </w:tc>
            </w:tr>
            <w:tr w14:paraId="12E8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00" w:type="pct"/>
                  <w:gridSpan w:val="2"/>
                  <w:vMerge w:val="continue"/>
                  <w:vAlign w:val="center"/>
                </w:tcPr>
                <w:p w14:paraId="703013FB">
                  <w:pPr>
                    <w:widowControl/>
                    <w:jc w:val="center"/>
                    <w:textAlignment w:val="center"/>
                    <w:rPr>
                      <w:color w:val="000000"/>
                      <w:kern w:val="0"/>
                      <w:szCs w:val="21"/>
                      <w:lang w:bidi="ar"/>
                    </w:rPr>
                  </w:pPr>
                </w:p>
              </w:tc>
              <w:tc>
                <w:tcPr>
                  <w:tcW w:w="512" w:type="pct"/>
                  <w:vAlign w:val="center"/>
                </w:tcPr>
                <w:p w14:paraId="7F7B84FB">
                  <w:pPr>
                    <w:widowControl/>
                    <w:jc w:val="center"/>
                    <w:textAlignment w:val="center"/>
                    <w:rPr>
                      <w:color w:val="000000"/>
                      <w:kern w:val="0"/>
                      <w:szCs w:val="21"/>
                      <w:lang w:bidi="ar"/>
                    </w:rPr>
                  </w:pPr>
                  <w:r>
                    <w:rPr>
                      <w:rFonts w:hint="eastAsia"/>
                      <w:color w:val="000000"/>
                      <w:kern w:val="0"/>
                      <w:szCs w:val="21"/>
                      <w:lang w:bidi="ar"/>
                    </w:rPr>
                    <w:t>固体废弃物</w:t>
                  </w:r>
                </w:p>
              </w:tc>
              <w:tc>
                <w:tcPr>
                  <w:tcW w:w="2137" w:type="pct"/>
                  <w:vAlign w:val="center"/>
                </w:tcPr>
                <w:p w14:paraId="40A99AAD">
                  <w:pPr>
                    <w:widowControl/>
                    <w:textAlignment w:val="center"/>
                    <w:rPr>
                      <w:color w:val="000000"/>
                      <w:kern w:val="0"/>
                      <w:szCs w:val="21"/>
                      <w:lang w:bidi="ar"/>
                    </w:rPr>
                  </w:pPr>
                  <w:r>
                    <w:rPr>
                      <w:rFonts w:hint="eastAsia"/>
                      <w:kern w:val="0"/>
                      <w:szCs w:val="21"/>
                      <w:lang w:bidi="ar"/>
                    </w:rPr>
                    <w:t>生活垃圾收集后由环卫部门清运处置，牲畜粪便及屠宰粪便收集于粪便临时堆场清运用作农肥，病死牲畜及屠宰加工废弃组织暂存于冷库，委托石林鑫欣桥环保科技有限公司无害化处置。</w:t>
                  </w:r>
                  <w:r>
                    <w:rPr>
                      <w:rFonts w:hint="eastAsia"/>
                      <w:color w:val="000000" w:themeColor="text1"/>
                      <w:szCs w:val="21"/>
                      <w:lang w:val="zh-CN"/>
                      <w14:textFill>
                        <w14:solidFill>
                          <w14:schemeClr w14:val="tx1"/>
                        </w14:solidFill>
                      </w14:textFill>
                    </w:rPr>
                    <w:t>危险废物收集于危废贮存间，委托云南达济再生资源回收利用有限公司处置。</w:t>
                  </w:r>
                </w:p>
              </w:tc>
              <w:tc>
                <w:tcPr>
                  <w:tcW w:w="1351" w:type="pct"/>
                  <w:vAlign w:val="center"/>
                </w:tcPr>
                <w:p w14:paraId="1D48F4EB">
                  <w:pPr>
                    <w:widowControl/>
                    <w:jc w:val="center"/>
                    <w:textAlignment w:val="center"/>
                    <w:rPr>
                      <w:color w:val="000000"/>
                      <w:kern w:val="0"/>
                      <w:szCs w:val="21"/>
                      <w:lang w:bidi="ar"/>
                    </w:rPr>
                  </w:pPr>
                  <w:r>
                    <w:rPr>
                      <w:rFonts w:hint="eastAsia"/>
                      <w:kern w:val="0"/>
                      <w:szCs w:val="21"/>
                      <w:lang w:bidi="ar"/>
                    </w:rPr>
                    <w:t>新增危废贮存间地面与裙脚表面防渗措施</w:t>
                  </w:r>
                </w:p>
              </w:tc>
            </w:tr>
          </w:tbl>
          <w:p w14:paraId="026E0558">
            <w:pPr>
              <w:rPr>
                <w:sz w:val="24"/>
              </w:rPr>
            </w:pPr>
          </w:p>
          <w:p w14:paraId="5BC1ED90">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（3）产品方案</w:t>
            </w:r>
          </w:p>
          <w:p w14:paraId="39C38E58">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项目产品方案见表2-2。</w:t>
            </w:r>
          </w:p>
          <w:p w14:paraId="1E38A86D">
            <w:pPr>
              <w:pStyle w:val="29"/>
              <w:outlineLvl w:val="9"/>
              <w:rPr>
                <w:rFonts w:hint="default"/>
              </w:rPr>
            </w:pPr>
            <w:r>
              <w:t>表2-2 项目产品方案表</w:t>
            </w:r>
          </w:p>
          <w:tbl>
            <w:tblPr>
              <w:tblStyle w:val="22"/>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1"/>
              <w:gridCol w:w="2469"/>
              <w:gridCol w:w="2470"/>
            </w:tblGrid>
            <w:tr w14:paraId="6610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021" w:type="pct"/>
                  <w:vAlign w:val="center"/>
                </w:tcPr>
                <w:p w14:paraId="2E586AD4">
                  <w:pPr>
                    <w:pStyle w:val="31"/>
                    <w:rPr>
                      <w:b/>
                      <w:bCs/>
                    </w:rPr>
                  </w:pPr>
                  <w:r>
                    <w:rPr>
                      <w:rFonts w:hint="eastAsia"/>
                      <w:b/>
                      <w:bCs/>
                    </w:rPr>
                    <w:t>项目</w:t>
                  </w:r>
                </w:p>
              </w:tc>
              <w:tc>
                <w:tcPr>
                  <w:tcW w:w="1489" w:type="pct"/>
                  <w:vAlign w:val="center"/>
                </w:tcPr>
                <w:p w14:paraId="3460A532">
                  <w:pPr>
                    <w:pStyle w:val="31"/>
                    <w:rPr>
                      <w:b/>
                      <w:bCs/>
                    </w:rPr>
                  </w:pPr>
                  <w:r>
                    <w:rPr>
                      <w:b/>
                      <w:bCs/>
                    </w:rPr>
                    <w:t>产品</w:t>
                  </w:r>
                </w:p>
              </w:tc>
              <w:tc>
                <w:tcPr>
                  <w:tcW w:w="1490" w:type="pct"/>
                  <w:vAlign w:val="center"/>
                </w:tcPr>
                <w:p w14:paraId="110719F7">
                  <w:pPr>
                    <w:pStyle w:val="31"/>
                    <w:rPr>
                      <w:b/>
                      <w:bCs/>
                    </w:rPr>
                  </w:pPr>
                  <w:r>
                    <w:rPr>
                      <w:b/>
                      <w:bCs/>
                    </w:rPr>
                    <w:t>设计</w:t>
                  </w:r>
                  <w:r>
                    <w:rPr>
                      <w:rFonts w:hint="eastAsia"/>
                      <w:b/>
                      <w:bCs/>
                    </w:rPr>
                    <w:t>生产规模</w:t>
                  </w:r>
                </w:p>
              </w:tc>
            </w:tr>
            <w:tr w14:paraId="27C6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021" w:type="pct"/>
                  <w:vAlign w:val="center"/>
                </w:tcPr>
                <w:p w14:paraId="4830285C">
                  <w:pPr>
                    <w:pStyle w:val="31"/>
                  </w:pPr>
                  <w:r>
                    <w:rPr>
                      <w:color w:val="000000"/>
                      <w:lang w:bidi="ar"/>
                    </w:rPr>
                    <w:t>30000头/年肉牛屠宰</w:t>
                  </w:r>
                  <w:r>
                    <w:rPr>
                      <w:rFonts w:hint="eastAsia"/>
                      <w:color w:val="000000"/>
                      <w:lang w:bidi="ar"/>
                    </w:rPr>
                    <w:t>项目</w:t>
                  </w:r>
                </w:p>
              </w:tc>
              <w:tc>
                <w:tcPr>
                  <w:tcW w:w="1489" w:type="pct"/>
                  <w:vAlign w:val="center"/>
                </w:tcPr>
                <w:p w14:paraId="28724D77">
                  <w:pPr>
                    <w:pStyle w:val="31"/>
                  </w:pPr>
                  <w:r>
                    <w:rPr>
                      <w:rFonts w:hint="eastAsia"/>
                    </w:rPr>
                    <w:t>牛</w:t>
                  </w:r>
                  <w:r>
                    <w:t>胴体</w:t>
                  </w:r>
                </w:p>
              </w:tc>
              <w:tc>
                <w:tcPr>
                  <w:tcW w:w="1490" w:type="pct"/>
                  <w:vAlign w:val="center"/>
                </w:tcPr>
                <w:p w14:paraId="7A891F6B">
                  <w:pPr>
                    <w:pStyle w:val="31"/>
                  </w:pPr>
                  <w:r>
                    <w:rPr>
                      <w:rFonts w:hint="eastAsia"/>
                    </w:rPr>
                    <w:t>3</w:t>
                  </w:r>
                  <w:r>
                    <w:t>0000</w:t>
                  </w:r>
                  <w:r>
                    <w:rPr>
                      <w:rFonts w:hint="eastAsia"/>
                    </w:rPr>
                    <w:t>头</w:t>
                  </w:r>
                  <w:r>
                    <w:t>/年</w:t>
                  </w:r>
                </w:p>
              </w:tc>
            </w:tr>
            <w:tr w14:paraId="40EE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021" w:type="pct"/>
                  <w:vMerge w:val="restart"/>
                  <w:vAlign w:val="center"/>
                </w:tcPr>
                <w:p w14:paraId="66189261">
                  <w:pPr>
                    <w:pStyle w:val="31"/>
                  </w:pPr>
                  <w:r>
                    <w:rPr>
                      <w:color w:val="000000"/>
                      <w:lang w:bidi="ar"/>
                    </w:rPr>
                    <w:t>10000吨/年优质牛肉精深加工</w:t>
                  </w:r>
                  <w:r>
                    <w:rPr>
                      <w:rFonts w:hint="eastAsia"/>
                      <w:color w:val="000000"/>
                      <w:lang w:bidi="ar"/>
                    </w:rPr>
                    <w:t>项目</w:t>
                  </w:r>
                </w:p>
              </w:tc>
              <w:tc>
                <w:tcPr>
                  <w:tcW w:w="1489" w:type="pct"/>
                  <w:vAlign w:val="center"/>
                </w:tcPr>
                <w:p w14:paraId="595C1C49">
                  <w:pPr>
                    <w:pStyle w:val="31"/>
                  </w:pPr>
                  <w:r>
                    <w:rPr>
                      <w:rFonts w:hint="eastAsia"/>
                    </w:rPr>
                    <w:t>分割冷鲜肉</w:t>
                  </w:r>
                </w:p>
              </w:tc>
              <w:tc>
                <w:tcPr>
                  <w:tcW w:w="1490" w:type="pct"/>
                  <w:vAlign w:val="center"/>
                </w:tcPr>
                <w:p w14:paraId="57B474B8">
                  <w:pPr>
                    <w:pStyle w:val="31"/>
                  </w:pPr>
                  <w:r>
                    <w:rPr>
                      <w:rFonts w:hint="eastAsia"/>
                      <w:color w:val="000000"/>
                      <w:lang w:bidi="ar"/>
                    </w:rPr>
                    <w:t>4500</w:t>
                  </w:r>
                  <w:r>
                    <w:rPr>
                      <w:color w:val="000000"/>
                      <w:lang w:bidi="ar"/>
                    </w:rPr>
                    <w:t>吨/年</w:t>
                  </w:r>
                </w:p>
              </w:tc>
            </w:tr>
            <w:tr w14:paraId="7ABA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021" w:type="pct"/>
                  <w:vMerge w:val="continue"/>
                  <w:vAlign w:val="center"/>
                </w:tcPr>
                <w:p w14:paraId="031A37AB">
                  <w:pPr>
                    <w:pStyle w:val="31"/>
                  </w:pPr>
                </w:p>
              </w:tc>
              <w:tc>
                <w:tcPr>
                  <w:tcW w:w="1489" w:type="pct"/>
                  <w:vAlign w:val="center"/>
                </w:tcPr>
                <w:p w14:paraId="697AA6A5">
                  <w:pPr>
                    <w:pStyle w:val="31"/>
                  </w:pPr>
                  <w:r>
                    <w:rPr>
                      <w:rFonts w:hint="eastAsia"/>
                    </w:rPr>
                    <w:t>牛扒</w:t>
                  </w:r>
                </w:p>
              </w:tc>
              <w:tc>
                <w:tcPr>
                  <w:tcW w:w="1490" w:type="pct"/>
                  <w:vAlign w:val="center"/>
                </w:tcPr>
                <w:p w14:paraId="1FD648FB">
                  <w:pPr>
                    <w:pStyle w:val="31"/>
                  </w:pPr>
                  <w:r>
                    <w:rPr>
                      <w:rFonts w:hint="eastAsia"/>
                      <w:color w:val="000000"/>
                      <w:lang w:bidi="ar"/>
                    </w:rPr>
                    <w:t>2000</w:t>
                  </w:r>
                  <w:r>
                    <w:rPr>
                      <w:color w:val="000000"/>
                      <w:lang w:bidi="ar"/>
                    </w:rPr>
                    <w:t>吨/年</w:t>
                  </w:r>
                </w:p>
              </w:tc>
            </w:tr>
            <w:tr w14:paraId="1034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021" w:type="pct"/>
                  <w:vMerge w:val="continue"/>
                  <w:vAlign w:val="center"/>
                </w:tcPr>
                <w:p w14:paraId="1CDECC3D">
                  <w:pPr>
                    <w:pStyle w:val="31"/>
                  </w:pPr>
                </w:p>
              </w:tc>
              <w:tc>
                <w:tcPr>
                  <w:tcW w:w="1489" w:type="pct"/>
                  <w:vAlign w:val="center"/>
                </w:tcPr>
                <w:p w14:paraId="3F902E27">
                  <w:pPr>
                    <w:pStyle w:val="31"/>
                  </w:pPr>
                  <w:r>
                    <w:rPr>
                      <w:rFonts w:hint="eastAsia"/>
                    </w:rPr>
                    <w:t>肉串</w:t>
                  </w:r>
                </w:p>
              </w:tc>
              <w:tc>
                <w:tcPr>
                  <w:tcW w:w="1490" w:type="pct"/>
                  <w:vAlign w:val="center"/>
                </w:tcPr>
                <w:p w14:paraId="2A4E12CF">
                  <w:pPr>
                    <w:pStyle w:val="31"/>
                  </w:pPr>
                  <w:r>
                    <w:rPr>
                      <w:rFonts w:hint="eastAsia"/>
                      <w:color w:val="000000"/>
                      <w:lang w:bidi="ar"/>
                    </w:rPr>
                    <w:t>1000</w:t>
                  </w:r>
                  <w:r>
                    <w:rPr>
                      <w:color w:val="000000"/>
                      <w:lang w:bidi="ar"/>
                    </w:rPr>
                    <w:t>吨/年</w:t>
                  </w:r>
                </w:p>
              </w:tc>
            </w:tr>
            <w:tr w14:paraId="1CCB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021" w:type="pct"/>
                  <w:vMerge w:val="continue"/>
                  <w:vAlign w:val="center"/>
                </w:tcPr>
                <w:p w14:paraId="5A3CC546">
                  <w:pPr>
                    <w:pStyle w:val="31"/>
                  </w:pPr>
                </w:p>
              </w:tc>
              <w:tc>
                <w:tcPr>
                  <w:tcW w:w="1489" w:type="pct"/>
                  <w:vAlign w:val="center"/>
                </w:tcPr>
                <w:p w14:paraId="5209B42A">
                  <w:pPr>
                    <w:pStyle w:val="31"/>
                  </w:pPr>
                  <w:r>
                    <w:rPr>
                      <w:rFonts w:hint="eastAsia"/>
                    </w:rPr>
                    <w:t>肉肠</w:t>
                  </w:r>
                </w:p>
              </w:tc>
              <w:tc>
                <w:tcPr>
                  <w:tcW w:w="1490" w:type="pct"/>
                  <w:vAlign w:val="center"/>
                </w:tcPr>
                <w:p w14:paraId="6868EFFC">
                  <w:pPr>
                    <w:pStyle w:val="31"/>
                  </w:pPr>
                  <w:r>
                    <w:rPr>
                      <w:rFonts w:hint="eastAsia"/>
                      <w:color w:val="000000"/>
                      <w:lang w:bidi="ar"/>
                    </w:rPr>
                    <w:t>1500</w:t>
                  </w:r>
                  <w:r>
                    <w:rPr>
                      <w:color w:val="000000"/>
                      <w:lang w:bidi="ar"/>
                    </w:rPr>
                    <w:t>吨/年</w:t>
                  </w:r>
                </w:p>
              </w:tc>
            </w:tr>
            <w:tr w14:paraId="47FC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021" w:type="pct"/>
                  <w:vMerge w:val="continue"/>
                  <w:vAlign w:val="center"/>
                </w:tcPr>
                <w:p w14:paraId="61445909">
                  <w:pPr>
                    <w:pStyle w:val="31"/>
                  </w:pPr>
                </w:p>
              </w:tc>
              <w:tc>
                <w:tcPr>
                  <w:tcW w:w="1489" w:type="pct"/>
                  <w:vAlign w:val="center"/>
                </w:tcPr>
                <w:p w14:paraId="1C13AF86">
                  <w:pPr>
                    <w:pStyle w:val="31"/>
                  </w:pPr>
                  <w:r>
                    <w:rPr>
                      <w:rFonts w:hint="eastAsia"/>
                    </w:rPr>
                    <w:t>肉丸</w:t>
                  </w:r>
                </w:p>
              </w:tc>
              <w:tc>
                <w:tcPr>
                  <w:tcW w:w="1490" w:type="pct"/>
                  <w:vAlign w:val="center"/>
                </w:tcPr>
                <w:p w14:paraId="16189440">
                  <w:pPr>
                    <w:pStyle w:val="31"/>
                  </w:pPr>
                  <w:r>
                    <w:rPr>
                      <w:rFonts w:hint="eastAsia"/>
                      <w:color w:val="000000"/>
                      <w:lang w:bidi="ar"/>
                    </w:rPr>
                    <w:t>1000</w:t>
                  </w:r>
                  <w:r>
                    <w:rPr>
                      <w:color w:val="000000"/>
                      <w:lang w:bidi="ar"/>
                    </w:rPr>
                    <w:t>吨/年</w:t>
                  </w:r>
                </w:p>
              </w:tc>
            </w:tr>
            <w:tr w14:paraId="2C7C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021" w:type="pct"/>
                  <w:vMerge w:val="continue"/>
                  <w:vAlign w:val="center"/>
                </w:tcPr>
                <w:p w14:paraId="6C66FB55">
                  <w:pPr>
                    <w:pStyle w:val="31"/>
                  </w:pPr>
                </w:p>
              </w:tc>
              <w:tc>
                <w:tcPr>
                  <w:tcW w:w="1489" w:type="pct"/>
                  <w:vAlign w:val="center"/>
                </w:tcPr>
                <w:p w14:paraId="481ABA0F">
                  <w:pPr>
                    <w:pStyle w:val="31"/>
                  </w:pPr>
                  <w:r>
                    <w:rPr>
                      <w:rFonts w:hint="eastAsia"/>
                    </w:rPr>
                    <w:t>肥牛</w:t>
                  </w:r>
                </w:p>
              </w:tc>
              <w:tc>
                <w:tcPr>
                  <w:tcW w:w="1490" w:type="pct"/>
                  <w:vAlign w:val="center"/>
                </w:tcPr>
                <w:p w14:paraId="45C4DDC5">
                  <w:pPr>
                    <w:pStyle w:val="31"/>
                  </w:pPr>
                  <w:r>
                    <w:rPr>
                      <w:rFonts w:hint="eastAsia"/>
                      <w:color w:val="000000"/>
                      <w:lang w:bidi="ar"/>
                    </w:rPr>
                    <w:t>1000</w:t>
                  </w:r>
                  <w:r>
                    <w:rPr>
                      <w:color w:val="000000"/>
                      <w:lang w:bidi="ar"/>
                    </w:rPr>
                    <w:t>吨/年</w:t>
                  </w:r>
                </w:p>
              </w:tc>
            </w:tr>
            <w:tr w14:paraId="0A4C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021" w:type="pct"/>
                  <w:vMerge w:val="continue"/>
                  <w:vAlign w:val="center"/>
                </w:tcPr>
                <w:p w14:paraId="6434CF5D">
                  <w:pPr>
                    <w:pStyle w:val="31"/>
                  </w:pPr>
                </w:p>
              </w:tc>
              <w:tc>
                <w:tcPr>
                  <w:tcW w:w="1489" w:type="pct"/>
                  <w:vAlign w:val="center"/>
                </w:tcPr>
                <w:p w14:paraId="338DD440">
                  <w:pPr>
                    <w:pStyle w:val="31"/>
                  </w:pPr>
                  <w:r>
                    <w:rPr>
                      <w:rFonts w:hint="eastAsia"/>
                    </w:rPr>
                    <w:t>干巴</w:t>
                  </w:r>
                </w:p>
              </w:tc>
              <w:tc>
                <w:tcPr>
                  <w:tcW w:w="1490" w:type="pct"/>
                  <w:vAlign w:val="center"/>
                </w:tcPr>
                <w:p w14:paraId="59040551">
                  <w:pPr>
                    <w:pStyle w:val="31"/>
                  </w:pPr>
                  <w:r>
                    <w:rPr>
                      <w:rFonts w:hint="eastAsia"/>
                      <w:color w:val="000000"/>
                      <w:lang w:bidi="ar"/>
                    </w:rPr>
                    <w:t>15</w:t>
                  </w:r>
                  <w:r>
                    <w:rPr>
                      <w:color w:val="000000"/>
                      <w:lang w:bidi="ar"/>
                    </w:rPr>
                    <w:t>吨/年</w:t>
                  </w:r>
                </w:p>
              </w:tc>
            </w:tr>
            <w:tr w14:paraId="1EFF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021" w:type="pct"/>
                  <w:vAlign w:val="center"/>
                </w:tcPr>
                <w:p w14:paraId="4C1B8420">
                  <w:pPr>
                    <w:pStyle w:val="31"/>
                  </w:pPr>
                  <w:r>
                    <w:rPr>
                      <w:rFonts w:hint="eastAsia"/>
                    </w:rPr>
                    <w:t>50000只/年肉羊屠宰加工项目</w:t>
                  </w:r>
                </w:p>
              </w:tc>
              <w:tc>
                <w:tcPr>
                  <w:tcW w:w="1489" w:type="pct"/>
                  <w:vAlign w:val="center"/>
                </w:tcPr>
                <w:p w14:paraId="22C41993">
                  <w:pPr>
                    <w:pStyle w:val="31"/>
                  </w:pPr>
                  <w:r>
                    <w:rPr>
                      <w:rFonts w:hint="eastAsia"/>
                    </w:rPr>
                    <w:t>热鲜羊</w:t>
                  </w:r>
                  <w:r>
                    <w:t>胴体</w:t>
                  </w:r>
                </w:p>
              </w:tc>
              <w:tc>
                <w:tcPr>
                  <w:tcW w:w="1490" w:type="pct"/>
                  <w:vAlign w:val="center"/>
                </w:tcPr>
                <w:p w14:paraId="56A8A647">
                  <w:pPr>
                    <w:pStyle w:val="31"/>
                  </w:pPr>
                  <w:r>
                    <w:rPr>
                      <w:rFonts w:hint="eastAsia"/>
                    </w:rPr>
                    <w:t>5</w:t>
                  </w:r>
                  <w:r>
                    <w:t>0000</w:t>
                  </w:r>
                  <w:r>
                    <w:rPr>
                      <w:rFonts w:hint="eastAsia"/>
                    </w:rPr>
                    <w:t>只</w:t>
                  </w:r>
                  <w:r>
                    <w:t>/年</w:t>
                  </w:r>
                </w:p>
              </w:tc>
            </w:tr>
          </w:tbl>
          <w:p w14:paraId="526ACDC9">
            <w:pPr>
              <w:pStyle w:val="36"/>
              <w:spacing w:line="240" w:lineRule="auto"/>
              <w:ind w:firstLine="0" w:firstLineChars="0"/>
              <w:rPr>
                <w:color w:val="000000" w:themeColor="text1"/>
                <w:spacing w:val="0"/>
                <w:lang w:eastAsia="zh-CN"/>
                <w14:textFill>
                  <w14:solidFill>
                    <w14:schemeClr w14:val="tx1"/>
                  </w14:solidFill>
                </w14:textFill>
              </w:rPr>
            </w:pPr>
          </w:p>
          <w:p w14:paraId="6E677967">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（4）原辅材料及能耗</w:t>
            </w:r>
          </w:p>
          <w:p w14:paraId="12A94C6C">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项目原辅材料及能耗见表2-3。</w:t>
            </w:r>
          </w:p>
          <w:p w14:paraId="03E58336">
            <w:pPr>
              <w:pStyle w:val="29"/>
              <w:outlineLvl w:val="9"/>
              <w:rPr>
                <w:rFonts w:hint="default"/>
              </w:rPr>
            </w:pPr>
            <w:r>
              <w:t>表2-3 项目原辅材料及能耗表</w:t>
            </w:r>
          </w:p>
          <w:tbl>
            <w:tblPr>
              <w:tblStyle w:val="22"/>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411"/>
              <w:gridCol w:w="3805"/>
            </w:tblGrid>
            <w:tr w14:paraId="4F8B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51" w:type="pct"/>
                  <w:vAlign w:val="center"/>
                </w:tcPr>
                <w:p w14:paraId="43DC3936">
                  <w:pPr>
                    <w:pStyle w:val="31"/>
                    <w:rPr>
                      <w:b/>
                      <w:bCs/>
                    </w:rPr>
                  </w:pPr>
                  <w:r>
                    <w:rPr>
                      <w:b/>
                      <w:bCs/>
                    </w:rPr>
                    <w:t>名称</w:t>
                  </w:r>
                </w:p>
              </w:tc>
              <w:tc>
                <w:tcPr>
                  <w:tcW w:w="1454" w:type="pct"/>
                  <w:vAlign w:val="center"/>
                </w:tcPr>
                <w:p w14:paraId="728BB151">
                  <w:pPr>
                    <w:pStyle w:val="31"/>
                    <w:rPr>
                      <w:b/>
                      <w:bCs/>
                    </w:rPr>
                  </w:pPr>
                  <w:r>
                    <w:rPr>
                      <w:b/>
                      <w:bCs/>
                    </w:rPr>
                    <w:t>设计消耗量</w:t>
                  </w:r>
                </w:p>
              </w:tc>
              <w:tc>
                <w:tcPr>
                  <w:tcW w:w="2295" w:type="pct"/>
                  <w:vAlign w:val="center"/>
                </w:tcPr>
                <w:p w14:paraId="741E756C">
                  <w:pPr>
                    <w:pStyle w:val="31"/>
                    <w:rPr>
                      <w:b/>
                      <w:bCs/>
                    </w:rPr>
                  </w:pPr>
                  <w:r>
                    <w:rPr>
                      <w:b/>
                      <w:bCs/>
                    </w:rPr>
                    <w:t>备注</w:t>
                  </w:r>
                </w:p>
              </w:tc>
            </w:tr>
            <w:tr w14:paraId="704B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51" w:type="pct"/>
                  <w:vAlign w:val="center"/>
                </w:tcPr>
                <w:p w14:paraId="5AE7852F">
                  <w:pPr>
                    <w:pStyle w:val="31"/>
                  </w:pPr>
                  <w:r>
                    <w:rPr>
                      <w:rFonts w:hint="eastAsia"/>
                    </w:rPr>
                    <w:t>活牛</w:t>
                  </w:r>
                </w:p>
              </w:tc>
              <w:tc>
                <w:tcPr>
                  <w:tcW w:w="1454" w:type="pct"/>
                  <w:vAlign w:val="center"/>
                </w:tcPr>
                <w:p w14:paraId="7EED3922">
                  <w:pPr>
                    <w:pStyle w:val="31"/>
                  </w:pPr>
                  <w:r>
                    <w:rPr>
                      <w:rFonts w:hint="eastAsia"/>
                    </w:rPr>
                    <w:t>3</w:t>
                  </w:r>
                  <w:r>
                    <w:t>0000</w:t>
                  </w:r>
                  <w:r>
                    <w:rPr>
                      <w:rFonts w:hint="eastAsia"/>
                    </w:rPr>
                    <w:t>头</w:t>
                  </w:r>
                  <w:r>
                    <w:t>/年</w:t>
                  </w:r>
                </w:p>
              </w:tc>
              <w:tc>
                <w:tcPr>
                  <w:tcW w:w="2295" w:type="pct"/>
                  <w:vAlign w:val="center"/>
                </w:tcPr>
                <w:p w14:paraId="6DB5BE1E">
                  <w:pPr>
                    <w:pStyle w:val="31"/>
                  </w:pPr>
                  <w:r>
                    <w:rPr>
                      <w:rFonts w:hint="eastAsia"/>
                    </w:rPr>
                    <w:t>外购，实际规模约15</w:t>
                  </w:r>
                  <w:r>
                    <w:t>000</w:t>
                  </w:r>
                  <w:r>
                    <w:rPr>
                      <w:rFonts w:hint="eastAsia"/>
                    </w:rPr>
                    <w:t>头</w:t>
                  </w:r>
                  <w:r>
                    <w:t>/年</w:t>
                  </w:r>
                </w:p>
              </w:tc>
            </w:tr>
            <w:tr w14:paraId="5FDB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51" w:type="pct"/>
                  <w:vAlign w:val="center"/>
                </w:tcPr>
                <w:p w14:paraId="7440B471">
                  <w:pPr>
                    <w:pStyle w:val="31"/>
                  </w:pPr>
                  <w:r>
                    <w:t>活羊</w:t>
                  </w:r>
                </w:p>
              </w:tc>
              <w:tc>
                <w:tcPr>
                  <w:tcW w:w="1454" w:type="pct"/>
                  <w:vAlign w:val="center"/>
                </w:tcPr>
                <w:p w14:paraId="715748C3">
                  <w:pPr>
                    <w:pStyle w:val="31"/>
                  </w:pPr>
                  <w:r>
                    <w:t>50000只/年</w:t>
                  </w:r>
                </w:p>
              </w:tc>
              <w:tc>
                <w:tcPr>
                  <w:tcW w:w="2295" w:type="pct"/>
                  <w:vAlign w:val="center"/>
                </w:tcPr>
                <w:p w14:paraId="3C8F4877">
                  <w:pPr>
                    <w:pStyle w:val="31"/>
                  </w:pPr>
                  <w:r>
                    <w:t>外购</w:t>
                  </w:r>
                  <w:r>
                    <w:rPr>
                      <w:rFonts w:hint="eastAsia"/>
                    </w:rPr>
                    <w:t>，项目新增，按设计规模计</w:t>
                  </w:r>
                </w:p>
              </w:tc>
            </w:tr>
            <w:tr w14:paraId="6EFE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51" w:type="pct"/>
                  <w:vAlign w:val="center"/>
                </w:tcPr>
                <w:p w14:paraId="6C0D4433">
                  <w:pPr>
                    <w:pStyle w:val="31"/>
                  </w:pPr>
                  <w:r>
                    <w:rPr>
                      <w:rFonts w:hint="eastAsia"/>
                    </w:rPr>
                    <w:t>辅料（袋装佐料）</w:t>
                  </w:r>
                </w:p>
              </w:tc>
              <w:tc>
                <w:tcPr>
                  <w:tcW w:w="1454" w:type="pct"/>
                  <w:vAlign w:val="center"/>
                </w:tcPr>
                <w:p w14:paraId="53FE45C6">
                  <w:pPr>
                    <w:pStyle w:val="31"/>
                  </w:pPr>
                  <w:r>
                    <w:rPr>
                      <w:rFonts w:hint="eastAsia"/>
                    </w:rPr>
                    <w:t>8000千克</w:t>
                  </w:r>
                  <w:r>
                    <w:t>/年</w:t>
                  </w:r>
                </w:p>
              </w:tc>
              <w:tc>
                <w:tcPr>
                  <w:tcW w:w="2295" w:type="pct"/>
                  <w:vAlign w:val="center"/>
                </w:tcPr>
                <w:p w14:paraId="5CC79079">
                  <w:pPr>
                    <w:pStyle w:val="31"/>
                  </w:pPr>
                  <w:r>
                    <w:rPr>
                      <w:rFonts w:hint="eastAsia"/>
                    </w:rPr>
                    <w:t>外购</w:t>
                  </w:r>
                </w:p>
              </w:tc>
            </w:tr>
            <w:tr w14:paraId="3E2E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51" w:type="pct"/>
                  <w:vAlign w:val="center"/>
                </w:tcPr>
                <w:p w14:paraId="0079AB23">
                  <w:pPr>
                    <w:pStyle w:val="31"/>
                  </w:pPr>
                  <w:r>
                    <w:rPr>
                      <w:rFonts w:hint="eastAsia"/>
                    </w:rPr>
                    <w:t>纸箱</w:t>
                  </w:r>
                </w:p>
              </w:tc>
              <w:tc>
                <w:tcPr>
                  <w:tcW w:w="1454" w:type="pct"/>
                  <w:vAlign w:val="center"/>
                </w:tcPr>
                <w:p w14:paraId="56A714B6">
                  <w:pPr>
                    <w:pStyle w:val="31"/>
                  </w:pPr>
                  <w:r>
                    <w:rPr>
                      <w:rFonts w:hint="eastAsia"/>
                    </w:rPr>
                    <w:t>10000个</w:t>
                  </w:r>
                  <w:r>
                    <w:t>/年</w:t>
                  </w:r>
                </w:p>
              </w:tc>
              <w:tc>
                <w:tcPr>
                  <w:tcW w:w="2295" w:type="pct"/>
                  <w:vAlign w:val="center"/>
                </w:tcPr>
                <w:p w14:paraId="62D27065">
                  <w:pPr>
                    <w:pStyle w:val="31"/>
                  </w:pPr>
                  <w:r>
                    <w:rPr>
                      <w:rFonts w:hint="eastAsia"/>
                    </w:rPr>
                    <w:t>外购</w:t>
                  </w:r>
                </w:p>
              </w:tc>
            </w:tr>
            <w:tr w14:paraId="2C7A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51" w:type="pct"/>
                  <w:vAlign w:val="center"/>
                </w:tcPr>
                <w:p w14:paraId="698084BF">
                  <w:pPr>
                    <w:pStyle w:val="31"/>
                  </w:pPr>
                  <w:r>
                    <w:rPr>
                      <w:rFonts w:hint="eastAsia"/>
                    </w:rPr>
                    <w:t>真空包装袋</w:t>
                  </w:r>
                </w:p>
              </w:tc>
              <w:tc>
                <w:tcPr>
                  <w:tcW w:w="1454" w:type="pct"/>
                  <w:vAlign w:val="center"/>
                </w:tcPr>
                <w:p w14:paraId="02717180">
                  <w:pPr>
                    <w:pStyle w:val="31"/>
                  </w:pPr>
                  <w:r>
                    <w:rPr>
                      <w:rFonts w:hint="eastAsia"/>
                    </w:rPr>
                    <w:t>100万个</w:t>
                  </w:r>
                  <w:r>
                    <w:t>/年</w:t>
                  </w:r>
                </w:p>
              </w:tc>
              <w:tc>
                <w:tcPr>
                  <w:tcW w:w="2295" w:type="pct"/>
                  <w:vAlign w:val="center"/>
                </w:tcPr>
                <w:p w14:paraId="551BF45F">
                  <w:pPr>
                    <w:pStyle w:val="31"/>
                  </w:pPr>
                  <w:r>
                    <w:rPr>
                      <w:rFonts w:hint="eastAsia"/>
                    </w:rPr>
                    <w:t>外购</w:t>
                  </w:r>
                </w:p>
              </w:tc>
            </w:tr>
            <w:tr w14:paraId="5F19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51" w:type="pct"/>
                  <w:vAlign w:val="center"/>
                </w:tcPr>
                <w:p w14:paraId="64EDA9E8">
                  <w:pPr>
                    <w:pStyle w:val="31"/>
                  </w:pPr>
                  <w:r>
                    <w:rPr>
                      <w:rFonts w:hint="eastAsia"/>
                    </w:rPr>
                    <w:t>耗水</w:t>
                  </w:r>
                </w:p>
              </w:tc>
              <w:tc>
                <w:tcPr>
                  <w:tcW w:w="1454" w:type="pct"/>
                  <w:vAlign w:val="center"/>
                </w:tcPr>
                <w:p w14:paraId="0C9C19D4">
                  <w:pPr>
                    <w:pStyle w:val="31"/>
                  </w:pPr>
                  <w:r>
                    <w:rPr>
                      <w:rFonts w:hint="eastAsia"/>
                    </w:rPr>
                    <w:t>约104600</w:t>
                  </w:r>
                  <w:r>
                    <w:rPr>
                      <w:rFonts w:hint="eastAsia"/>
                      <w:lang w:bidi="ar"/>
                    </w:rPr>
                    <w:t>立方米</w:t>
                  </w:r>
                  <w:r>
                    <w:t>/</w:t>
                  </w:r>
                  <w:r>
                    <w:rPr>
                      <w:rFonts w:hint="eastAsia"/>
                    </w:rPr>
                    <w:t>年</w:t>
                  </w:r>
                </w:p>
              </w:tc>
              <w:tc>
                <w:tcPr>
                  <w:tcW w:w="2295" w:type="pct"/>
                  <w:vAlign w:val="center"/>
                </w:tcPr>
                <w:p w14:paraId="5B9786BF">
                  <w:pPr>
                    <w:pStyle w:val="31"/>
                  </w:pPr>
                  <w:r>
                    <w:rPr>
                      <w:rFonts w:hint="eastAsia"/>
                    </w:rPr>
                    <w:t>市政供水，项目新增15000</w:t>
                  </w:r>
                  <w:r>
                    <w:rPr>
                      <w:rFonts w:hint="eastAsia"/>
                      <w:lang w:bidi="ar"/>
                    </w:rPr>
                    <w:t>立方米</w:t>
                  </w:r>
                  <w:r>
                    <w:t>/</w:t>
                  </w:r>
                  <w:r>
                    <w:rPr>
                      <w:rFonts w:hint="eastAsia"/>
                    </w:rPr>
                    <w:t>年</w:t>
                  </w:r>
                </w:p>
              </w:tc>
            </w:tr>
            <w:tr w14:paraId="49E2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51" w:type="pct"/>
                  <w:vAlign w:val="center"/>
                </w:tcPr>
                <w:p w14:paraId="2A42F513">
                  <w:pPr>
                    <w:pStyle w:val="31"/>
                  </w:pPr>
                  <w:r>
                    <w:rPr>
                      <w:rFonts w:hint="eastAsia"/>
                    </w:rPr>
                    <w:t>耗电</w:t>
                  </w:r>
                </w:p>
              </w:tc>
              <w:tc>
                <w:tcPr>
                  <w:tcW w:w="1454" w:type="pct"/>
                  <w:vAlign w:val="center"/>
                </w:tcPr>
                <w:p w14:paraId="65C0ABA6">
                  <w:pPr>
                    <w:pStyle w:val="31"/>
                  </w:pPr>
                  <w:r>
                    <w:rPr>
                      <w:rFonts w:hint="eastAsia"/>
                    </w:rPr>
                    <w:t>约400万度/年</w:t>
                  </w:r>
                </w:p>
              </w:tc>
              <w:tc>
                <w:tcPr>
                  <w:tcW w:w="2295" w:type="pct"/>
                  <w:vAlign w:val="center"/>
                </w:tcPr>
                <w:p w14:paraId="2B85DFAA">
                  <w:pPr>
                    <w:pStyle w:val="31"/>
                  </w:pPr>
                  <w:r>
                    <w:rPr>
                      <w:rFonts w:hint="eastAsia"/>
                    </w:rPr>
                    <w:t>市政供电</w:t>
                  </w:r>
                </w:p>
              </w:tc>
            </w:tr>
            <w:tr w14:paraId="222A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51" w:type="pct"/>
                  <w:vAlign w:val="center"/>
                </w:tcPr>
                <w:p w14:paraId="04D38D7D">
                  <w:pPr>
                    <w:pStyle w:val="31"/>
                  </w:pPr>
                  <w:r>
                    <w:rPr>
                      <w:rFonts w:hint="eastAsia"/>
                    </w:rPr>
                    <w:t>液氨</w:t>
                  </w:r>
                </w:p>
              </w:tc>
              <w:tc>
                <w:tcPr>
                  <w:tcW w:w="1454" w:type="pct"/>
                  <w:vAlign w:val="center"/>
                </w:tcPr>
                <w:p w14:paraId="42E79AD9">
                  <w:pPr>
                    <w:pStyle w:val="31"/>
                  </w:pPr>
                  <w:r>
                    <w:rPr>
                      <w:rFonts w:hint="eastAsia"/>
                    </w:rPr>
                    <w:t>3000千克/年</w:t>
                  </w:r>
                </w:p>
              </w:tc>
              <w:tc>
                <w:tcPr>
                  <w:tcW w:w="2295" w:type="pct"/>
                  <w:vAlign w:val="center"/>
                </w:tcPr>
                <w:p w14:paraId="4A2C57A4">
                  <w:pPr>
                    <w:pStyle w:val="31"/>
                  </w:pPr>
                  <w:r>
                    <w:rPr>
                      <w:rFonts w:hint="eastAsia"/>
                    </w:rPr>
                    <w:t>外购</w:t>
                  </w:r>
                </w:p>
              </w:tc>
            </w:tr>
            <w:tr w14:paraId="7AFD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51" w:type="pct"/>
                  <w:vAlign w:val="center"/>
                </w:tcPr>
                <w:p w14:paraId="77E170A6">
                  <w:pPr>
                    <w:pStyle w:val="31"/>
                  </w:pPr>
                  <w:r>
                    <w:rPr>
                      <w:rFonts w:hint="eastAsia"/>
                    </w:rPr>
                    <w:t>聚丙烯酰胺</w:t>
                  </w:r>
                </w:p>
              </w:tc>
              <w:tc>
                <w:tcPr>
                  <w:tcW w:w="1454" w:type="pct"/>
                  <w:vAlign w:val="center"/>
                </w:tcPr>
                <w:p w14:paraId="1EAB9215">
                  <w:pPr>
                    <w:pStyle w:val="31"/>
                  </w:pPr>
                  <w:r>
                    <w:rPr>
                      <w:rFonts w:hint="eastAsia"/>
                    </w:rPr>
                    <w:t>370千克/年</w:t>
                  </w:r>
                </w:p>
              </w:tc>
              <w:tc>
                <w:tcPr>
                  <w:tcW w:w="2295" w:type="pct"/>
                  <w:vAlign w:val="center"/>
                </w:tcPr>
                <w:p w14:paraId="370FFA2F">
                  <w:pPr>
                    <w:pStyle w:val="31"/>
                  </w:pPr>
                  <w:r>
                    <w:rPr>
                      <w:rFonts w:hint="eastAsia"/>
                    </w:rPr>
                    <w:t>外购</w:t>
                  </w:r>
                </w:p>
              </w:tc>
            </w:tr>
            <w:tr w14:paraId="4ED5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51" w:type="pct"/>
                  <w:vAlign w:val="center"/>
                </w:tcPr>
                <w:p w14:paraId="4284D1F2">
                  <w:pPr>
                    <w:pStyle w:val="31"/>
                  </w:pPr>
                  <w:r>
                    <w:rPr>
                      <w:rFonts w:hint="eastAsia"/>
                    </w:rPr>
                    <w:t>聚合氯化铝</w:t>
                  </w:r>
                </w:p>
              </w:tc>
              <w:tc>
                <w:tcPr>
                  <w:tcW w:w="1454" w:type="pct"/>
                  <w:vAlign w:val="center"/>
                </w:tcPr>
                <w:p w14:paraId="7C770F8C">
                  <w:pPr>
                    <w:pStyle w:val="31"/>
                  </w:pPr>
                  <w:r>
                    <w:rPr>
                      <w:rFonts w:hint="eastAsia"/>
                    </w:rPr>
                    <w:t>6720千克/年</w:t>
                  </w:r>
                </w:p>
              </w:tc>
              <w:tc>
                <w:tcPr>
                  <w:tcW w:w="2295" w:type="pct"/>
                  <w:vAlign w:val="center"/>
                </w:tcPr>
                <w:p w14:paraId="7E9C5781">
                  <w:pPr>
                    <w:pStyle w:val="31"/>
                  </w:pPr>
                  <w:r>
                    <w:rPr>
                      <w:rFonts w:hint="eastAsia"/>
                    </w:rPr>
                    <w:t>外购</w:t>
                  </w:r>
                </w:p>
              </w:tc>
            </w:tr>
            <w:tr w14:paraId="2A07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51" w:type="pct"/>
                  <w:vAlign w:val="center"/>
                </w:tcPr>
                <w:p w14:paraId="4432F988">
                  <w:pPr>
                    <w:pStyle w:val="31"/>
                  </w:pPr>
                  <w:r>
                    <w:rPr>
                      <w:rFonts w:hint="eastAsia"/>
                    </w:rPr>
                    <w:t>氢氧化钠</w:t>
                  </w:r>
                </w:p>
              </w:tc>
              <w:tc>
                <w:tcPr>
                  <w:tcW w:w="1454" w:type="pct"/>
                  <w:vAlign w:val="center"/>
                </w:tcPr>
                <w:p w14:paraId="729BC273">
                  <w:pPr>
                    <w:pStyle w:val="31"/>
                  </w:pPr>
                  <w:r>
                    <w:rPr>
                      <w:rFonts w:hint="eastAsia"/>
                    </w:rPr>
                    <w:t>12300千克/年</w:t>
                  </w:r>
                </w:p>
              </w:tc>
              <w:tc>
                <w:tcPr>
                  <w:tcW w:w="2295" w:type="pct"/>
                  <w:vAlign w:val="center"/>
                </w:tcPr>
                <w:p w14:paraId="5C7FB322">
                  <w:pPr>
                    <w:pStyle w:val="31"/>
                  </w:pPr>
                  <w:r>
                    <w:rPr>
                      <w:rFonts w:hint="eastAsia"/>
                    </w:rPr>
                    <w:t>外购</w:t>
                  </w:r>
                </w:p>
              </w:tc>
            </w:tr>
            <w:tr w14:paraId="4B7B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51" w:type="pct"/>
                  <w:vAlign w:val="center"/>
                </w:tcPr>
                <w:p w14:paraId="2436893F">
                  <w:pPr>
                    <w:pStyle w:val="31"/>
                  </w:pPr>
                  <w:r>
                    <w:rPr>
                      <w:rFonts w:hint="eastAsia"/>
                    </w:rPr>
                    <w:t>消毒液</w:t>
                  </w:r>
                </w:p>
              </w:tc>
              <w:tc>
                <w:tcPr>
                  <w:tcW w:w="1454" w:type="pct"/>
                  <w:vAlign w:val="center"/>
                </w:tcPr>
                <w:p w14:paraId="5B3BF8DF">
                  <w:pPr>
                    <w:pStyle w:val="31"/>
                  </w:pPr>
                  <w:r>
                    <w:rPr>
                      <w:rFonts w:hint="eastAsia"/>
                    </w:rPr>
                    <w:t>760千克/年</w:t>
                  </w:r>
                </w:p>
              </w:tc>
              <w:tc>
                <w:tcPr>
                  <w:tcW w:w="2295" w:type="pct"/>
                  <w:vAlign w:val="center"/>
                </w:tcPr>
                <w:p w14:paraId="26C76BB0">
                  <w:pPr>
                    <w:pStyle w:val="31"/>
                  </w:pPr>
                  <w:r>
                    <w:rPr>
                      <w:rFonts w:hint="eastAsia"/>
                    </w:rPr>
                    <w:t>外购</w:t>
                  </w:r>
                </w:p>
              </w:tc>
            </w:tr>
            <w:tr w14:paraId="7619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51" w:type="pct"/>
                  <w:vAlign w:val="center"/>
                </w:tcPr>
                <w:p w14:paraId="38562875">
                  <w:pPr>
                    <w:pStyle w:val="31"/>
                  </w:pPr>
                  <w:r>
                    <w:rPr>
                      <w:rFonts w:hint="eastAsia"/>
                    </w:rPr>
                    <w:t>生物除臭剂</w:t>
                  </w:r>
                </w:p>
              </w:tc>
              <w:tc>
                <w:tcPr>
                  <w:tcW w:w="1454" w:type="pct"/>
                  <w:vAlign w:val="center"/>
                </w:tcPr>
                <w:p w14:paraId="5C5AECDA">
                  <w:pPr>
                    <w:pStyle w:val="31"/>
                  </w:pPr>
                  <w:r>
                    <w:rPr>
                      <w:rFonts w:hint="eastAsia"/>
                    </w:rPr>
                    <w:t>10500千克/年</w:t>
                  </w:r>
                </w:p>
              </w:tc>
              <w:tc>
                <w:tcPr>
                  <w:tcW w:w="2295" w:type="pct"/>
                  <w:vAlign w:val="center"/>
                </w:tcPr>
                <w:p w14:paraId="273D4F59">
                  <w:pPr>
                    <w:pStyle w:val="31"/>
                  </w:pPr>
                  <w:r>
                    <w:rPr>
                      <w:rFonts w:hint="eastAsia"/>
                    </w:rPr>
                    <w:t>外购</w:t>
                  </w:r>
                </w:p>
              </w:tc>
            </w:tr>
          </w:tbl>
          <w:p w14:paraId="7F701CCA">
            <w:pPr>
              <w:pStyle w:val="36"/>
              <w:spacing w:line="240" w:lineRule="auto"/>
              <w:ind w:firstLine="0" w:firstLineChars="0"/>
              <w:rPr>
                <w:spacing w:val="0"/>
                <w:lang w:eastAsia="zh-CN"/>
              </w:rPr>
            </w:pPr>
          </w:p>
          <w:p w14:paraId="0B0D5E1B">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（5）生产设备</w:t>
            </w:r>
          </w:p>
          <w:p w14:paraId="1ADFFADE">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项目生产设备见表2-4。</w:t>
            </w:r>
          </w:p>
          <w:p w14:paraId="5950C1FD">
            <w:pPr>
              <w:pStyle w:val="36"/>
              <w:ind w:firstLine="0" w:firstLineChars="0"/>
              <w:rPr>
                <w:color w:val="000000" w:themeColor="text1"/>
                <w:spacing w:val="0"/>
                <w:lang w:eastAsia="zh-CN"/>
                <w14:textFill>
                  <w14:solidFill>
                    <w14:schemeClr w14:val="tx1"/>
                  </w14:solidFill>
                </w14:textFill>
              </w:rPr>
            </w:pPr>
          </w:p>
          <w:p w14:paraId="77FD55FF">
            <w:pPr>
              <w:pStyle w:val="36"/>
              <w:ind w:firstLine="0" w:firstLineChars="0"/>
              <w:rPr>
                <w:color w:val="000000" w:themeColor="text1"/>
                <w:spacing w:val="0"/>
                <w:lang w:eastAsia="zh-CN"/>
                <w14:textFill>
                  <w14:solidFill>
                    <w14:schemeClr w14:val="tx1"/>
                  </w14:solidFill>
                </w14:textFill>
              </w:rPr>
            </w:pPr>
          </w:p>
          <w:p w14:paraId="22ED060D">
            <w:pPr>
              <w:pStyle w:val="29"/>
              <w:outlineLvl w:val="9"/>
              <w:rPr>
                <w:rFonts w:hint="default"/>
              </w:rPr>
            </w:pPr>
            <w:r>
              <w:t>表2-4 项目生产设备表</w:t>
            </w:r>
          </w:p>
          <w:tbl>
            <w:tblPr>
              <w:tblStyle w:val="22"/>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851"/>
              <w:gridCol w:w="1701"/>
              <w:gridCol w:w="1907"/>
              <w:gridCol w:w="1353"/>
              <w:gridCol w:w="1113"/>
            </w:tblGrid>
            <w:tr w14:paraId="5392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Align w:val="center"/>
                </w:tcPr>
                <w:p w14:paraId="7A0DD445">
                  <w:pPr>
                    <w:pStyle w:val="31"/>
                    <w:rPr>
                      <w:b/>
                      <w:bCs/>
                    </w:rPr>
                  </w:pPr>
                  <w:r>
                    <w:rPr>
                      <w:rFonts w:hint="eastAsia"/>
                      <w:b/>
                      <w:bCs/>
                    </w:rPr>
                    <w:t>项目</w:t>
                  </w:r>
                </w:p>
              </w:tc>
              <w:tc>
                <w:tcPr>
                  <w:tcW w:w="513" w:type="pct"/>
                  <w:vAlign w:val="center"/>
                </w:tcPr>
                <w:p w14:paraId="0CCF4057">
                  <w:pPr>
                    <w:pStyle w:val="31"/>
                    <w:rPr>
                      <w:b/>
                      <w:bCs/>
                    </w:rPr>
                  </w:pPr>
                  <w:r>
                    <w:rPr>
                      <w:b/>
                      <w:bCs/>
                    </w:rPr>
                    <w:t>序号</w:t>
                  </w:r>
                </w:p>
              </w:tc>
              <w:tc>
                <w:tcPr>
                  <w:tcW w:w="1026" w:type="pct"/>
                  <w:vAlign w:val="center"/>
                </w:tcPr>
                <w:p w14:paraId="27ADB688">
                  <w:pPr>
                    <w:pStyle w:val="31"/>
                    <w:rPr>
                      <w:b/>
                      <w:bCs/>
                    </w:rPr>
                  </w:pPr>
                  <w:r>
                    <w:rPr>
                      <w:b/>
                      <w:bCs/>
                    </w:rPr>
                    <w:t>名称</w:t>
                  </w:r>
                </w:p>
              </w:tc>
              <w:tc>
                <w:tcPr>
                  <w:tcW w:w="1150" w:type="pct"/>
                  <w:vAlign w:val="center"/>
                </w:tcPr>
                <w:p w14:paraId="7F955A11">
                  <w:pPr>
                    <w:pStyle w:val="31"/>
                    <w:rPr>
                      <w:b/>
                      <w:bCs/>
                    </w:rPr>
                  </w:pPr>
                  <w:r>
                    <w:rPr>
                      <w:b/>
                      <w:bCs/>
                    </w:rPr>
                    <w:t>型号规格</w:t>
                  </w:r>
                </w:p>
              </w:tc>
              <w:tc>
                <w:tcPr>
                  <w:tcW w:w="816" w:type="pct"/>
                  <w:vAlign w:val="center"/>
                </w:tcPr>
                <w:p w14:paraId="1FAD39E2">
                  <w:pPr>
                    <w:pStyle w:val="31"/>
                    <w:rPr>
                      <w:b/>
                      <w:bCs/>
                    </w:rPr>
                  </w:pPr>
                  <w:r>
                    <w:rPr>
                      <w:b/>
                      <w:bCs/>
                    </w:rPr>
                    <w:t>数量</w:t>
                  </w:r>
                </w:p>
              </w:tc>
              <w:tc>
                <w:tcPr>
                  <w:tcW w:w="671" w:type="pct"/>
                  <w:vAlign w:val="center"/>
                </w:tcPr>
                <w:p w14:paraId="064FE2F0">
                  <w:pPr>
                    <w:pStyle w:val="31"/>
                    <w:rPr>
                      <w:b/>
                      <w:bCs/>
                    </w:rPr>
                  </w:pPr>
                  <w:r>
                    <w:rPr>
                      <w:rFonts w:hint="eastAsia"/>
                      <w:b/>
                      <w:bCs/>
                    </w:rPr>
                    <w:t>备注</w:t>
                  </w:r>
                </w:p>
              </w:tc>
            </w:tr>
            <w:tr w14:paraId="50D8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restart"/>
                  <w:vAlign w:val="center"/>
                </w:tcPr>
                <w:p w14:paraId="73C88942">
                  <w:pPr>
                    <w:pStyle w:val="31"/>
                  </w:pPr>
                  <w:r>
                    <w:rPr>
                      <w:color w:val="000000"/>
                      <w:lang w:bidi="ar"/>
                    </w:rPr>
                    <w:t>30000头/年肉牛屠宰</w:t>
                  </w:r>
                  <w:r>
                    <w:rPr>
                      <w:rFonts w:hint="eastAsia"/>
                      <w:color w:val="000000"/>
                      <w:lang w:bidi="ar"/>
                    </w:rPr>
                    <w:t>生产线</w:t>
                  </w:r>
                </w:p>
              </w:tc>
              <w:tc>
                <w:tcPr>
                  <w:tcW w:w="513" w:type="pct"/>
                  <w:vAlign w:val="center"/>
                </w:tcPr>
                <w:p w14:paraId="6F46A43B">
                  <w:pPr>
                    <w:pStyle w:val="31"/>
                  </w:pPr>
                  <w:r>
                    <w:rPr>
                      <w:rFonts w:hint="eastAsia"/>
                    </w:rPr>
                    <w:t>1</w:t>
                  </w:r>
                </w:p>
              </w:tc>
              <w:tc>
                <w:tcPr>
                  <w:tcW w:w="1026" w:type="pct"/>
                  <w:vAlign w:val="center"/>
                </w:tcPr>
                <w:p w14:paraId="041763FF">
                  <w:pPr>
                    <w:pStyle w:val="31"/>
                  </w:pPr>
                  <w:r>
                    <w:rPr>
                      <w:rFonts w:hint="eastAsia"/>
                    </w:rPr>
                    <w:t>牵牛机</w:t>
                  </w:r>
                </w:p>
              </w:tc>
              <w:tc>
                <w:tcPr>
                  <w:tcW w:w="1150" w:type="pct"/>
                  <w:vAlign w:val="center"/>
                </w:tcPr>
                <w:p w14:paraId="1063EB28">
                  <w:pPr>
                    <w:pStyle w:val="31"/>
                  </w:pPr>
                  <w:r>
                    <w:rPr>
                      <w:rFonts w:hint="eastAsia"/>
                    </w:rPr>
                    <w:t>2.2kW</w:t>
                  </w:r>
                </w:p>
              </w:tc>
              <w:tc>
                <w:tcPr>
                  <w:tcW w:w="816" w:type="pct"/>
                  <w:vAlign w:val="center"/>
                </w:tcPr>
                <w:p w14:paraId="644115E0">
                  <w:pPr>
                    <w:pStyle w:val="31"/>
                  </w:pPr>
                  <w:r>
                    <w:rPr>
                      <w:rFonts w:hint="eastAsia"/>
                    </w:rPr>
                    <w:t>1</w:t>
                  </w:r>
                </w:p>
              </w:tc>
              <w:tc>
                <w:tcPr>
                  <w:tcW w:w="671" w:type="pct"/>
                  <w:vAlign w:val="center"/>
                </w:tcPr>
                <w:p w14:paraId="2FF122FE">
                  <w:pPr>
                    <w:pStyle w:val="31"/>
                  </w:pPr>
                </w:p>
              </w:tc>
            </w:tr>
            <w:tr w14:paraId="20BD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21154CE9">
                  <w:pPr>
                    <w:pStyle w:val="31"/>
                  </w:pPr>
                </w:p>
              </w:tc>
              <w:tc>
                <w:tcPr>
                  <w:tcW w:w="513" w:type="pct"/>
                  <w:vAlign w:val="center"/>
                </w:tcPr>
                <w:p w14:paraId="493445E2">
                  <w:pPr>
                    <w:pStyle w:val="31"/>
                  </w:pPr>
                  <w:r>
                    <w:rPr>
                      <w:rFonts w:hint="eastAsia"/>
                    </w:rPr>
                    <w:t>2</w:t>
                  </w:r>
                </w:p>
              </w:tc>
              <w:tc>
                <w:tcPr>
                  <w:tcW w:w="1026" w:type="pct"/>
                  <w:vAlign w:val="center"/>
                </w:tcPr>
                <w:p w14:paraId="7569D4A0">
                  <w:pPr>
                    <w:pStyle w:val="31"/>
                  </w:pPr>
                  <w:r>
                    <w:rPr>
                      <w:rFonts w:hint="eastAsia"/>
                    </w:rPr>
                    <w:t>开合式翻板箱</w:t>
                  </w:r>
                </w:p>
              </w:tc>
              <w:tc>
                <w:tcPr>
                  <w:tcW w:w="1150" w:type="pct"/>
                  <w:vAlign w:val="center"/>
                </w:tcPr>
                <w:p w14:paraId="780F030B">
                  <w:pPr>
                    <w:pStyle w:val="31"/>
                  </w:pPr>
                  <w:r>
                    <w:rPr>
                      <w:rFonts w:hint="eastAsia"/>
                    </w:rPr>
                    <w:t>气动</w:t>
                  </w:r>
                </w:p>
              </w:tc>
              <w:tc>
                <w:tcPr>
                  <w:tcW w:w="816" w:type="pct"/>
                  <w:vAlign w:val="center"/>
                </w:tcPr>
                <w:p w14:paraId="72F4C630">
                  <w:pPr>
                    <w:pStyle w:val="31"/>
                  </w:pPr>
                  <w:r>
                    <w:rPr>
                      <w:rFonts w:hint="eastAsia"/>
                    </w:rPr>
                    <w:t>1</w:t>
                  </w:r>
                </w:p>
              </w:tc>
              <w:tc>
                <w:tcPr>
                  <w:tcW w:w="671" w:type="pct"/>
                  <w:vAlign w:val="center"/>
                </w:tcPr>
                <w:p w14:paraId="33640FC2">
                  <w:pPr>
                    <w:pStyle w:val="31"/>
                  </w:pPr>
                </w:p>
              </w:tc>
            </w:tr>
            <w:tr w14:paraId="35B8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319975ED">
                  <w:pPr>
                    <w:pStyle w:val="31"/>
                  </w:pPr>
                </w:p>
              </w:tc>
              <w:tc>
                <w:tcPr>
                  <w:tcW w:w="513" w:type="pct"/>
                  <w:vAlign w:val="center"/>
                </w:tcPr>
                <w:p w14:paraId="674DDBA3">
                  <w:pPr>
                    <w:pStyle w:val="31"/>
                  </w:pPr>
                  <w:r>
                    <w:rPr>
                      <w:rFonts w:hint="eastAsia"/>
                    </w:rPr>
                    <w:t>3</w:t>
                  </w:r>
                </w:p>
              </w:tc>
              <w:tc>
                <w:tcPr>
                  <w:tcW w:w="1026" w:type="pct"/>
                  <w:vAlign w:val="center"/>
                </w:tcPr>
                <w:p w14:paraId="30EFF48D">
                  <w:pPr>
                    <w:pStyle w:val="31"/>
                  </w:pPr>
                  <w:r>
                    <w:rPr>
                      <w:rFonts w:hint="eastAsia"/>
                    </w:rPr>
                    <w:t>旋转翻板箱</w:t>
                  </w:r>
                </w:p>
              </w:tc>
              <w:tc>
                <w:tcPr>
                  <w:tcW w:w="1150" w:type="pct"/>
                  <w:vAlign w:val="center"/>
                </w:tcPr>
                <w:p w14:paraId="00859420">
                  <w:pPr>
                    <w:pStyle w:val="31"/>
                  </w:pPr>
                  <w:r>
                    <w:rPr>
                      <w:rFonts w:hint="eastAsia"/>
                    </w:rPr>
                    <w:t>油压</w:t>
                  </w:r>
                </w:p>
              </w:tc>
              <w:tc>
                <w:tcPr>
                  <w:tcW w:w="816" w:type="pct"/>
                  <w:vAlign w:val="center"/>
                </w:tcPr>
                <w:p w14:paraId="1F904D5E">
                  <w:pPr>
                    <w:pStyle w:val="31"/>
                  </w:pPr>
                  <w:r>
                    <w:rPr>
                      <w:rFonts w:hint="eastAsia"/>
                    </w:rPr>
                    <w:t>1</w:t>
                  </w:r>
                </w:p>
              </w:tc>
              <w:tc>
                <w:tcPr>
                  <w:tcW w:w="671" w:type="pct"/>
                  <w:vAlign w:val="center"/>
                </w:tcPr>
                <w:p w14:paraId="7DF4DC66">
                  <w:pPr>
                    <w:pStyle w:val="31"/>
                  </w:pPr>
                </w:p>
              </w:tc>
            </w:tr>
            <w:tr w14:paraId="219A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55D38CEC">
                  <w:pPr>
                    <w:pStyle w:val="31"/>
                  </w:pPr>
                </w:p>
              </w:tc>
              <w:tc>
                <w:tcPr>
                  <w:tcW w:w="513" w:type="pct"/>
                  <w:vAlign w:val="center"/>
                </w:tcPr>
                <w:p w14:paraId="2FD2257C">
                  <w:pPr>
                    <w:pStyle w:val="31"/>
                  </w:pPr>
                  <w:r>
                    <w:rPr>
                      <w:rFonts w:hint="eastAsia"/>
                    </w:rPr>
                    <w:t>4</w:t>
                  </w:r>
                </w:p>
              </w:tc>
              <w:tc>
                <w:tcPr>
                  <w:tcW w:w="1026" w:type="pct"/>
                  <w:vAlign w:val="center"/>
                </w:tcPr>
                <w:p w14:paraId="2BF4C12B">
                  <w:pPr>
                    <w:pStyle w:val="31"/>
                  </w:pPr>
                  <w:r>
                    <w:rPr>
                      <w:rFonts w:hint="eastAsia"/>
                    </w:rPr>
                    <w:t>旋转翻板箱</w:t>
                  </w:r>
                </w:p>
              </w:tc>
              <w:tc>
                <w:tcPr>
                  <w:tcW w:w="1150" w:type="pct"/>
                  <w:vAlign w:val="center"/>
                </w:tcPr>
                <w:p w14:paraId="67A34E28">
                  <w:pPr>
                    <w:pStyle w:val="31"/>
                  </w:pPr>
                  <w:r>
                    <w:rPr>
                      <w:rFonts w:hint="eastAsia"/>
                    </w:rPr>
                    <w:t>气动</w:t>
                  </w:r>
                </w:p>
              </w:tc>
              <w:tc>
                <w:tcPr>
                  <w:tcW w:w="816" w:type="pct"/>
                  <w:vAlign w:val="center"/>
                </w:tcPr>
                <w:p w14:paraId="7EFA55EE">
                  <w:pPr>
                    <w:pStyle w:val="31"/>
                  </w:pPr>
                  <w:r>
                    <w:rPr>
                      <w:rFonts w:hint="eastAsia"/>
                    </w:rPr>
                    <w:t>1</w:t>
                  </w:r>
                </w:p>
              </w:tc>
              <w:tc>
                <w:tcPr>
                  <w:tcW w:w="671" w:type="pct"/>
                  <w:vAlign w:val="center"/>
                </w:tcPr>
                <w:p w14:paraId="64BF7FE6">
                  <w:pPr>
                    <w:pStyle w:val="31"/>
                  </w:pPr>
                </w:p>
              </w:tc>
            </w:tr>
            <w:tr w14:paraId="4BFB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7E588C95">
                  <w:pPr>
                    <w:pStyle w:val="31"/>
                  </w:pPr>
                </w:p>
              </w:tc>
              <w:tc>
                <w:tcPr>
                  <w:tcW w:w="513" w:type="pct"/>
                  <w:vAlign w:val="center"/>
                </w:tcPr>
                <w:p w14:paraId="2616326E">
                  <w:pPr>
                    <w:pStyle w:val="31"/>
                  </w:pPr>
                  <w:r>
                    <w:rPr>
                      <w:rFonts w:hint="eastAsia"/>
                    </w:rPr>
                    <w:t>5</w:t>
                  </w:r>
                </w:p>
              </w:tc>
              <w:tc>
                <w:tcPr>
                  <w:tcW w:w="1026" w:type="pct"/>
                  <w:vAlign w:val="center"/>
                </w:tcPr>
                <w:p w14:paraId="3C997B01">
                  <w:pPr>
                    <w:pStyle w:val="31"/>
                  </w:pPr>
                  <w:r>
                    <w:rPr>
                      <w:rFonts w:hint="eastAsia"/>
                    </w:rPr>
                    <w:t>吊挂葫芦</w:t>
                  </w:r>
                </w:p>
              </w:tc>
              <w:tc>
                <w:tcPr>
                  <w:tcW w:w="1150" w:type="pct"/>
                  <w:vAlign w:val="center"/>
                </w:tcPr>
                <w:p w14:paraId="6710B56B">
                  <w:pPr>
                    <w:pStyle w:val="31"/>
                  </w:pPr>
                  <w:r>
                    <w:rPr>
                      <w:rFonts w:hint="eastAsia"/>
                    </w:rPr>
                    <w:t>2t</w:t>
                  </w:r>
                </w:p>
              </w:tc>
              <w:tc>
                <w:tcPr>
                  <w:tcW w:w="816" w:type="pct"/>
                  <w:vAlign w:val="center"/>
                </w:tcPr>
                <w:p w14:paraId="070CC4D5">
                  <w:pPr>
                    <w:pStyle w:val="31"/>
                  </w:pPr>
                  <w:r>
                    <w:rPr>
                      <w:rFonts w:hint="eastAsia"/>
                    </w:rPr>
                    <w:t>4</w:t>
                  </w:r>
                </w:p>
              </w:tc>
              <w:tc>
                <w:tcPr>
                  <w:tcW w:w="671" w:type="pct"/>
                  <w:vAlign w:val="center"/>
                </w:tcPr>
                <w:p w14:paraId="0FE7D5A1">
                  <w:pPr>
                    <w:pStyle w:val="31"/>
                  </w:pPr>
                  <w:r>
                    <w:rPr>
                      <w:rFonts w:hint="eastAsia"/>
                    </w:rPr>
                    <w:t>新增1台</w:t>
                  </w:r>
                </w:p>
              </w:tc>
            </w:tr>
            <w:tr w14:paraId="2E7E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34DA6A59">
                  <w:pPr>
                    <w:pStyle w:val="31"/>
                  </w:pPr>
                </w:p>
              </w:tc>
              <w:tc>
                <w:tcPr>
                  <w:tcW w:w="513" w:type="pct"/>
                  <w:vAlign w:val="center"/>
                </w:tcPr>
                <w:p w14:paraId="3A2EB8C4">
                  <w:pPr>
                    <w:pStyle w:val="31"/>
                  </w:pPr>
                  <w:r>
                    <w:rPr>
                      <w:rFonts w:hint="eastAsia"/>
                    </w:rPr>
                    <w:t>6</w:t>
                  </w:r>
                </w:p>
              </w:tc>
              <w:tc>
                <w:tcPr>
                  <w:tcW w:w="1026" w:type="pct"/>
                  <w:vAlign w:val="center"/>
                </w:tcPr>
                <w:p w14:paraId="2D730847">
                  <w:pPr>
                    <w:pStyle w:val="31"/>
                  </w:pPr>
                  <w:r>
                    <w:rPr>
                      <w:rFonts w:hint="eastAsia"/>
                    </w:rPr>
                    <w:t>放血预剥线</w:t>
                  </w:r>
                </w:p>
              </w:tc>
              <w:tc>
                <w:tcPr>
                  <w:tcW w:w="1150" w:type="pct"/>
                  <w:vAlign w:val="center"/>
                </w:tcPr>
                <w:p w14:paraId="311153CD">
                  <w:pPr>
                    <w:pStyle w:val="31"/>
                  </w:pPr>
                  <w:r>
                    <w:rPr>
                      <w:rFonts w:hint="eastAsia"/>
                    </w:rPr>
                    <w:t>35m</w:t>
                  </w:r>
                </w:p>
              </w:tc>
              <w:tc>
                <w:tcPr>
                  <w:tcW w:w="816" w:type="pct"/>
                  <w:vAlign w:val="center"/>
                </w:tcPr>
                <w:p w14:paraId="00C8A84F">
                  <w:pPr>
                    <w:pStyle w:val="31"/>
                  </w:pPr>
                  <w:r>
                    <w:rPr>
                      <w:rFonts w:hint="eastAsia"/>
                    </w:rPr>
                    <w:t>2</w:t>
                  </w:r>
                </w:p>
              </w:tc>
              <w:tc>
                <w:tcPr>
                  <w:tcW w:w="671" w:type="pct"/>
                  <w:vAlign w:val="center"/>
                </w:tcPr>
                <w:p w14:paraId="2CED8118">
                  <w:pPr>
                    <w:pStyle w:val="31"/>
                  </w:pPr>
                </w:p>
              </w:tc>
            </w:tr>
            <w:tr w14:paraId="6017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4D61D48C">
                  <w:pPr>
                    <w:pStyle w:val="31"/>
                  </w:pPr>
                </w:p>
              </w:tc>
              <w:tc>
                <w:tcPr>
                  <w:tcW w:w="513" w:type="pct"/>
                  <w:vAlign w:val="center"/>
                </w:tcPr>
                <w:p w14:paraId="3D23E057">
                  <w:pPr>
                    <w:pStyle w:val="31"/>
                  </w:pPr>
                  <w:r>
                    <w:rPr>
                      <w:rFonts w:hint="eastAsia"/>
                    </w:rPr>
                    <w:t>7</w:t>
                  </w:r>
                </w:p>
              </w:tc>
              <w:tc>
                <w:tcPr>
                  <w:tcW w:w="1026" w:type="pct"/>
                  <w:vAlign w:val="center"/>
                </w:tcPr>
                <w:p w14:paraId="24624F83">
                  <w:pPr>
                    <w:pStyle w:val="31"/>
                  </w:pPr>
                  <w:r>
                    <w:rPr>
                      <w:rFonts w:hint="eastAsia"/>
                    </w:rPr>
                    <w:t>转轨葫芦</w:t>
                  </w:r>
                </w:p>
              </w:tc>
              <w:tc>
                <w:tcPr>
                  <w:tcW w:w="1150" w:type="pct"/>
                  <w:vAlign w:val="center"/>
                </w:tcPr>
                <w:p w14:paraId="6A910943">
                  <w:pPr>
                    <w:pStyle w:val="31"/>
                  </w:pPr>
                  <w:r>
                    <w:rPr>
                      <w:rFonts w:hint="eastAsia"/>
                    </w:rPr>
                    <w:t>2t</w:t>
                  </w:r>
                </w:p>
              </w:tc>
              <w:tc>
                <w:tcPr>
                  <w:tcW w:w="816" w:type="pct"/>
                  <w:vAlign w:val="center"/>
                </w:tcPr>
                <w:p w14:paraId="591D43C7">
                  <w:pPr>
                    <w:pStyle w:val="31"/>
                  </w:pPr>
                  <w:r>
                    <w:rPr>
                      <w:rFonts w:hint="eastAsia"/>
                    </w:rPr>
                    <w:t>2</w:t>
                  </w:r>
                </w:p>
              </w:tc>
              <w:tc>
                <w:tcPr>
                  <w:tcW w:w="671" w:type="pct"/>
                  <w:vAlign w:val="center"/>
                </w:tcPr>
                <w:p w14:paraId="52BE0D79">
                  <w:pPr>
                    <w:pStyle w:val="31"/>
                  </w:pPr>
                </w:p>
              </w:tc>
            </w:tr>
            <w:tr w14:paraId="5E3B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3193E858">
                  <w:pPr>
                    <w:pStyle w:val="31"/>
                  </w:pPr>
                </w:p>
              </w:tc>
              <w:tc>
                <w:tcPr>
                  <w:tcW w:w="513" w:type="pct"/>
                  <w:vAlign w:val="center"/>
                </w:tcPr>
                <w:p w14:paraId="124540BA">
                  <w:pPr>
                    <w:pStyle w:val="31"/>
                  </w:pPr>
                  <w:r>
                    <w:rPr>
                      <w:rFonts w:hint="eastAsia"/>
                    </w:rPr>
                    <w:t>8</w:t>
                  </w:r>
                </w:p>
              </w:tc>
              <w:tc>
                <w:tcPr>
                  <w:tcW w:w="1026" w:type="pct"/>
                  <w:vAlign w:val="center"/>
                </w:tcPr>
                <w:p w14:paraId="05D0E15C">
                  <w:pPr>
                    <w:pStyle w:val="31"/>
                  </w:pPr>
                  <w:r>
                    <w:rPr>
                      <w:rFonts w:hint="eastAsia"/>
                    </w:rPr>
                    <w:t>头蹄传送带</w:t>
                  </w:r>
                </w:p>
              </w:tc>
              <w:tc>
                <w:tcPr>
                  <w:tcW w:w="1150" w:type="pct"/>
                  <w:vAlign w:val="center"/>
                </w:tcPr>
                <w:p w14:paraId="39624C55">
                  <w:pPr>
                    <w:pStyle w:val="31"/>
                  </w:pPr>
                  <w:r>
                    <w:rPr>
                      <w:rFonts w:hint="eastAsia"/>
                    </w:rPr>
                    <w:t>2.2kW</w:t>
                  </w:r>
                </w:p>
              </w:tc>
              <w:tc>
                <w:tcPr>
                  <w:tcW w:w="816" w:type="pct"/>
                  <w:vAlign w:val="center"/>
                </w:tcPr>
                <w:p w14:paraId="0B171E6A">
                  <w:pPr>
                    <w:pStyle w:val="31"/>
                  </w:pPr>
                  <w:r>
                    <w:rPr>
                      <w:rFonts w:hint="eastAsia"/>
                    </w:rPr>
                    <w:t>1</w:t>
                  </w:r>
                </w:p>
              </w:tc>
              <w:tc>
                <w:tcPr>
                  <w:tcW w:w="671" w:type="pct"/>
                  <w:vAlign w:val="center"/>
                </w:tcPr>
                <w:p w14:paraId="10F69191">
                  <w:pPr>
                    <w:pStyle w:val="31"/>
                  </w:pPr>
                </w:p>
              </w:tc>
            </w:tr>
            <w:tr w14:paraId="4D58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1C1633E3">
                  <w:pPr>
                    <w:pStyle w:val="31"/>
                  </w:pPr>
                </w:p>
              </w:tc>
              <w:tc>
                <w:tcPr>
                  <w:tcW w:w="513" w:type="pct"/>
                  <w:vAlign w:val="center"/>
                </w:tcPr>
                <w:p w14:paraId="1AD15F03">
                  <w:pPr>
                    <w:pStyle w:val="31"/>
                  </w:pPr>
                  <w:r>
                    <w:rPr>
                      <w:rFonts w:hint="eastAsia"/>
                    </w:rPr>
                    <w:t>9</w:t>
                  </w:r>
                </w:p>
              </w:tc>
              <w:tc>
                <w:tcPr>
                  <w:tcW w:w="1026" w:type="pct"/>
                  <w:vAlign w:val="center"/>
                </w:tcPr>
                <w:p w14:paraId="6D36BDDE">
                  <w:pPr>
                    <w:pStyle w:val="31"/>
                  </w:pPr>
                  <w:r>
                    <w:rPr>
                      <w:rFonts w:hint="eastAsia"/>
                    </w:rPr>
                    <w:t>双杆气动站台</w:t>
                  </w:r>
                </w:p>
              </w:tc>
              <w:tc>
                <w:tcPr>
                  <w:tcW w:w="1150" w:type="pct"/>
                  <w:vAlign w:val="center"/>
                </w:tcPr>
                <w:p w14:paraId="681EEE4C">
                  <w:pPr>
                    <w:pStyle w:val="31"/>
                  </w:pPr>
                  <w:r>
                    <w:rPr>
                      <w:rFonts w:hint="eastAsia"/>
                    </w:rPr>
                    <w:t>180cm x 150</w:t>
                  </w:r>
                  <w:r>
                    <w:t>cm</w:t>
                  </w:r>
                </w:p>
              </w:tc>
              <w:tc>
                <w:tcPr>
                  <w:tcW w:w="816" w:type="pct"/>
                  <w:vAlign w:val="center"/>
                </w:tcPr>
                <w:p w14:paraId="05A8D52C">
                  <w:pPr>
                    <w:pStyle w:val="31"/>
                  </w:pPr>
                  <w:r>
                    <w:rPr>
                      <w:rFonts w:hint="eastAsia"/>
                    </w:rPr>
                    <w:t>9</w:t>
                  </w:r>
                </w:p>
              </w:tc>
              <w:tc>
                <w:tcPr>
                  <w:tcW w:w="671" w:type="pct"/>
                  <w:vAlign w:val="center"/>
                </w:tcPr>
                <w:p w14:paraId="39069A41">
                  <w:pPr>
                    <w:pStyle w:val="31"/>
                  </w:pPr>
                </w:p>
              </w:tc>
            </w:tr>
            <w:tr w14:paraId="7D7C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79DF13CD">
                  <w:pPr>
                    <w:pStyle w:val="31"/>
                  </w:pPr>
                </w:p>
              </w:tc>
              <w:tc>
                <w:tcPr>
                  <w:tcW w:w="513" w:type="pct"/>
                  <w:vAlign w:val="center"/>
                </w:tcPr>
                <w:p w14:paraId="7E0792C9">
                  <w:pPr>
                    <w:pStyle w:val="31"/>
                  </w:pPr>
                  <w:r>
                    <w:rPr>
                      <w:rFonts w:hint="eastAsia"/>
                    </w:rPr>
                    <w:t>10</w:t>
                  </w:r>
                </w:p>
              </w:tc>
              <w:tc>
                <w:tcPr>
                  <w:tcW w:w="1026" w:type="pct"/>
                  <w:vAlign w:val="center"/>
                </w:tcPr>
                <w:p w14:paraId="039717D8">
                  <w:pPr>
                    <w:pStyle w:val="31"/>
                  </w:pPr>
                  <w:r>
                    <w:rPr>
                      <w:rFonts w:hint="eastAsia"/>
                    </w:rPr>
                    <w:t>剥皮机</w:t>
                  </w:r>
                </w:p>
              </w:tc>
              <w:tc>
                <w:tcPr>
                  <w:tcW w:w="1150" w:type="pct"/>
                  <w:vAlign w:val="center"/>
                </w:tcPr>
                <w:p w14:paraId="567A5F75">
                  <w:pPr>
                    <w:pStyle w:val="31"/>
                  </w:pPr>
                  <w:r>
                    <w:rPr>
                      <w:rFonts w:hint="eastAsia"/>
                    </w:rPr>
                    <w:t>气动、3kW</w:t>
                  </w:r>
                </w:p>
              </w:tc>
              <w:tc>
                <w:tcPr>
                  <w:tcW w:w="816" w:type="pct"/>
                  <w:vAlign w:val="center"/>
                </w:tcPr>
                <w:p w14:paraId="2FACE8DE">
                  <w:pPr>
                    <w:pStyle w:val="31"/>
                  </w:pPr>
                  <w:r>
                    <w:rPr>
                      <w:rFonts w:hint="eastAsia"/>
                    </w:rPr>
                    <w:t>2</w:t>
                  </w:r>
                </w:p>
              </w:tc>
              <w:tc>
                <w:tcPr>
                  <w:tcW w:w="671" w:type="pct"/>
                  <w:vAlign w:val="center"/>
                </w:tcPr>
                <w:p w14:paraId="176E4C91">
                  <w:pPr>
                    <w:pStyle w:val="31"/>
                  </w:pPr>
                </w:p>
              </w:tc>
            </w:tr>
            <w:tr w14:paraId="4D0A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651E6831">
                  <w:pPr>
                    <w:pStyle w:val="31"/>
                  </w:pPr>
                </w:p>
              </w:tc>
              <w:tc>
                <w:tcPr>
                  <w:tcW w:w="513" w:type="pct"/>
                  <w:vAlign w:val="center"/>
                </w:tcPr>
                <w:p w14:paraId="5A8FFA50">
                  <w:pPr>
                    <w:pStyle w:val="31"/>
                  </w:pPr>
                  <w:r>
                    <w:rPr>
                      <w:rFonts w:hint="eastAsia"/>
                    </w:rPr>
                    <w:t>11</w:t>
                  </w:r>
                </w:p>
              </w:tc>
              <w:tc>
                <w:tcPr>
                  <w:tcW w:w="1026" w:type="pct"/>
                  <w:vAlign w:val="center"/>
                </w:tcPr>
                <w:p w14:paraId="6082B916">
                  <w:pPr>
                    <w:pStyle w:val="31"/>
                  </w:pPr>
                  <w:r>
                    <w:rPr>
                      <w:rFonts w:hint="eastAsia"/>
                    </w:rPr>
                    <w:t>牛皮传送带</w:t>
                  </w:r>
                </w:p>
              </w:tc>
              <w:tc>
                <w:tcPr>
                  <w:tcW w:w="1150" w:type="pct"/>
                  <w:vAlign w:val="center"/>
                </w:tcPr>
                <w:p w14:paraId="12035BA9">
                  <w:pPr>
                    <w:pStyle w:val="31"/>
                  </w:pPr>
                  <w:r>
                    <w:rPr>
                      <w:rFonts w:hint="eastAsia"/>
                    </w:rPr>
                    <w:t>2.2kW</w:t>
                  </w:r>
                </w:p>
              </w:tc>
              <w:tc>
                <w:tcPr>
                  <w:tcW w:w="816" w:type="pct"/>
                  <w:vAlign w:val="center"/>
                </w:tcPr>
                <w:p w14:paraId="25E00DA1">
                  <w:pPr>
                    <w:pStyle w:val="31"/>
                  </w:pPr>
                  <w:r>
                    <w:rPr>
                      <w:rFonts w:hint="eastAsia"/>
                    </w:rPr>
                    <w:t>2</w:t>
                  </w:r>
                </w:p>
              </w:tc>
              <w:tc>
                <w:tcPr>
                  <w:tcW w:w="671" w:type="pct"/>
                  <w:vAlign w:val="center"/>
                </w:tcPr>
                <w:p w14:paraId="1F77ABE9">
                  <w:pPr>
                    <w:pStyle w:val="31"/>
                  </w:pPr>
                </w:p>
              </w:tc>
            </w:tr>
            <w:tr w14:paraId="701A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4FE88E45">
                  <w:pPr>
                    <w:pStyle w:val="31"/>
                  </w:pPr>
                </w:p>
              </w:tc>
              <w:tc>
                <w:tcPr>
                  <w:tcW w:w="513" w:type="pct"/>
                  <w:vAlign w:val="center"/>
                </w:tcPr>
                <w:p w14:paraId="27A6C8B5">
                  <w:pPr>
                    <w:pStyle w:val="31"/>
                  </w:pPr>
                  <w:r>
                    <w:rPr>
                      <w:rFonts w:hint="eastAsia"/>
                    </w:rPr>
                    <w:t>12</w:t>
                  </w:r>
                </w:p>
              </w:tc>
              <w:tc>
                <w:tcPr>
                  <w:tcW w:w="1026" w:type="pct"/>
                  <w:vAlign w:val="center"/>
                </w:tcPr>
                <w:p w14:paraId="446E80D9">
                  <w:pPr>
                    <w:pStyle w:val="31"/>
                  </w:pPr>
                  <w:r>
                    <w:rPr>
                      <w:rFonts w:hint="eastAsia"/>
                    </w:rPr>
                    <w:t>内脏传送带</w:t>
                  </w:r>
                </w:p>
              </w:tc>
              <w:tc>
                <w:tcPr>
                  <w:tcW w:w="1150" w:type="pct"/>
                  <w:vAlign w:val="center"/>
                </w:tcPr>
                <w:p w14:paraId="5E51EE68">
                  <w:pPr>
                    <w:pStyle w:val="31"/>
                  </w:pPr>
                  <w:r>
                    <w:rPr>
                      <w:rFonts w:hint="eastAsia"/>
                    </w:rPr>
                    <w:t>4kW</w:t>
                  </w:r>
                </w:p>
              </w:tc>
              <w:tc>
                <w:tcPr>
                  <w:tcW w:w="816" w:type="pct"/>
                  <w:vAlign w:val="center"/>
                </w:tcPr>
                <w:p w14:paraId="0833E300">
                  <w:pPr>
                    <w:pStyle w:val="31"/>
                  </w:pPr>
                  <w:r>
                    <w:rPr>
                      <w:rFonts w:hint="eastAsia"/>
                    </w:rPr>
                    <w:t>1</w:t>
                  </w:r>
                </w:p>
              </w:tc>
              <w:tc>
                <w:tcPr>
                  <w:tcW w:w="671" w:type="pct"/>
                  <w:vAlign w:val="center"/>
                </w:tcPr>
                <w:p w14:paraId="49983AF6">
                  <w:pPr>
                    <w:pStyle w:val="31"/>
                  </w:pPr>
                </w:p>
              </w:tc>
            </w:tr>
            <w:tr w14:paraId="45EA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14EC644A">
                  <w:pPr>
                    <w:pStyle w:val="31"/>
                  </w:pPr>
                </w:p>
              </w:tc>
              <w:tc>
                <w:tcPr>
                  <w:tcW w:w="513" w:type="pct"/>
                  <w:vAlign w:val="center"/>
                </w:tcPr>
                <w:p w14:paraId="4BD0161E">
                  <w:pPr>
                    <w:pStyle w:val="31"/>
                  </w:pPr>
                  <w:r>
                    <w:rPr>
                      <w:rFonts w:hint="eastAsia"/>
                    </w:rPr>
                    <w:t>13</w:t>
                  </w:r>
                </w:p>
              </w:tc>
              <w:tc>
                <w:tcPr>
                  <w:tcW w:w="1026" w:type="pct"/>
                  <w:vAlign w:val="center"/>
                </w:tcPr>
                <w:p w14:paraId="08ED4F53">
                  <w:pPr>
                    <w:pStyle w:val="31"/>
                  </w:pPr>
                  <w:r>
                    <w:rPr>
                      <w:rFonts w:hint="eastAsia"/>
                    </w:rPr>
                    <w:t>空压机</w:t>
                  </w:r>
                </w:p>
              </w:tc>
              <w:tc>
                <w:tcPr>
                  <w:tcW w:w="1150" w:type="pct"/>
                  <w:vAlign w:val="center"/>
                </w:tcPr>
                <w:p w14:paraId="1308CF23">
                  <w:pPr>
                    <w:pStyle w:val="31"/>
                  </w:pPr>
                  <w:r>
                    <w:rPr>
                      <w:rFonts w:hint="eastAsia"/>
                    </w:rPr>
                    <w:t>18.5kW</w:t>
                  </w:r>
                </w:p>
              </w:tc>
              <w:tc>
                <w:tcPr>
                  <w:tcW w:w="816" w:type="pct"/>
                  <w:vAlign w:val="center"/>
                </w:tcPr>
                <w:p w14:paraId="53FF3D18">
                  <w:pPr>
                    <w:pStyle w:val="31"/>
                  </w:pPr>
                  <w:r>
                    <w:rPr>
                      <w:rFonts w:hint="eastAsia"/>
                    </w:rPr>
                    <w:t>2</w:t>
                  </w:r>
                </w:p>
              </w:tc>
              <w:tc>
                <w:tcPr>
                  <w:tcW w:w="671" w:type="pct"/>
                  <w:vAlign w:val="center"/>
                </w:tcPr>
                <w:p w14:paraId="01D79139">
                  <w:pPr>
                    <w:pStyle w:val="31"/>
                  </w:pPr>
                </w:p>
              </w:tc>
            </w:tr>
            <w:tr w14:paraId="4B3A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49C76852">
                  <w:pPr>
                    <w:pStyle w:val="31"/>
                  </w:pPr>
                </w:p>
              </w:tc>
              <w:tc>
                <w:tcPr>
                  <w:tcW w:w="513" w:type="pct"/>
                  <w:vAlign w:val="center"/>
                </w:tcPr>
                <w:p w14:paraId="01F9ED6E">
                  <w:pPr>
                    <w:pStyle w:val="31"/>
                  </w:pPr>
                  <w:r>
                    <w:rPr>
                      <w:rFonts w:hint="eastAsia"/>
                    </w:rPr>
                    <w:t>14</w:t>
                  </w:r>
                </w:p>
              </w:tc>
              <w:tc>
                <w:tcPr>
                  <w:tcW w:w="1026" w:type="pct"/>
                  <w:vAlign w:val="center"/>
                </w:tcPr>
                <w:p w14:paraId="6C164E0E">
                  <w:pPr>
                    <w:pStyle w:val="31"/>
                  </w:pPr>
                  <w:r>
                    <w:rPr>
                      <w:rFonts w:hint="eastAsia"/>
                    </w:rPr>
                    <w:t>开胸锯</w:t>
                  </w:r>
                </w:p>
              </w:tc>
              <w:tc>
                <w:tcPr>
                  <w:tcW w:w="1150" w:type="pct"/>
                  <w:vAlign w:val="center"/>
                </w:tcPr>
                <w:p w14:paraId="2EBD58AA">
                  <w:pPr>
                    <w:pStyle w:val="31"/>
                  </w:pPr>
                  <w:r>
                    <w:rPr>
                      <w:rFonts w:hint="eastAsia"/>
                    </w:rPr>
                    <w:t>1.4kW</w:t>
                  </w:r>
                </w:p>
              </w:tc>
              <w:tc>
                <w:tcPr>
                  <w:tcW w:w="816" w:type="pct"/>
                  <w:vAlign w:val="center"/>
                </w:tcPr>
                <w:p w14:paraId="30FF399E">
                  <w:pPr>
                    <w:pStyle w:val="31"/>
                  </w:pPr>
                  <w:r>
                    <w:rPr>
                      <w:rFonts w:hint="eastAsia"/>
                    </w:rPr>
                    <w:t>2</w:t>
                  </w:r>
                </w:p>
              </w:tc>
              <w:tc>
                <w:tcPr>
                  <w:tcW w:w="671" w:type="pct"/>
                  <w:vAlign w:val="center"/>
                </w:tcPr>
                <w:p w14:paraId="4A521D4B">
                  <w:pPr>
                    <w:pStyle w:val="31"/>
                  </w:pPr>
                </w:p>
              </w:tc>
            </w:tr>
            <w:tr w14:paraId="00FA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1A421250">
                  <w:pPr>
                    <w:pStyle w:val="31"/>
                  </w:pPr>
                </w:p>
              </w:tc>
              <w:tc>
                <w:tcPr>
                  <w:tcW w:w="513" w:type="pct"/>
                  <w:vAlign w:val="center"/>
                </w:tcPr>
                <w:p w14:paraId="73C53EBB">
                  <w:pPr>
                    <w:pStyle w:val="31"/>
                  </w:pPr>
                  <w:r>
                    <w:rPr>
                      <w:rFonts w:hint="eastAsia"/>
                    </w:rPr>
                    <w:t>15</w:t>
                  </w:r>
                </w:p>
              </w:tc>
              <w:tc>
                <w:tcPr>
                  <w:tcW w:w="1026" w:type="pct"/>
                  <w:vAlign w:val="center"/>
                </w:tcPr>
                <w:p w14:paraId="71048A8F">
                  <w:pPr>
                    <w:pStyle w:val="31"/>
                  </w:pPr>
                  <w:r>
                    <w:rPr>
                      <w:rFonts w:hint="eastAsia"/>
                    </w:rPr>
                    <w:t>劈半锯</w:t>
                  </w:r>
                </w:p>
              </w:tc>
              <w:tc>
                <w:tcPr>
                  <w:tcW w:w="1150" w:type="pct"/>
                  <w:vAlign w:val="center"/>
                </w:tcPr>
                <w:p w14:paraId="56448F40">
                  <w:pPr>
                    <w:pStyle w:val="31"/>
                  </w:pPr>
                  <w:r>
                    <w:rPr>
                      <w:rFonts w:hint="eastAsia"/>
                    </w:rPr>
                    <w:t>2.5kW</w:t>
                  </w:r>
                </w:p>
              </w:tc>
              <w:tc>
                <w:tcPr>
                  <w:tcW w:w="816" w:type="pct"/>
                  <w:vAlign w:val="center"/>
                </w:tcPr>
                <w:p w14:paraId="1F387B78">
                  <w:pPr>
                    <w:pStyle w:val="31"/>
                  </w:pPr>
                  <w:r>
                    <w:rPr>
                      <w:rFonts w:hint="eastAsia"/>
                    </w:rPr>
                    <w:t>2</w:t>
                  </w:r>
                </w:p>
              </w:tc>
              <w:tc>
                <w:tcPr>
                  <w:tcW w:w="671" w:type="pct"/>
                  <w:vAlign w:val="center"/>
                </w:tcPr>
                <w:p w14:paraId="54E56FAD">
                  <w:pPr>
                    <w:pStyle w:val="31"/>
                  </w:pPr>
                </w:p>
              </w:tc>
            </w:tr>
            <w:tr w14:paraId="5091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78EF15D6">
                  <w:pPr>
                    <w:pStyle w:val="31"/>
                  </w:pPr>
                </w:p>
              </w:tc>
              <w:tc>
                <w:tcPr>
                  <w:tcW w:w="513" w:type="pct"/>
                  <w:vAlign w:val="center"/>
                </w:tcPr>
                <w:p w14:paraId="0725B559">
                  <w:pPr>
                    <w:pStyle w:val="31"/>
                  </w:pPr>
                  <w:r>
                    <w:rPr>
                      <w:rFonts w:hint="eastAsia"/>
                    </w:rPr>
                    <w:t>16</w:t>
                  </w:r>
                </w:p>
              </w:tc>
              <w:tc>
                <w:tcPr>
                  <w:tcW w:w="1026" w:type="pct"/>
                  <w:vAlign w:val="center"/>
                </w:tcPr>
                <w:p w14:paraId="4CAABB86">
                  <w:pPr>
                    <w:pStyle w:val="31"/>
                  </w:pPr>
                  <w:r>
                    <w:rPr>
                      <w:rFonts w:hint="eastAsia"/>
                    </w:rPr>
                    <w:t>步进轨道</w:t>
                  </w:r>
                </w:p>
              </w:tc>
              <w:tc>
                <w:tcPr>
                  <w:tcW w:w="1150" w:type="pct"/>
                  <w:vAlign w:val="center"/>
                </w:tcPr>
                <w:p w14:paraId="4CE8D341">
                  <w:pPr>
                    <w:pStyle w:val="31"/>
                  </w:pPr>
                  <w:r>
                    <w:rPr>
                      <w:rFonts w:hint="eastAsia"/>
                    </w:rPr>
                    <w:t>12m</w:t>
                  </w:r>
                </w:p>
              </w:tc>
              <w:tc>
                <w:tcPr>
                  <w:tcW w:w="816" w:type="pct"/>
                  <w:vAlign w:val="center"/>
                </w:tcPr>
                <w:p w14:paraId="1AFD3AB5">
                  <w:pPr>
                    <w:pStyle w:val="31"/>
                  </w:pPr>
                  <w:r>
                    <w:rPr>
                      <w:rFonts w:hint="eastAsia"/>
                    </w:rPr>
                    <w:t>2</w:t>
                  </w:r>
                </w:p>
              </w:tc>
              <w:tc>
                <w:tcPr>
                  <w:tcW w:w="671" w:type="pct"/>
                  <w:vAlign w:val="center"/>
                </w:tcPr>
                <w:p w14:paraId="7FC20046">
                  <w:pPr>
                    <w:pStyle w:val="31"/>
                  </w:pPr>
                </w:p>
              </w:tc>
            </w:tr>
            <w:tr w14:paraId="73FB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51F20686">
                  <w:pPr>
                    <w:pStyle w:val="31"/>
                  </w:pPr>
                </w:p>
              </w:tc>
              <w:tc>
                <w:tcPr>
                  <w:tcW w:w="513" w:type="pct"/>
                  <w:vAlign w:val="center"/>
                </w:tcPr>
                <w:p w14:paraId="4CF12F1A">
                  <w:pPr>
                    <w:pStyle w:val="31"/>
                  </w:pPr>
                  <w:r>
                    <w:rPr>
                      <w:rFonts w:hint="eastAsia"/>
                    </w:rPr>
                    <w:t>17</w:t>
                  </w:r>
                </w:p>
              </w:tc>
              <w:tc>
                <w:tcPr>
                  <w:tcW w:w="1026" w:type="pct"/>
                  <w:vAlign w:val="center"/>
                </w:tcPr>
                <w:p w14:paraId="5BA8CBEA">
                  <w:pPr>
                    <w:pStyle w:val="31"/>
                  </w:pPr>
                  <w:r>
                    <w:rPr>
                      <w:rFonts w:hint="eastAsia"/>
                    </w:rPr>
                    <w:t>轨道下降机</w:t>
                  </w:r>
                </w:p>
              </w:tc>
              <w:tc>
                <w:tcPr>
                  <w:tcW w:w="1150" w:type="pct"/>
                  <w:vAlign w:val="center"/>
                </w:tcPr>
                <w:p w14:paraId="75A3B72E">
                  <w:pPr>
                    <w:pStyle w:val="31"/>
                  </w:pPr>
                  <w:r>
                    <w:rPr>
                      <w:rFonts w:hint="eastAsia"/>
                    </w:rPr>
                    <w:t>2.2kW</w:t>
                  </w:r>
                </w:p>
              </w:tc>
              <w:tc>
                <w:tcPr>
                  <w:tcW w:w="816" w:type="pct"/>
                  <w:vAlign w:val="center"/>
                </w:tcPr>
                <w:p w14:paraId="24B7647C">
                  <w:pPr>
                    <w:pStyle w:val="31"/>
                  </w:pPr>
                  <w:r>
                    <w:rPr>
                      <w:rFonts w:hint="eastAsia"/>
                    </w:rPr>
                    <w:t>2</w:t>
                  </w:r>
                </w:p>
              </w:tc>
              <w:tc>
                <w:tcPr>
                  <w:tcW w:w="671" w:type="pct"/>
                  <w:vAlign w:val="center"/>
                </w:tcPr>
                <w:p w14:paraId="2A96BDCB">
                  <w:pPr>
                    <w:pStyle w:val="31"/>
                  </w:pPr>
                </w:p>
              </w:tc>
            </w:tr>
            <w:tr w14:paraId="326A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5D3A2994">
                  <w:pPr>
                    <w:pStyle w:val="31"/>
                  </w:pPr>
                </w:p>
              </w:tc>
              <w:tc>
                <w:tcPr>
                  <w:tcW w:w="513" w:type="pct"/>
                  <w:vAlign w:val="center"/>
                </w:tcPr>
                <w:p w14:paraId="1B59FAFE">
                  <w:pPr>
                    <w:pStyle w:val="31"/>
                  </w:pPr>
                  <w:r>
                    <w:rPr>
                      <w:rFonts w:hint="eastAsia"/>
                    </w:rPr>
                    <w:t>18</w:t>
                  </w:r>
                </w:p>
              </w:tc>
              <w:tc>
                <w:tcPr>
                  <w:tcW w:w="1026" w:type="pct"/>
                  <w:vAlign w:val="center"/>
                </w:tcPr>
                <w:p w14:paraId="65FEAF26">
                  <w:pPr>
                    <w:pStyle w:val="31"/>
                  </w:pPr>
                  <w:r>
                    <w:rPr>
                      <w:rFonts w:hint="eastAsia"/>
                    </w:rPr>
                    <w:t>吊剔葫芦</w:t>
                  </w:r>
                </w:p>
              </w:tc>
              <w:tc>
                <w:tcPr>
                  <w:tcW w:w="1150" w:type="pct"/>
                  <w:vAlign w:val="center"/>
                </w:tcPr>
                <w:p w14:paraId="76922C94">
                  <w:pPr>
                    <w:pStyle w:val="31"/>
                  </w:pPr>
                  <w:r>
                    <w:rPr>
                      <w:rFonts w:hint="eastAsia"/>
                    </w:rPr>
                    <w:t>0.5t</w:t>
                  </w:r>
                </w:p>
              </w:tc>
              <w:tc>
                <w:tcPr>
                  <w:tcW w:w="816" w:type="pct"/>
                  <w:vAlign w:val="center"/>
                </w:tcPr>
                <w:p w14:paraId="60C5198F">
                  <w:pPr>
                    <w:pStyle w:val="31"/>
                  </w:pPr>
                  <w:r>
                    <w:rPr>
                      <w:rFonts w:hint="eastAsia"/>
                    </w:rPr>
                    <w:t>14</w:t>
                  </w:r>
                </w:p>
              </w:tc>
              <w:tc>
                <w:tcPr>
                  <w:tcW w:w="671" w:type="pct"/>
                  <w:vAlign w:val="center"/>
                </w:tcPr>
                <w:p w14:paraId="04725D18">
                  <w:pPr>
                    <w:pStyle w:val="31"/>
                  </w:pPr>
                </w:p>
              </w:tc>
            </w:tr>
            <w:tr w14:paraId="796E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restart"/>
                  <w:vAlign w:val="center"/>
                </w:tcPr>
                <w:p w14:paraId="218CB172">
                  <w:pPr>
                    <w:pStyle w:val="31"/>
                  </w:pPr>
                  <w:r>
                    <w:rPr>
                      <w:rFonts w:hint="eastAsia"/>
                    </w:rPr>
                    <w:t>肉牛分割</w:t>
                  </w:r>
                </w:p>
                <w:p w14:paraId="6D2FD686">
                  <w:pPr>
                    <w:pStyle w:val="31"/>
                  </w:pPr>
                  <w:r>
                    <w:rPr>
                      <w:rFonts w:hint="eastAsia"/>
                    </w:rPr>
                    <w:t>包装车间</w:t>
                  </w:r>
                </w:p>
              </w:tc>
              <w:tc>
                <w:tcPr>
                  <w:tcW w:w="513" w:type="pct"/>
                  <w:vAlign w:val="center"/>
                </w:tcPr>
                <w:p w14:paraId="5F45C17F">
                  <w:pPr>
                    <w:pStyle w:val="31"/>
                  </w:pPr>
                  <w:r>
                    <w:rPr>
                      <w:rFonts w:hint="eastAsia"/>
                    </w:rPr>
                    <w:t>1</w:t>
                  </w:r>
                </w:p>
              </w:tc>
              <w:tc>
                <w:tcPr>
                  <w:tcW w:w="1026" w:type="pct"/>
                  <w:vAlign w:val="center"/>
                </w:tcPr>
                <w:p w14:paraId="121D17DB">
                  <w:pPr>
                    <w:pStyle w:val="31"/>
                  </w:pPr>
                  <w:r>
                    <w:rPr>
                      <w:rFonts w:hint="eastAsia"/>
                    </w:rPr>
                    <w:t>轨道下降机</w:t>
                  </w:r>
                </w:p>
              </w:tc>
              <w:tc>
                <w:tcPr>
                  <w:tcW w:w="1150" w:type="pct"/>
                  <w:vAlign w:val="center"/>
                </w:tcPr>
                <w:p w14:paraId="0128E38F">
                  <w:pPr>
                    <w:pStyle w:val="31"/>
                  </w:pPr>
                  <w:r>
                    <w:rPr>
                      <w:rFonts w:hint="eastAsia"/>
                    </w:rPr>
                    <w:t>2.2kW</w:t>
                  </w:r>
                </w:p>
              </w:tc>
              <w:tc>
                <w:tcPr>
                  <w:tcW w:w="816" w:type="pct"/>
                  <w:vAlign w:val="center"/>
                </w:tcPr>
                <w:p w14:paraId="18AEA4DE">
                  <w:pPr>
                    <w:pStyle w:val="31"/>
                  </w:pPr>
                  <w:r>
                    <w:rPr>
                      <w:rFonts w:hint="eastAsia"/>
                    </w:rPr>
                    <w:t>1</w:t>
                  </w:r>
                </w:p>
              </w:tc>
              <w:tc>
                <w:tcPr>
                  <w:tcW w:w="671" w:type="pct"/>
                  <w:vAlign w:val="center"/>
                </w:tcPr>
                <w:p w14:paraId="7EF789CD">
                  <w:pPr>
                    <w:pStyle w:val="31"/>
                  </w:pPr>
                </w:p>
              </w:tc>
            </w:tr>
            <w:tr w14:paraId="5E8A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54F3656C">
                  <w:pPr>
                    <w:pStyle w:val="31"/>
                  </w:pPr>
                </w:p>
              </w:tc>
              <w:tc>
                <w:tcPr>
                  <w:tcW w:w="513" w:type="pct"/>
                  <w:vAlign w:val="center"/>
                </w:tcPr>
                <w:p w14:paraId="1886C910">
                  <w:pPr>
                    <w:pStyle w:val="31"/>
                  </w:pPr>
                  <w:r>
                    <w:rPr>
                      <w:rFonts w:hint="eastAsia"/>
                    </w:rPr>
                    <w:t>2</w:t>
                  </w:r>
                </w:p>
              </w:tc>
              <w:tc>
                <w:tcPr>
                  <w:tcW w:w="1026" w:type="pct"/>
                  <w:vAlign w:val="center"/>
                </w:tcPr>
                <w:p w14:paraId="05DC22B6">
                  <w:pPr>
                    <w:pStyle w:val="31"/>
                  </w:pPr>
                  <w:r>
                    <w:rPr>
                      <w:rFonts w:hint="eastAsia"/>
                    </w:rPr>
                    <w:t>传送带</w:t>
                  </w:r>
                </w:p>
              </w:tc>
              <w:tc>
                <w:tcPr>
                  <w:tcW w:w="1150" w:type="pct"/>
                  <w:vAlign w:val="center"/>
                </w:tcPr>
                <w:p w14:paraId="692C66EC">
                  <w:pPr>
                    <w:pStyle w:val="31"/>
                  </w:pPr>
                  <w:r>
                    <w:rPr>
                      <w:rFonts w:hint="eastAsia"/>
                    </w:rPr>
                    <w:t>1.5kW</w:t>
                  </w:r>
                </w:p>
              </w:tc>
              <w:tc>
                <w:tcPr>
                  <w:tcW w:w="816" w:type="pct"/>
                  <w:vAlign w:val="center"/>
                </w:tcPr>
                <w:p w14:paraId="67755E86">
                  <w:pPr>
                    <w:pStyle w:val="31"/>
                  </w:pPr>
                  <w:r>
                    <w:rPr>
                      <w:rFonts w:hint="eastAsia"/>
                    </w:rPr>
                    <w:t>2</w:t>
                  </w:r>
                </w:p>
              </w:tc>
              <w:tc>
                <w:tcPr>
                  <w:tcW w:w="671" w:type="pct"/>
                  <w:vAlign w:val="center"/>
                </w:tcPr>
                <w:p w14:paraId="1CB81F03">
                  <w:pPr>
                    <w:pStyle w:val="31"/>
                  </w:pPr>
                </w:p>
              </w:tc>
            </w:tr>
            <w:tr w14:paraId="033E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58699691">
                  <w:pPr>
                    <w:pStyle w:val="31"/>
                  </w:pPr>
                </w:p>
              </w:tc>
              <w:tc>
                <w:tcPr>
                  <w:tcW w:w="513" w:type="pct"/>
                  <w:vAlign w:val="center"/>
                </w:tcPr>
                <w:p w14:paraId="65C22060">
                  <w:pPr>
                    <w:pStyle w:val="31"/>
                  </w:pPr>
                  <w:r>
                    <w:rPr>
                      <w:rFonts w:hint="eastAsia"/>
                    </w:rPr>
                    <w:t>3</w:t>
                  </w:r>
                </w:p>
              </w:tc>
              <w:tc>
                <w:tcPr>
                  <w:tcW w:w="1026" w:type="pct"/>
                  <w:vAlign w:val="center"/>
                </w:tcPr>
                <w:p w14:paraId="6360EBB3">
                  <w:pPr>
                    <w:pStyle w:val="31"/>
                  </w:pPr>
                  <w:r>
                    <w:rPr>
                      <w:rFonts w:hint="eastAsia"/>
                    </w:rPr>
                    <w:t>锯骨机</w:t>
                  </w:r>
                </w:p>
              </w:tc>
              <w:tc>
                <w:tcPr>
                  <w:tcW w:w="1150" w:type="pct"/>
                  <w:vAlign w:val="center"/>
                </w:tcPr>
                <w:p w14:paraId="183F104A">
                  <w:pPr>
                    <w:pStyle w:val="31"/>
                  </w:pPr>
                  <w:r>
                    <w:rPr>
                      <w:rFonts w:hint="eastAsia"/>
                    </w:rPr>
                    <w:t>240</w:t>
                  </w:r>
                </w:p>
              </w:tc>
              <w:tc>
                <w:tcPr>
                  <w:tcW w:w="816" w:type="pct"/>
                  <w:vAlign w:val="center"/>
                </w:tcPr>
                <w:p w14:paraId="4660ADB1">
                  <w:pPr>
                    <w:pStyle w:val="31"/>
                  </w:pPr>
                  <w:r>
                    <w:rPr>
                      <w:rFonts w:hint="eastAsia"/>
                    </w:rPr>
                    <w:t>1</w:t>
                  </w:r>
                </w:p>
              </w:tc>
              <w:tc>
                <w:tcPr>
                  <w:tcW w:w="671" w:type="pct"/>
                  <w:vAlign w:val="center"/>
                </w:tcPr>
                <w:p w14:paraId="05F42BBB">
                  <w:pPr>
                    <w:pStyle w:val="31"/>
                  </w:pPr>
                </w:p>
              </w:tc>
            </w:tr>
            <w:tr w14:paraId="0E74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11A98E34">
                  <w:pPr>
                    <w:pStyle w:val="31"/>
                  </w:pPr>
                </w:p>
              </w:tc>
              <w:tc>
                <w:tcPr>
                  <w:tcW w:w="513" w:type="pct"/>
                  <w:vAlign w:val="center"/>
                </w:tcPr>
                <w:p w14:paraId="30C11138">
                  <w:pPr>
                    <w:pStyle w:val="31"/>
                  </w:pPr>
                  <w:r>
                    <w:rPr>
                      <w:rFonts w:hint="eastAsia"/>
                    </w:rPr>
                    <w:t>4</w:t>
                  </w:r>
                </w:p>
              </w:tc>
              <w:tc>
                <w:tcPr>
                  <w:tcW w:w="1026" w:type="pct"/>
                  <w:vAlign w:val="center"/>
                </w:tcPr>
                <w:p w14:paraId="79BE7140">
                  <w:pPr>
                    <w:pStyle w:val="31"/>
                  </w:pPr>
                  <w:r>
                    <w:rPr>
                      <w:rFonts w:hint="eastAsia"/>
                    </w:rPr>
                    <w:t>锯骨机</w:t>
                  </w:r>
                </w:p>
              </w:tc>
              <w:tc>
                <w:tcPr>
                  <w:tcW w:w="1150" w:type="pct"/>
                  <w:vAlign w:val="center"/>
                </w:tcPr>
                <w:p w14:paraId="1A0B9146">
                  <w:pPr>
                    <w:pStyle w:val="31"/>
                  </w:pPr>
                  <w:r>
                    <w:rPr>
                      <w:rFonts w:hint="eastAsia"/>
                    </w:rPr>
                    <w:t>250</w:t>
                  </w:r>
                </w:p>
              </w:tc>
              <w:tc>
                <w:tcPr>
                  <w:tcW w:w="816" w:type="pct"/>
                  <w:vAlign w:val="center"/>
                </w:tcPr>
                <w:p w14:paraId="48D0E8FF">
                  <w:pPr>
                    <w:pStyle w:val="31"/>
                  </w:pPr>
                  <w:r>
                    <w:rPr>
                      <w:rFonts w:hint="eastAsia"/>
                    </w:rPr>
                    <w:t>2</w:t>
                  </w:r>
                </w:p>
              </w:tc>
              <w:tc>
                <w:tcPr>
                  <w:tcW w:w="671" w:type="pct"/>
                  <w:vAlign w:val="center"/>
                </w:tcPr>
                <w:p w14:paraId="11874BD1">
                  <w:pPr>
                    <w:pStyle w:val="31"/>
                  </w:pPr>
                </w:p>
              </w:tc>
            </w:tr>
            <w:tr w14:paraId="0A87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71C13EE4">
                  <w:pPr>
                    <w:pStyle w:val="31"/>
                  </w:pPr>
                </w:p>
              </w:tc>
              <w:tc>
                <w:tcPr>
                  <w:tcW w:w="513" w:type="pct"/>
                  <w:vAlign w:val="center"/>
                </w:tcPr>
                <w:p w14:paraId="1D96B6A7">
                  <w:pPr>
                    <w:pStyle w:val="31"/>
                  </w:pPr>
                  <w:r>
                    <w:rPr>
                      <w:rFonts w:hint="eastAsia"/>
                    </w:rPr>
                    <w:t>5</w:t>
                  </w:r>
                </w:p>
              </w:tc>
              <w:tc>
                <w:tcPr>
                  <w:tcW w:w="1026" w:type="pct"/>
                  <w:vAlign w:val="center"/>
                </w:tcPr>
                <w:p w14:paraId="39E9E807">
                  <w:pPr>
                    <w:pStyle w:val="31"/>
                  </w:pPr>
                  <w:r>
                    <w:rPr>
                      <w:rFonts w:hint="eastAsia"/>
                    </w:rPr>
                    <w:t>磨肉机</w:t>
                  </w:r>
                </w:p>
              </w:tc>
              <w:tc>
                <w:tcPr>
                  <w:tcW w:w="1150" w:type="pct"/>
                  <w:vAlign w:val="center"/>
                </w:tcPr>
                <w:p w14:paraId="5D7739B2">
                  <w:pPr>
                    <w:pStyle w:val="31"/>
                  </w:pPr>
                  <w:r>
                    <w:rPr>
                      <w:rFonts w:hint="eastAsia"/>
                    </w:rPr>
                    <w:t>100</w:t>
                  </w:r>
                </w:p>
              </w:tc>
              <w:tc>
                <w:tcPr>
                  <w:tcW w:w="816" w:type="pct"/>
                  <w:vAlign w:val="center"/>
                </w:tcPr>
                <w:p w14:paraId="41ED43BF">
                  <w:pPr>
                    <w:pStyle w:val="31"/>
                  </w:pPr>
                  <w:r>
                    <w:rPr>
                      <w:rFonts w:hint="eastAsia"/>
                    </w:rPr>
                    <w:t>1</w:t>
                  </w:r>
                </w:p>
              </w:tc>
              <w:tc>
                <w:tcPr>
                  <w:tcW w:w="671" w:type="pct"/>
                  <w:vAlign w:val="center"/>
                </w:tcPr>
                <w:p w14:paraId="464CC74F">
                  <w:pPr>
                    <w:pStyle w:val="31"/>
                  </w:pPr>
                </w:p>
              </w:tc>
            </w:tr>
            <w:tr w14:paraId="69F4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455C4F50">
                  <w:pPr>
                    <w:pStyle w:val="31"/>
                  </w:pPr>
                </w:p>
              </w:tc>
              <w:tc>
                <w:tcPr>
                  <w:tcW w:w="513" w:type="pct"/>
                  <w:vAlign w:val="center"/>
                </w:tcPr>
                <w:p w14:paraId="015B9179">
                  <w:pPr>
                    <w:pStyle w:val="31"/>
                  </w:pPr>
                  <w:r>
                    <w:rPr>
                      <w:rFonts w:hint="eastAsia"/>
                    </w:rPr>
                    <w:t>6</w:t>
                  </w:r>
                </w:p>
              </w:tc>
              <w:tc>
                <w:tcPr>
                  <w:tcW w:w="1026" w:type="pct"/>
                  <w:vAlign w:val="center"/>
                </w:tcPr>
                <w:p w14:paraId="30E88787">
                  <w:pPr>
                    <w:pStyle w:val="31"/>
                  </w:pPr>
                  <w:r>
                    <w:rPr>
                      <w:rFonts w:hint="eastAsia"/>
                    </w:rPr>
                    <w:t>砍丁机</w:t>
                  </w:r>
                </w:p>
              </w:tc>
              <w:tc>
                <w:tcPr>
                  <w:tcW w:w="1150" w:type="pct"/>
                  <w:vAlign w:val="center"/>
                </w:tcPr>
                <w:p w14:paraId="63A42534">
                  <w:pPr>
                    <w:pStyle w:val="31"/>
                  </w:pPr>
                  <w:r>
                    <w:rPr>
                      <w:rFonts w:hint="eastAsia"/>
                    </w:rPr>
                    <w:t>4kW</w:t>
                  </w:r>
                </w:p>
              </w:tc>
              <w:tc>
                <w:tcPr>
                  <w:tcW w:w="816" w:type="pct"/>
                  <w:vAlign w:val="center"/>
                </w:tcPr>
                <w:p w14:paraId="2B341518">
                  <w:pPr>
                    <w:pStyle w:val="31"/>
                  </w:pPr>
                  <w:r>
                    <w:rPr>
                      <w:rFonts w:hint="eastAsia"/>
                    </w:rPr>
                    <w:t>1</w:t>
                  </w:r>
                </w:p>
              </w:tc>
              <w:tc>
                <w:tcPr>
                  <w:tcW w:w="671" w:type="pct"/>
                  <w:vAlign w:val="center"/>
                </w:tcPr>
                <w:p w14:paraId="081A09BF">
                  <w:pPr>
                    <w:pStyle w:val="31"/>
                  </w:pPr>
                </w:p>
              </w:tc>
            </w:tr>
            <w:tr w14:paraId="46FF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51274592">
                  <w:pPr>
                    <w:pStyle w:val="31"/>
                  </w:pPr>
                </w:p>
              </w:tc>
              <w:tc>
                <w:tcPr>
                  <w:tcW w:w="513" w:type="pct"/>
                  <w:vAlign w:val="center"/>
                </w:tcPr>
                <w:p w14:paraId="6AA4E4E7">
                  <w:pPr>
                    <w:pStyle w:val="31"/>
                  </w:pPr>
                  <w:r>
                    <w:rPr>
                      <w:rFonts w:hint="eastAsia"/>
                    </w:rPr>
                    <w:t>7</w:t>
                  </w:r>
                </w:p>
              </w:tc>
              <w:tc>
                <w:tcPr>
                  <w:tcW w:w="1026" w:type="pct"/>
                  <w:vAlign w:val="center"/>
                </w:tcPr>
                <w:p w14:paraId="52EE5D37">
                  <w:pPr>
                    <w:pStyle w:val="31"/>
                  </w:pPr>
                  <w:r>
                    <w:rPr>
                      <w:rFonts w:hint="eastAsia"/>
                    </w:rPr>
                    <w:t>热收缩炉</w:t>
                  </w:r>
                </w:p>
              </w:tc>
              <w:tc>
                <w:tcPr>
                  <w:tcW w:w="1150" w:type="pct"/>
                  <w:vAlign w:val="center"/>
                </w:tcPr>
                <w:p w14:paraId="1D7AE505">
                  <w:pPr>
                    <w:pStyle w:val="31"/>
                  </w:pPr>
                  <w:r>
                    <w:rPr>
                      <w:rFonts w:hint="eastAsia"/>
                    </w:rPr>
                    <w:t>9kW</w:t>
                  </w:r>
                </w:p>
              </w:tc>
              <w:tc>
                <w:tcPr>
                  <w:tcW w:w="816" w:type="pct"/>
                  <w:vAlign w:val="center"/>
                </w:tcPr>
                <w:p w14:paraId="0EB0A2B9">
                  <w:pPr>
                    <w:pStyle w:val="31"/>
                  </w:pPr>
                  <w:r>
                    <w:rPr>
                      <w:rFonts w:hint="eastAsia"/>
                    </w:rPr>
                    <w:t>1</w:t>
                  </w:r>
                </w:p>
              </w:tc>
              <w:tc>
                <w:tcPr>
                  <w:tcW w:w="671" w:type="pct"/>
                  <w:vAlign w:val="center"/>
                </w:tcPr>
                <w:p w14:paraId="295F45A3">
                  <w:pPr>
                    <w:pStyle w:val="31"/>
                  </w:pPr>
                </w:p>
              </w:tc>
            </w:tr>
            <w:tr w14:paraId="206A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24CA593F">
                  <w:pPr>
                    <w:pStyle w:val="31"/>
                  </w:pPr>
                </w:p>
              </w:tc>
              <w:tc>
                <w:tcPr>
                  <w:tcW w:w="513" w:type="pct"/>
                  <w:vAlign w:val="center"/>
                </w:tcPr>
                <w:p w14:paraId="01CE8355">
                  <w:pPr>
                    <w:pStyle w:val="31"/>
                  </w:pPr>
                  <w:r>
                    <w:rPr>
                      <w:rFonts w:hint="eastAsia"/>
                    </w:rPr>
                    <w:t>8</w:t>
                  </w:r>
                </w:p>
              </w:tc>
              <w:tc>
                <w:tcPr>
                  <w:tcW w:w="1026" w:type="pct"/>
                  <w:vAlign w:val="center"/>
                </w:tcPr>
                <w:p w14:paraId="6A910541">
                  <w:pPr>
                    <w:pStyle w:val="31"/>
                  </w:pPr>
                  <w:r>
                    <w:rPr>
                      <w:rFonts w:hint="eastAsia"/>
                    </w:rPr>
                    <w:t>热收缩膜机</w:t>
                  </w:r>
                </w:p>
              </w:tc>
              <w:tc>
                <w:tcPr>
                  <w:tcW w:w="1150" w:type="pct"/>
                  <w:vAlign w:val="center"/>
                </w:tcPr>
                <w:p w14:paraId="5883835A">
                  <w:pPr>
                    <w:pStyle w:val="31"/>
                  </w:pPr>
                  <w:r>
                    <w:rPr>
                      <w:rFonts w:hint="eastAsia"/>
                    </w:rPr>
                    <w:t>450</w:t>
                  </w:r>
                </w:p>
              </w:tc>
              <w:tc>
                <w:tcPr>
                  <w:tcW w:w="816" w:type="pct"/>
                  <w:vAlign w:val="center"/>
                </w:tcPr>
                <w:p w14:paraId="48530463">
                  <w:pPr>
                    <w:pStyle w:val="31"/>
                  </w:pPr>
                  <w:r>
                    <w:rPr>
                      <w:rFonts w:hint="eastAsia"/>
                    </w:rPr>
                    <w:t>1</w:t>
                  </w:r>
                </w:p>
              </w:tc>
              <w:tc>
                <w:tcPr>
                  <w:tcW w:w="671" w:type="pct"/>
                  <w:vAlign w:val="center"/>
                </w:tcPr>
                <w:p w14:paraId="33DC2B00">
                  <w:pPr>
                    <w:pStyle w:val="31"/>
                  </w:pPr>
                </w:p>
              </w:tc>
            </w:tr>
            <w:tr w14:paraId="040E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2996051F">
                  <w:pPr>
                    <w:pStyle w:val="31"/>
                  </w:pPr>
                </w:p>
              </w:tc>
              <w:tc>
                <w:tcPr>
                  <w:tcW w:w="513" w:type="pct"/>
                  <w:vAlign w:val="center"/>
                </w:tcPr>
                <w:p w14:paraId="7B4F45AF">
                  <w:pPr>
                    <w:pStyle w:val="31"/>
                  </w:pPr>
                  <w:r>
                    <w:rPr>
                      <w:rFonts w:hint="eastAsia"/>
                    </w:rPr>
                    <w:t>9</w:t>
                  </w:r>
                </w:p>
              </w:tc>
              <w:tc>
                <w:tcPr>
                  <w:tcW w:w="1026" w:type="pct"/>
                  <w:vAlign w:val="center"/>
                </w:tcPr>
                <w:p w14:paraId="2B313918">
                  <w:pPr>
                    <w:pStyle w:val="31"/>
                  </w:pPr>
                  <w:r>
                    <w:rPr>
                      <w:rFonts w:hint="eastAsia"/>
                    </w:rPr>
                    <w:t>鲜肉切片机</w:t>
                  </w:r>
                </w:p>
              </w:tc>
              <w:tc>
                <w:tcPr>
                  <w:tcW w:w="1150" w:type="pct"/>
                  <w:vAlign w:val="center"/>
                </w:tcPr>
                <w:p w14:paraId="1A682490">
                  <w:pPr>
                    <w:pStyle w:val="31"/>
                  </w:pPr>
                  <w:r>
                    <w:rPr>
                      <w:rFonts w:hint="eastAsia"/>
                    </w:rPr>
                    <w:t>160</w:t>
                  </w:r>
                </w:p>
              </w:tc>
              <w:tc>
                <w:tcPr>
                  <w:tcW w:w="816" w:type="pct"/>
                  <w:vAlign w:val="center"/>
                </w:tcPr>
                <w:p w14:paraId="284F6FCC">
                  <w:pPr>
                    <w:pStyle w:val="31"/>
                  </w:pPr>
                  <w:r>
                    <w:rPr>
                      <w:rFonts w:hint="eastAsia"/>
                    </w:rPr>
                    <w:t>1</w:t>
                  </w:r>
                </w:p>
              </w:tc>
              <w:tc>
                <w:tcPr>
                  <w:tcW w:w="671" w:type="pct"/>
                  <w:vAlign w:val="center"/>
                </w:tcPr>
                <w:p w14:paraId="0A80A387">
                  <w:pPr>
                    <w:pStyle w:val="31"/>
                  </w:pPr>
                </w:p>
              </w:tc>
            </w:tr>
            <w:tr w14:paraId="2CAC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0226130F">
                  <w:pPr>
                    <w:pStyle w:val="31"/>
                  </w:pPr>
                </w:p>
              </w:tc>
              <w:tc>
                <w:tcPr>
                  <w:tcW w:w="513" w:type="pct"/>
                  <w:vAlign w:val="center"/>
                </w:tcPr>
                <w:p w14:paraId="09B5E16C">
                  <w:pPr>
                    <w:pStyle w:val="31"/>
                  </w:pPr>
                  <w:r>
                    <w:rPr>
                      <w:rFonts w:hint="eastAsia"/>
                    </w:rPr>
                    <w:t>10</w:t>
                  </w:r>
                </w:p>
              </w:tc>
              <w:tc>
                <w:tcPr>
                  <w:tcW w:w="1026" w:type="pct"/>
                  <w:vAlign w:val="center"/>
                </w:tcPr>
                <w:p w14:paraId="21959DD7">
                  <w:pPr>
                    <w:pStyle w:val="31"/>
                  </w:pPr>
                  <w:r>
                    <w:rPr>
                      <w:rFonts w:hint="eastAsia"/>
                    </w:rPr>
                    <w:t>真空包装机</w:t>
                  </w:r>
                </w:p>
              </w:tc>
              <w:tc>
                <w:tcPr>
                  <w:tcW w:w="1150" w:type="pct"/>
                  <w:vAlign w:val="center"/>
                </w:tcPr>
                <w:p w14:paraId="03D51505">
                  <w:pPr>
                    <w:pStyle w:val="31"/>
                  </w:pPr>
                  <w:r>
                    <w:rPr>
                      <w:rFonts w:hint="eastAsia"/>
                    </w:rPr>
                    <w:t>DZD-500</w:t>
                  </w:r>
                </w:p>
              </w:tc>
              <w:tc>
                <w:tcPr>
                  <w:tcW w:w="816" w:type="pct"/>
                  <w:vAlign w:val="center"/>
                </w:tcPr>
                <w:p w14:paraId="209415D5">
                  <w:pPr>
                    <w:pStyle w:val="31"/>
                  </w:pPr>
                  <w:r>
                    <w:rPr>
                      <w:rFonts w:hint="eastAsia"/>
                    </w:rPr>
                    <w:t>3</w:t>
                  </w:r>
                </w:p>
              </w:tc>
              <w:tc>
                <w:tcPr>
                  <w:tcW w:w="671" w:type="pct"/>
                  <w:vAlign w:val="center"/>
                </w:tcPr>
                <w:p w14:paraId="6C164044">
                  <w:pPr>
                    <w:pStyle w:val="31"/>
                  </w:pPr>
                </w:p>
              </w:tc>
            </w:tr>
            <w:tr w14:paraId="346E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51EEB021">
                  <w:pPr>
                    <w:pStyle w:val="31"/>
                  </w:pPr>
                </w:p>
              </w:tc>
              <w:tc>
                <w:tcPr>
                  <w:tcW w:w="513" w:type="pct"/>
                  <w:vAlign w:val="center"/>
                </w:tcPr>
                <w:p w14:paraId="4CE7D2C1">
                  <w:pPr>
                    <w:pStyle w:val="31"/>
                  </w:pPr>
                  <w:r>
                    <w:rPr>
                      <w:rFonts w:hint="eastAsia"/>
                    </w:rPr>
                    <w:t>11</w:t>
                  </w:r>
                </w:p>
              </w:tc>
              <w:tc>
                <w:tcPr>
                  <w:tcW w:w="1026" w:type="pct"/>
                  <w:vAlign w:val="center"/>
                </w:tcPr>
                <w:p w14:paraId="748D1E1C">
                  <w:pPr>
                    <w:pStyle w:val="31"/>
                  </w:pPr>
                  <w:r>
                    <w:rPr>
                      <w:rFonts w:hint="eastAsia"/>
                    </w:rPr>
                    <w:t>气调包装机</w:t>
                  </w:r>
                </w:p>
              </w:tc>
              <w:tc>
                <w:tcPr>
                  <w:tcW w:w="1150" w:type="pct"/>
                  <w:vAlign w:val="center"/>
                </w:tcPr>
                <w:p w14:paraId="64C91CDE">
                  <w:pPr>
                    <w:pStyle w:val="31"/>
                  </w:pPr>
                  <w:r>
                    <w:rPr>
                      <w:rFonts w:hint="eastAsia"/>
                    </w:rPr>
                    <w:t>双工位60</w:t>
                  </w:r>
                </w:p>
              </w:tc>
              <w:tc>
                <w:tcPr>
                  <w:tcW w:w="816" w:type="pct"/>
                  <w:vAlign w:val="center"/>
                </w:tcPr>
                <w:p w14:paraId="126564DE">
                  <w:pPr>
                    <w:pStyle w:val="31"/>
                  </w:pPr>
                  <w:r>
                    <w:rPr>
                      <w:rFonts w:hint="eastAsia"/>
                    </w:rPr>
                    <w:t>1</w:t>
                  </w:r>
                </w:p>
              </w:tc>
              <w:tc>
                <w:tcPr>
                  <w:tcW w:w="671" w:type="pct"/>
                  <w:vAlign w:val="center"/>
                </w:tcPr>
                <w:p w14:paraId="56DB418F">
                  <w:pPr>
                    <w:pStyle w:val="31"/>
                  </w:pPr>
                </w:p>
              </w:tc>
            </w:tr>
            <w:tr w14:paraId="7C13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0E39F38B">
                  <w:pPr>
                    <w:pStyle w:val="31"/>
                  </w:pPr>
                </w:p>
              </w:tc>
              <w:tc>
                <w:tcPr>
                  <w:tcW w:w="513" w:type="pct"/>
                  <w:vAlign w:val="center"/>
                </w:tcPr>
                <w:p w14:paraId="6040C54E">
                  <w:pPr>
                    <w:pStyle w:val="31"/>
                  </w:pPr>
                  <w:r>
                    <w:rPr>
                      <w:rFonts w:hint="eastAsia"/>
                    </w:rPr>
                    <w:t>12</w:t>
                  </w:r>
                </w:p>
              </w:tc>
              <w:tc>
                <w:tcPr>
                  <w:tcW w:w="1026" w:type="pct"/>
                  <w:vAlign w:val="center"/>
                </w:tcPr>
                <w:p w14:paraId="2FDE28D0">
                  <w:pPr>
                    <w:pStyle w:val="31"/>
                  </w:pPr>
                  <w:r>
                    <w:rPr>
                      <w:rFonts w:hint="eastAsia"/>
                    </w:rPr>
                    <w:t>热封机</w:t>
                  </w:r>
                </w:p>
              </w:tc>
              <w:tc>
                <w:tcPr>
                  <w:tcW w:w="1150" w:type="pct"/>
                  <w:vAlign w:val="center"/>
                </w:tcPr>
                <w:p w14:paraId="78D0877B">
                  <w:pPr>
                    <w:pStyle w:val="31"/>
                  </w:pPr>
                  <w:r>
                    <w:rPr>
                      <w:rFonts w:hint="eastAsia"/>
                    </w:rPr>
                    <w:t>700</w:t>
                  </w:r>
                </w:p>
              </w:tc>
              <w:tc>
                <w:tcPr>
                  <w:tcW w:w="816" w:type="pct"/>
                  <w:vAlign w:val="center"/>
                </w:tcPr>
                <w:p w14:paraId="72EA644E">
                  <w:pPr>
                    <w:pStyle w:val="31"/>
                  </w:pPr>
                  <w:r>
                    <w:rPr>
                      <w:rFonts w:hint="eastAsia"/>
                    </w:rPr>
                    <w:t>2</w:t>
                  </w:r>
                </w:p>
              </w:tc>
              <w:tc>
                <w:tcPr>
                  <w:tcW w:w="671" w:type="pct"/>
                  <w:vAlign w:val="center"/>
                </w:tcPr>
                <w:p w14:paraId="2516F076">
                  <w:pPr>
                    <w:pStyle w:val="31"/>
                  </w:pPr>
                </w:p>
              </w:tc>
            </w:tr>
            <w:tr w14:paraId="6C24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restart"/>
                  <w:vAlign w:val="center"/>
                </w:tcPr>
                <w:p w14:paraId="1E9DEE76">
                  <w:pPr>
                    <w:pStyle w:val="31"/>
                  </w:pPr>
                  <w:r>
                    <w:rPr>
                      <w:rFonts w:hint="eastAsia"/>
                    </w:rPr>
                    <w:t>牛肉精深</w:t>
                  </w:r>
                </w:p>
                <w:p w14:paraId="0D5D944B">
                  <w:pPr>
                    <w:pStyle w:val="31"/>
                  </w:pPr>
                  <w:r>
                    <w:rPr>
                      <w:rFonts w:hint="eastAsia"/>
                    </w:rPr>
                    <w:t>加工车间</w:t>
                  </w:r>
                </w:p>
              </w:tc>
              <w:tc>
                <w:tcPr>
                  <w:tcW w:w="513" w:type="pct"/>
                  <w:vAlign w:val="center"/>
                </w:tcPr>
                <w:p w14:paraId="5A0EB698">
                  <w:pPr>
                    <w:pStyle w:val="31"/>
                  </w:pPr>
                  <w:r>
                    <w:rPr>
                      <w:rFonts w:hint="eastAsia"/>
                    </w:rPr>
                    <w:t>1</w:t>
                  </w:r>
                </w:p>
              </w:tc>
              <w:tc>
                <w:tcPr>
                  <w:tcW w:w="1026" w:type="pct"/>
                  <w:vAlign w:val="center"/>
                </w:tcPr>
                <w:p w14:paraId="017FCBA6">
                  <w:pPr>
                    <w:pStyle w:val="31"/>
                  </w:pPr>
                  <w:r>
                    <w:rPr>
                      <w:rFonts w:hint="eastAsia"/>
                    </w:rPr>
                    <w:t>切片机</w:t>
                  </w:r>
                </w:p>
              </w:tc>
              <w:tc>
                <w:tcPr>
                  <w:tcW w:w="1150" w:type="pct"/>
                  <w:vAlign w:val="center"/>
                </w:tcPr>
                <w:p w14:paraId="1EB45E66">
                  <w:pPr>
                    <w:pStyle w:val="31"/>
                  </w:pPr>
                  <w:r>
                    <w:rPr>
                      <w:rFonts w:hint="eastAsia"/>
                    </w:rPr>
                    <w:t>2.2kW</w:t>
                  </w:r>
                </w:p>
              </w:tc>
              <w:tc>
                <w:tcPr>
                  <w:tcW w:w="816" w:type="pct"/>
                  <w:vAlign w:val="center"/>
                </w:tcPr>
                <w:p w14:paraId="0896204A">
                  <w:pPr>
                    <w:pStyle w:val="31"/>
                  </w:pPr>
                  <w:r>
                    <w:rPr>
                      <w:rFonts w:hint="eastAsia"/>
                    </w:rPr>
                    <w:t>2</w:t>
                  </w:r>
                </w:p>
              </w:tc>
              <w:tc>
                <w:tcPr>
                  <w:tcW w:w="671" w:type="pct"/>
                  <w:vAlign w:val="center"/>
                </w:tcPr>
                <w:p w14:paraId="02615C77">
                  <w:pPr>
                    <w:pStyle w:val="31"/>
                  </w:pPr>
                </w:p>
              </w:tc>
            </w:tr>
            <w:tr w14:paraId="11DD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1D0C4F1E">
                  <w:pPr>
                    <w:pStyle w:val="31"/>
                  </w:pPr>
                </w:p>
              </w:tc>
              <w:tc>
                <w:tcPr>
                  <w:tcW w:w="513" w:type="pct"/>
                  <w:vAlign w:val="center"/>
                </w:tcPr>
                <w:p w14:paraId="7C43F960">
                  <w:pPr>
                    <w:pStyle w:val="31"/>
                  </w:pPr>
                  <w:r>
                    <w:rPr>
                      <w:rFonts w:hint="eastAsia"/>
                    </w:rPr>
                    <w:t>2</w:t>
                  </w:r>
                </w:p>
              </w:tc>
              <w:tc>
                <w:tcPr>
                  <w:tcW w:w="1026" w:type="pct"/>
                  <w:vAlign w:val="center"/>
                </w:tcPr>
                <w:p w14:paraId="56C2E304">
                  <w:pPr>
                    <w:pStyle w:val="31"/>
                  </w:pPr>
                  <w:r>
                    <w:rPr>
                      <w:rFonts w:hint="eastAsia"/>
                    </w:rPr>
                    <w:t>磨肉机</w:t>
                  </w:r>
                </w:p>
              </w:tc>
              <w:tc>
                <w:tcPr>
                  <w:tcW w:w="1150" w:type="pct"/>
                  <w:vAlign w:val="center"/>
                </w:tcPr>
                <w:p w14:paraId="0D8BF622">
                  <w:pPr>
                    <w:pStyle w:val="31"/>
                  </w:pPr>
                  <w:r>
                    <w:rPr>
                      <w:rFonts w:hint="eastAsia"/>
                    </w:rPr>
                    <w:t>32型</w:t>
                  </w:r>
                </w:p>
              </w:tc>
              <w:tc>
                <w:tcPr>
                  <w:tcW w:w="816" w:type="pct"/>
                  <w:vAlign w:val="center"/>
                </w:tcPr>
                <w:p w14:paraId="4D6E3C7C">
                  <w:pPr>
                    <w:pStyle w:val="31"/>
                  </w:pPr>
                  <w:r>
                    <w:rPr>
                      <w:rFonts w:hint="eastAsia"/>
                    </w:rPr>
                    <w:t>1</w:t>
                  </w:r>
                </w:p>
              </w:tc>
              <w:tc>
                <w:tcPr>
                  <w:tcW w:w="671" w:type="pct"/>
                  <w:vAlign w:val="center"/>
                </w:tcPr>
                <w:p w14:paraId="19133B7D">
                  <w:pPr>
                    <w:pStyle w:val="31"/>
                  </w:pPr>
                </w:p>
              </w:tc>
            </w:tr>
            <w:tr w14:paraId="081A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06D5226F">
                  <w:pPr>
                    <w:pStyle w:val="31"/>
                  </w:pPr>
                </w:p>
              </w:tc>
              <w:tc>
                <w:tcPr>
                  <w:tcW w:w="513" w:type="pct"/>
                  <w:vAlign w:val="center"/>
                </w:tcPr>
                <w:p w14:paraId="3996AF93">
                  <w:pPr>
                    <w:pStyle w:val="31"/>
                  </w:pPr>
                  <w:r>
                    <w:rPr>
                      <w:rFonts w:hint="eastAsia"/>
                    </w:rPr>
                    <w:t>3</w:t>
                  </w:r>
                </w:p>
              </w:tc>
              <w:tc>
                <w:tcPr>
                  <w:tcW w:w="1026" w:type="pct"/>
                  <w:vAlign w:val="center"/>
                </w:tcPr>
                <w:p w14:paraId="64DA7D88">
                  <w:pPr>
                    <w:pStyle w:val="31"/>
                  </w:pPr>
                  <w:r>
                    <w:rPr>
                      <w:rFonts w:hint="eastAsia"/>
                    </w:rPr>
                    <w:t>切丁机</w:t>
                  </w:r>
                </w:p>
              </w:tc>
              <w:tc>
                <w:tcPr>
                  <w:tcW w:w="1150" w:type="pct"/>
                  <w:vAlign w:val="center"/>
                </w:tcPr>
                <w:p w14:paraId="2D0EB029">
                  <w:pPr>
                    <w:pStyle w:val="31"/>
                  </w:pPr>
                  <w:r>
                    <w:rPr>
                      <w:rFonts w:hint="eastAsia"/>
                    </w:rPr>
                    <w:t>QRD</w:t>
                  </w:r>
                </w:p>
              </w:tc>
              <w:tc>
                <w:tcPr>
                  <w:tcW w:w="816" w:type="pct"/>
                  <w:vAlign w:val="center"/>
                </w:tcPr>
                <w:p w14:paraId="2788E1FF">
                  <w:pPr>
                    <w:pStyle w:val="31"/>
                  </w:pPr>
                  <w:r>
                    <w:rPr>
                      <w:rFonts w:hint="eastAsia"/>
                    </w:rPr>
                    <w:t>1</w:t>
                  </w:r>
                </w:p>
              </w:tc>
              <w:tc>
                <w:tcPr>
                  <w:tcW w:w="671" w:type="pct"/>
                  <w:vAlign w:val="center"/>
                </w:tcPr>
                <w:p w14:paraId="4952C9F4">
                  <w:pPr>
                    <w:pStyle w:val="31"/>
                  </w:pPr>
                </w:p>
              </w:tc>
            </w:tr>
            <w:tr w14:paraId="17C2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1244F41A">
                  <w:pPr>
                    <w:pStyle w:val="31"/>
                  </w:pPr>
                </w:p>
              </w:tc>
              <w:tc>
                <w:tcPr>
                  <w:tcW w:w="513" w:type="pct"/>
                  <w:vAlign w:val="center"/>
                </w:tcPr>
                <w:p w14:paraId="7A55521F">
                  <w:pPr>
                    <w:pStyle w:val="31"/>
                  </w:pPr>
                  <w:r>
                    <w:rPr>
                      <w:rFonts w:hint="eastAsia"/>
                    </w:rPr>
                    <w:t>4</w:t>
                  </w:r>
                </w:p>
              </w:tc>
              <w:tc>
                <w:tcPr>
                  <w:tcW w:w="1026" w:type="pct"/>
                  <w:vAlign w:val="center"/>
                </w:tcPr>
                <w:p w14:paraId="363C76CF">
                  <w:pPr>
                    <w:pStyle w:val="31"/>
                  </w:pPr>
                  <w:r>
                    <w:rPr>
                      <w:rFonts w:hint="eastAsia"/>
                    </w:rPr>
                    <w:t>斩拌机</w:t>
                  </w:r>
                </w:p>
              </w:tc>
              <w:tc>
                <w:tcPr>
                  <w:tcW w:w="1150" w:type="pct"/>
                  <w:vAlign w:val="center"/>
                </w:tcPr>
                <w:p w14:paraId="48A6AD4E">
                  <w:pPr>
                    <w:pStyle w:val="31"/>
                  </w:pPr>
                  <w:r>
                    <w:rPr>
                      <w:rFonts w:hint="eastAsia"/>
                    </w:rPr>
                    <w:t>40型</w:t>
                  </w:r>
                </w:p>
              </w:tc>
              <w:tc>
                <w:tcPr>
                  <w:tcW w:w="816" w:type="pct"/>
                  <w:vAlign w:val="center"/>
                </w:tcPr>
                <w:p w14:paraId="3D535577">
                  <w:pPr>
                    <w:pStyle w:val="31"/>
                  </w:pPr>
                  <w:r>
                    <w:rPr>
                      <w:rFonts w:hint="eastAsia"/>
                    </w:rPr>
                    <w:t>1</w:t>
                  </w:r>
                </w:p>
              </w:tc>
              <w:tc>
                <w:tcPr>
                  <w:tcW w:w="671" w:type="pct"/>
                  <w:vAlign w:val="center"/>
                </w:tcPr>
                <w:p w14:paraId="41027EB0">
                  <w:pPr>
                    <w:pStyle w:val="31"/>
                  </w:pPr>
                </w:p>
              </w:tc>
            </w:tr>
            <w:tr w14:paraId="52C4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3C8FA3A6">
                  <w:pPr>
                    <w:pStyle w:val="31"/>
                  </w:pPr>
                </w:p>
              </w:tc>
              <w:tc>
                <w:tcPr>
                  <w:tcW w:w="513" w:type="pct"/>
                  <w:vAlign w:val="center"/>
                </w:tcPr>
                <w:p w14:paraId="6D85F57D">
                  <w:pPr>
                    <w:pStyle w:val="31"/>
                  </w:pPr>
                  <w:r>
                    <w:rPr>
                      <w:rFonts w:hint="eastAsia"/>
                    </w:rPr>
                    <w:t>5</w:t>
                  </w:r>
                </w:p>
              </w:tc>
              <w:tc>
                <w:tcPr>
                  <w:tcW w:w="1026" w:type="pct"/>
                  <w:vAlign w:val="center"/>
                </w:tcPr>
                <w:p w14:paraId="4727A29D">
                  <w:pPr>
                    <w:pStyle w:val="31"/>
                  </w:pPr>
                  <w:r>
                    <w:rPr>
                      <w:rFonts w:hint="eastAsia"/>
                    </w:rPr>
                    <w:t>移动提升机</w:t>
                  </w:r>
                </w:p>
              </w:tc>
              <w:tc>
                <w:tcPr>
                  <w:tcW w:w="1150" w:type="pct"/>
                  <w:vAlign w:val="center"/>
                </w:tcPr>
                <w:p w14:paraId="56963195">
                  <w:pPr>
                    <w:pStyle w:val="31"/>
                  </w:pPr>
                  <w:r>
                    <w:rPr>
                      <w:rFonts w:hint="eastAsia"/>
                    </w:rPr>
                    <w:t>1.5kW</w:t>
                  </w:r>
                </w:p>
              </w:tc>
              <w:tc>
                <w:tcPr>
                  <w:tcW w:w="816" w:type="pct"/>
                  <w:vAlign w:val="center"/>
                </w:tcPr>
                <w:p w14:paraId="5AF90515">
                  <w:pPr>
                    <w:pStyle w:val="31"/>
                  </w:pPr>
                  <w:r>
                    <w:rPr>
                      <w:rFonts w:hint="eastAsia"/>
                    </w:rPr>
                    <w:t>1</w:t>
                  </w:r>
                </w:p>
              </w:tc>
              <w:tc>
                <w:tcPr>
                  <w:tcW w:w="671" w:type="pct"/>
                  <w:vAlign w:val="center"/>
                </w:tcPr>
                <w:p w14:paraId="1E44DC4F">
                  <w:pPr>
                    <w:pStyle w:val="31"/>
                  </w:pPr>
                </w:p>
              </w:tc>
            </w:tr>
            <w:tr w14:paraId="7AEB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45B25DDE">
                  <w:pPr>
                    <w:pStyle w:val="31"/>
                  </w:pPr>
                </w:p>
              </w:tc>
              <w:tc>
                <w:tcPr>
                  <w:tcW w:w="513" w:type="pct"/>
                  <w:vAlign w:val="center"/>
                </w:tcPr>
                <w:p w14:paraId="66C7D4D4">
                  <w:pPr>
                    <w:pStyle w:val="31"/>
                  </w:pPr>
                  <w:r>
                    <w:rPr>
                      <w:rFonts w:hint="eastAsia"/>
                    </w:rPr>
                    <w:t>6</w:t>
                  </w:r>
                </w:p>
              </w:tc>
              <w:tc>
                <w:tcPr>
                  <w:tcW w:w="1026" w:type="pct"/>
                  <w:vAlign w:val="center"/>
                </w:tcPr>
                <w:p w14:paraId="1B3CB849">
                  <w:pPr>
                    <w:pStyle w:val="31"/>
                  </w:pPr>
                  <w:r>
                    <w:rPr>
                      <w:rFonts w:hint="eastAsia"/>
                    </w:rPr>
                    <w:t>真空搅拌机</w:t>
                  </w:r>
                </w:p>
              </w:tc>
              <w:tc>
                <w:tcPr>
                  <w:tcW w:w="1150" w:type="pct"/>
                  <w:vAlign w:val="center"/>
                </w:tcPr>
                <w:p w14:paraId="0376983F">
                  <w:pPr>
                    <w:pStyle w:val="31"/>
                  </w:pPr>
                  <w:r>
                    <w:rPr>
                      <w:rFonts w:hint="eastAsia"/>
                    </w:rPr>
                    <w:t>3kW</w:t>
                  </w:r>
                </w:p>
              </w:tc>
              <w:tc>
                <w:tcPr>
                  <w:tcW w:w="816" w:type="pct"/>
                  <w:vAlign w:val="center"/>
                </w:tcPr>
                <w:p w14:paraId="77BB668D">
                  <w:pPr>
                    <w:pStyle w:val="31"/>
                  </w:pPr>
                  <w:r>
                    <w:rPr>
                      <w:rFonts w:hint="eastAsia"/>
                    </w:rPr>
                    <w:t>1</w:t>
                  </w:r>
                </w:p>
              </w:tc>
              <w:tc>
                <w:tcPr>
                  <w:tcW w:w="671" w:type="pct"/>
                  <w:vAlign w:val="center"/>
                </w:tcPr>
                <w:p w14:paraId="6B5A1BDE">
                  <w:pPr>
                    <w:pStyle w:val="31"/>
                  </w:pPr>
                </w:p>
              </w:tc>
            </w:tr>
            <w:tr w14:paraId="05CF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5F24A989">
                  <w:pPr>
                    <w:pStyle w:val="31"/>
                  </w:pPr>
                </w:p>
              </w:tc>
              <w:tc>
                <w:tcPr>
                  <w:tcW w:w="513" w:type="pct"/>
                  <w:vAlign w:val="center"/>
                </w:tcPr>
                <w:p w14:paraId="1C88CE7A">
                  <w:pPr>
                    <w:pStyle w:val="31"/>
                  </w:pPr>
                  <w:r>
                    <w:rPr>
                      <w:rFonts w:hint="eastAsia"/>
                    </w:rPr>
                    <w:t>7</w:t>
                  </w:r>
                </w:p>
              </w:tc>
              <w:tc>
                <w:tcPr>
                  <w:tcW w:w="1026" w:type="pct"/>
                  <w:vAlign w:val="center"/>
                </w:tcPr>
                <w:p w14:paraId="4765F2C4">
                  <w:pPr>
                    <w:pStyle w:val="31"/>
                  </w:pPr>
                  <w:r>
                    <w:rPr>
                      <w:rFonts w:hint="eastAsia"/>
                    </w:rPr>
                    <w:t>注射机</w:t>
                  </w:r>
                </w:p>
              </w:tc>
              <w:tc>
                <w:tcPr>
                  <w:tcW w:w="1150" w:type="pct"/>
                  <w:vAlign w:val="center"/>
                </w:tcPr>
                <w:p w14:paraId="2D1F17E1">
                  <w:pPr>
                    <w:pStyle w:val="31"/>
                  </w:pPr>
                  <w:r>
                    <w:rPr>
                      <w:rFonts w:hint="eastAsia"/>
                    </w:rPr>
                    <w:t>2.2kW</w:t>
                  </w:r>
                </w:p>
              </w:tc>
              <w:tc>
                <w:tcPr>
                  <w:tcW w:w="816" w:type="pct"/>
                  <w:vAlign w:val="center"/>
                </w:tcPr>
                <w:p w14:paraId="1CE3E1F1">
                  <w:pPr>
                    <w:pStyle w:val="31"/>
                  </w:pPr>
                  <w:r>
                    <w:rPr>
                      <w:rFonts w:hint="eastAsia"/>
                    </w:rPr>
                    <w:t>1</w:t>
                  </w:r>
                </w:p>
              </w:tc>
              <w:tc>
                <w:tcPr>
                  <w:tcW w:w="671" w:type="pct"/>
                  <w:vAlign w:val="center"/>
                </w:tcPr>
                <w:p w14:paraId="6D5F8DCD">
                  <w:pPr>
                    <w:pStyle w:val="31"/>
                  </w:pPr>
                </w:p>
              </w:tc>
            </w:tr>
            <w:tr w14:paraId="6A82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40681288">
                  <w:pPr>
                    <w:pStyle w:val="31"/>
                  </w:pPr>
                </w:p>
              </w:tc>
              <w:tc>
                <w:tcPr>
                  <w:tcW w:w="513" w:type="pct"/>
                  <w:vAlign w:val="center"/>
                </w:tcPr>
                <w:p w14:paraId="739BC95D">
                  <w:pPr>
                    <w:pStyle w:val="31"/>
                  </w:pPr>
                  <w:r>
                    <w:rPr>
                      <w:rFonts w:hint="eastAsia"/>
                    </w:rPr>
                    <w:t>8</w:t>
                  </w:r>
                </w:p>
              </w:tc>
              <w:tc>
                <w:tcPr>
                  <w:tcW w:w="1026" w:type="pct"/>
                  <w:vAlign w:val="center"/>
                </w:tcPr>
                <w:p w14:paraId="3A88EC72">
                  <w:pPr>
                    <w:pStyle w:val="31"/>
                  </w:pPr>
                  <w:r>
                    <w:rPr>
                      <w:rFonts w:hint="eastAsia"/>
                    </w:rPr>
                    <w:t>滚揉机</w:t>
                  </w:r>
                </w:p>
              </w:tc>
              <w:tc>
                <w:tcPr>
                  <w:tcW w:w="1150" w:type="pct"/>
                  <w:vAlign w:val="center"/>
                </w:tcPr>
                <w:p w14:paraId="31E3AE67">
                  <w:pPr>
                    <w:pStyle w:val="31"/>
                  </w:pPr>
                  <w:r>
                    <w:rPr>
                      <w:rFonts w:hint="eastAsia"/>
                    </w:rPr>
                    <w:t>600</w:t>
                  </w:r>
                </w:p>
              </w:tc>
              <w:tc>
                <w:tcPr>
                  <w:tcW w:w="816" w:type="pct"/>
                  <w:vAlign w:val="center"/>
                </w:tcPr>
                <w:p w14:paraId="06A668DB">
                  <w:pPr>
                    <w:pStyle w:val="31"/>
                  </w:pPr>
                  <w:r>
                    <w:rPr>
                      <w:rFonts w:hint="eastAsia"/>
                    </w:rPr>
                    <w:t>1</w:t>
                  </w:r>
                </w:p>
              </w:tc>
              <w:tc>
                <w:tcPr>
                  <w:tcW w:w="671" w:type="pct"/>
                  <w:vAlign w:val="center"/>
                </w:tcPr>
                <w:p w14:paraId="39115F51">
                  <w:pPr>
                    <w:pStyle w:val="31"/>
                  </w:pPr>
                </w:p>
              </w:tc>
            </w:tr>
            <w:tr w14:paraId="5F70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4F85B282">
                  <w:pPr>
                    <w:pStyle w:val="31"/>
                  </w:pPr>
                </w:p>
              </w:tc>
              <w:tc>
                <w:tcPr>
                  <w:tcW w:w="513" w:type="pct"/>
                  <w:vAlign w:val="center"/>
                </w:tcPr>
                <w:p w14:paraId="571E1518">
                  <w:pPr>
                    <w:pStyle w:val="31"/>
                  </w:pPr>
                  <w:r>
                    <w:rPr>
                      <w:rFonts w:hint="eastAsia"/>
                    </w:rPr>
                    <w:t>9</w:t>
                  </w:r>
                </w:p>
              </w:tc>
              <w:tc>
                <w:tcPr>
                  <w:tcW w:w="1026" w:type="pct"/>
                  <w:vAlign w:val="center"/>
                </w:tcPr>
                <w:p w14:paraId="381C1AD4">
                  <w:pPr>
                    <w:pStyle w:val="31"/>
                  </w:pPr>
                  <w:r>
                    <w:rPr>
                      <w:rFonts w:hint="eastAsia"/>
                    </w:rPr>
                    <w:t>真空灌肠机</w:t>
                  </w:r>
                </w:p>
              </w:tc>
              <w:tc>
                <w:tcPr>
                  <w:tcW w:w="1150" w:type="pct"/>
                  <w:vAlign w:val="center"/>
                </w:tcPr>
                <w:p w14:paraId="293DFA14">
                  <w:pPr>
                    <w:pStyle w:val="31"/>
                  </w:pPr>
                  <w:r>
                    <w:rPr>
                      <w:rFonts w:hint="eastAsia"/>
                    </w:rPr>
                    <w:t>2.2</w:t>
                  </w:r>
                </w:p>
              </w:tc>
              <w:tc>
                <w:tcPr>
                  <w:tcW w:w="816" w:type="pct"/>
                  <w:vAlign w:val="center"/>
                </w:tcPr>
                <w:p w14:paraId="49AF9A8C">
                  <w:pPr>
                    <w:pStyle w:val="31"/>
                  </w:pPr>
                  <w:r>
                    <w:rPr>
                      <w:rFonts w:hint="eastAsia"/>
                    </w:rPr>
                    <w:t>1</w:t>
                  </w:r>
                </w:p>
              </w:tc>
              <w:tc>
                <w:tcPr>
                  <w:tcW w:w="671" w:type="pct"/>
                  <w:vAlign w:val="center"/>
                </w:tcPr>
                <w:p w14:paraId="70C8B90F">
                  <w:pPr>
                    <w:pStyle w:val="31"/>
                  </w:pPr>
                </w:p>
              </w:tc>
            </w:tr>
            <w:tr w14:paraId="794E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12B84797">
                  <w:pPr>
                    <w:pStyle w:val="31"/>
                  </w:pPr>
                </w:p>
              </w:tc>
              <w:tc>
                <w:tcPr>
                  <w:tcW w:w="513" w:type="pct"/>
                  <w:vAlign w:val="center"/>
                </w:tcPr>
                <w:p w14:paraId="429F185D">
                  <w:pPr>
                    <w:pStyle w:val="31"/>
                  </w:pPr>
                  <w:r>
                    <w:rPr>
                      <w:rFonts w:hint="eastAsia"/>
                    </w:rPr>
                    <w:t>10</w:t>
                  </w:r>
                </w:p>
              </w:tc>
              <w:tc>
                <w:tcPr>
                  <w:tcW w:w="1026" w:type="pct"/>
                  <w:vAlign w:val="center"/>
                </w:tcPr>
                <w:p w14:paraId="6C767D93">
                  <w:pPr>
                    <w:pStyle w:val="31"/>
                  </w:pPr>
                  <w:r>
                    <w:rPr>
                      <w:rFonts w:hint="eastAsia"/>
                    </w:rPr>
                    <w:t>牛扒填充机</w:t>
                  </w:r>
                </w:p>
              </w:tc>
              <w:tc>
                <w:tcPr>
                  <w:tcW w:w="1150" w:type="pct"/>
                  <w:vAlign w:val="center"/>
                </w:tcPr>
                <w:p w14:paraId="18BC6FC8">
                  <w:pPr>
                    <w:pStyle w:val="31"/>
                  </w:pPr>
                  <w:r>
                    <w:rPr>
                      <w:rFonts w:hint="eastAsia"/>
                    </w:rPr>
                    <w:t>气动</w:t>
                  </w:r>
                </w:p>
              </w:tc>
              <w:tc>
                <w:tcPr>
                  <w:tcW w:w="816" w:type="pct"/>
                  <w:vAlign w:val="center"/>
                </w:tcPr>
                <w:p w14:paraId="10191D68">
                  <w:pPr>
                    <w:pStyle w:val="31"/>
                  </w:pPr>
                  <w:r>
                    <w:rPr>
                      <w:rFonts w:hint="eastAsia"/>
                    </w:rPr>
                    <w:t>1</w:t>
                  </w:r>
                </w:p>
              </w:tc>
              <w:tc>
                <w:tcPr>
                  <w:tcW w:w="671" w:type="pct"/>
                  <w:vAlign w:val="center"/>
                </w:tcPr>
                <w:p w14:paraId="2E89D8C7">
                  <w:pPr>
                    <w:pStyle w:val="31"/>
                  </w:pPr>
                </w:p>
              </w:tc>
            </w:tr>
            <w:tr w14:paraId="298E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13CDB31A">
                  <w:pPr>
                    <w:pStyle w:val="31"/>
                  </w:pPr>
                </w:p>
              </w:tc>
              <w:tc>
                <w:tcPr>
                  <w:tcW w:w="513" w:type="pct"/>
                  <w:vAlign w:val="center"/>
                </w:tcPr>
                <w:p w14:paraId="555CA038">
                  <w:pPr>
                    <w:pStyle w:val="31"/>
                  </w:pPr>
                  <w:r>
                    <w:rPr>
                      <w:rFonts w:hint="eastAsia"/>
                    </w:rPr>
                    <w:t>11</w:t>
                  </w:r>
                </w:p>
              </w:tc>
              <w:tc>
                <w:tcPr>
                  <w:tcW w:w="1026" w:type="pct"/>
                  <w:vAlign w:val="center"/>
                </w:tcPr>
                <w:p w14:paraId="5D7B71E3">
                  <w:pPr>
                    <w:pStyle w:val="31"/>
                  </w:pPr>
                  <w:r>
                    <w:rPr>
                      <w:rFonts w:hint="eastAsia"/>
                    </w:rPr>
                    <w:t>烟熏炉</w:t>
                  </w:r>
                </w:p>
              </w:tc>
              <w:tc>
                <w:tcPr>
                  <w:tcW w:w="1150" w:type="pct"/>
                  <w:vAlign w:val="center"/>
                </w:tcPr>
                <w:p w14:paraId="63CD00BB">
                  <w:pPr>
                    <w:pStyle w:val="31"/>
                  </w:pPr>
                  <w:r>
                    <w:rPr>
                      <w:rFonts w:hint="eastAsia"/>
                    </w:rPr>
                    <w:t>50</w:t>
                  </w:r>
                </w:p>
              </w:tc>
              <w:tc>
                <w:tcPr>
                  <w:tcW w:w="816" w:type="pct"/>
                  <w:vAlign w:val="center"/>
                </w:tcPr>
                <w:p w14:paraId="4AA1FC05">
                  <w:pPr>
                    <w:pStyle w:val="31"/>
                  </w:pPr>
                  <w:r>
                    <w:rPr>
                      <w:rFonts w:hint="eastAsia"/>
                    </w:rPr>
                    <w:t>1</w:t>
                  </w:r>
                </w:p>
              </w:tc>
              <w:tc>
                <w:tcPr>
                  <w:tcW w:w="671" w:type="pct"/>
                  <w:vAlign w:val="center"/>
                </w:tcPr>
                <w:p w14:paraId="434E2FD9">
                  <w:pPr>
                    <w:pStyle w:val="31"/>
                  </w:pPr>
                </w:p>
              </w:tc>
            </w:tr>
            <w:tr w14:paraId="3328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30D5A43B">
                  <w:pPr>
                    <w:pStyle w:val="31"/>
                  </w:pPr>
                </w:p>
              </w:tc>
              <w:tc>
                <w:tcPr>
                  <w:tcW w:w="513" w:type="pct"/>
                  <w:vAlign w:val="center"/>
                </w:tcPr>
                <w:p w14:paraId="0F0A414E">
                  <w:pPr>
                    <w:pStyle w:val="31"/>
                  </w:pPr>
                  <w:r>
                    <w:rPr>
                      <w:rFonts w:hint="eastAsia"/>
                    </w:rPr>
                    <w:t>12</w:t>
                  </w:r>
                </w:p>
              </w:tc>
              <w:tc>
                <w:tcPr>
                  <w:tcW w:w="1026" w:type="pct"/>
                  <w:vAlign w:val="center"/>
                </w:tcPr>
                <w:p w14:paraId="177806F5">
                  <w:pPr>
                    <w:pStyle w:val="31"/>
                  </w:pPr>
                  <w:r>
                    <w:rPr>
                      <w:rFonts w:hint="eastAsia"/>
                    </w:rPr>
                    <w:t>电磁灶</w:t>
                  </w:r>
                </w:p>
              </w:tc>
              <w:tc>
                <w:tcPr>
                  <w:tcW w:w="1150" w:type="pct"/>
                  <w:vAlign w:val="center"/>
                </w:tcPr>
                <w:p w14:paraId="72AFB2A0">
                  <w:pPr>
                    <w:pStyle w:val="31"/>
                  </w:pPr>
                  <w:r>
                    <w:rPr>
                      <w:rFonts w:hint="eastAsia"/>
                    </w:rPr>
                    <w:t>30</w:t>
                  </w:r>
                </w:p>
              </w:tc>
              <w:tc>
                <w:tcPr>
                  <w:tcW w:w="816" w:type="pct"/>
                  <w:vAlign w:val="center"/>
                </w:tcPr>
                <w:p w14:paraId="5964AB38">
                  <w:pPr>
                    <w:pStyle w:val="31"/>
                  </w:pPr>
                  <w:r>
                    <w:rPr>
                      <w:rFonts w:hint="eastAsia"/>
                    </w:rPr>
                    <w:t>1</w:t>
                  </w:r>
                </w:p>
              </w:tc>
              <w:tc>
                <w:tcPr>
                  <w:tcW w:w="671" w:type="pct"/>
                  <w:vAlign w:val="center"/>
                </w:tcPr>
                <w:p w14:paraId="0609705E">
                  <w:pPr>
                    <w:pStyle w:val="31"/>
                  </w:pPr>
                </w:p>
              </w:tc>
            </w:tr>
            <w:tr w14:paraId="566F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5334B9D4">
                  <w:pPr>
                    <w:pStyle w:val="31"/>
                  </w:pPr>
                </w:p>
              </w:tc>
              <w:tc>
                <w:tcPr>
                  <w:tcW w:w="513" w:type="pct"/>
                  <w:vAlign w:val="center"/>
                </w:tcPr>
                <w:p w14:paraId="28C9D4C1">
                  <w:pPr>
                    <w:pStyle w:val="31"/>
                  </w:pPr>
                  <w:r>
                    <w:rPr>
                      <w:rFonts w:hint="eastAsia"/>
                    </w:rPr>
                    <w:t>13</w:t>
                  </w:r>
                </w:p>
              </w:tc>
              <w:tc>
                <w:tcPr>
                  <w:tcW w:w="1026" w:type="pct"/>
                  <w:vAlign w:val="center"/>
                </w:tcPr>
                <w:p w14:paraId="61F3C8AD">
                  <w:pPr>
                    <w:pStyle w:val="31"/>
                  </w:pPr>
                  <w:r>
                    <w:rPr>
                      <w:rFonts w:hint="eastAsia"/>
                    </w:rPr>
                    <w:t>打浆机</w:t>
                  </w:r>
                </w:p>
              </w:tc>
              <w:tc>
                <w:tcPr>
                  <w:tcW w:w="1150" w:type="pct"/>
                  <w:vAlign w:val="center"/>
                </w:tcPr>
                <w:p w14:paraId="60668982">
                  <w:pPr>
                    <w:pStyle w:val="31"/>
                  </w:pPr>
                  <w:r>
                    <w:rPr>
                      <w:rFonts w:hint="eastAsia"/>
                    </w:rPr>
                    <w:t>50</w:t>
                  </w:r>
                </w:p>
              </w:tc>
              <w:tc>
                <w:tcPr>
                  <w:tcW w:w="816" w:type="pct"/>
                  <w:vAlign w:val="center"/>
                </w:tcPr>
                <w:p w14:paraId="58B6394F">
                  <w:pPr>
                    <w:pStyle w:val="31"/>
                  </w:pPr>
                  <w:r>
                    <w:rPr>
                      <w:rFonts w:hint="eastAsia"/>
                    </w:rPr>
                    <w:t>1</w:t>
                  </w:r>
                </w:p>
              </w:tc>
              <w:tc>
                <w:tcPr>
                  <w:tcW w:w="671" w:type="pct"/>
                  <w:vAlign w:val="center"/>
                </w:tcPr>
                <w:p w14:paraId="61C179EB">
                  <w:pPr>
                    <w:pStyle w:val="31"/>
                  </w:pPr>
                </w:p>
              </w:tc>
            </w:tr>
            <w:tr w14:paraId="712B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74BC7BDF">
                  <w:pPr>
                    <w:pStyle w:val="31"/>
                  </w:pPr>
                </w:p>
              </w:tc>
              <w:tc>
                <w:tcPr>
                  <w:tcW w:w="513" w:type="pct"/>
                  <w:vAlign w:val="center"/>
                </w:tcPr>
                <w:p w14:paraId="7DE91DCF">
                  <w:pPr>
                    <w:pStyle w:val="31"/>
                  </w:pPr>
                  <w:r>
                    <w:rPr>
                      <w:rFonts w:hint="eastAsia"/>
                    </w:rPr>
                    <w:t>14</w:t>
                  </w:r>
                </w:p>
              </w:tc>
              <w:tc>
                <w:tcPr>
                  <w:tcW w:w="1026" w:type="pct"/>
                  <w:vAlign w:val="center"/>
                </w:tcPr>
                <w:p w14:paraId="73297B84">
                  <w:pPr>
                    <w:pStyle w:val="31"/>
                  </w:pPr>
                  <w:r>
                    <w:rPr>
                      <w:rFonts w:hint="eastAsia"/>
                    </w:rPr>
                    <w:t>肉丸成型机</w:t>
                  </w:r>
                </w:p>
              </w:tc>
              <w:tc>
                <w:tcPr>
                  <w:tcW w:w="1150" w:type="pct"/>
                  <w:vAlign w:val="center"/>
                </w:tcPr>
                <w:p w14:paraId="197477C2">
                  <w:pPr>
                    <w:pStyle w:val="31"/>
                  </w:pPr>
                  <w:r>
                    <w:rPr>
                      <w:rFonts w:hint="eastAsia"/>
                    </w:rPr>
                    <w:t>3kW</w:t>
                  </w:r>
                </w:p>
              </w:tc>
              <w:tc>
                <w:tcPr>
                  <w:tcW w:w="816" w:type="pct"/>
                  <w:vAlign w:val="center"/>
                </w:tcPr>
                <w:p w14:paraId="24230A3F">
                  <w:pPr>
                    <w:pStyle w:val="31"/>
                  </w:pPr>
                  <w:r>
                    <w:rPr>
                      <w:rFonts w:hint="eastAsia"/>
                    </w:rPr>
                    <w:t>1</w:t>
                  </w:r>
                </w:p>
              </w:tc>
              <w:tc>
                <w:tcPr>
                  <w:tcW w:w="671" w:type="pct"/>
                  <w:vAlign w:val="center"/>
                </w:tcPr>
                <w:p w14:paraId="6F4CD246">
                  <w:pPr>
                    <w:pStyle w:val="31"/>
                  </w:pPr>
                </w:p>
              </w:tc>
            </w:tr>
            <w:tr w14:paraId="5737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53F7AB26">
                  <w:pPr>
                    <w:pStyle w:val="31"/>
                  </w:pPr>
                </w:p>
              </w:tc>
              <w:tc>
                <w:tcPr>
                  <w:tcW w:w="513" w:type="pct"/>
                  <w:vAlign w:val="center"/>
                </w:tcPr>
                <w:p w14:paraId="5F6DA16D">
                  <w:pPr>
                    <w:pStyle w:val="31"/>
                  </w:pPr>
                  <w:r>
                    <w:rPr>
                      <w:rFonts w:hint="eastAsia"/>
                    </w:rPr>
                    <w:t>15</w:t>
                  </w:r>
                </w:p>
              </w:tc>
              <w:tc>
                <w:tcPr>
                  <w:tcW w:w="1026" w:type="pct"/>
                  <w:vAlign w:val="center"/>
                </w:tcPr>
                <w:p w14:paraId="0BD6BD86">
                  <w:pPr>
                    <w:pStyle w:val="31"/>
                  </w:pPr>
                  <w:r>
                    <w:rPr>
                      <w:rFonts w:hint="eastAsia"/>
                    </w:rPr>
                    <w:t>肥牛切片机</w:t>
                  </w:r>
                </w:p>
              </w:tc>
              <w:tc>
                <w:tcPr>
                  <w:tcW w:w="1150" w:type="pct"/>
                  <w:vAlign w:val="center"/>
                </w:tcPr>
                <w:p w14:paraId="483178DF">
                  <w:pPr>
                    <w:pStyle w:val="31"/>
                  </w:pPr>
                  <w:r>
                    <w:rPr>
                      <w:rFonts w:hint="eastAsia"/>
                    </w:rPr>
                    <w:t>80型</w:t>
                  </w:r>
                </w:p>
              </w:tc>
              <w:tc>
                <w:tcPr>
                  <w:tcW w:w="816" w:type="pct"/>
                  <w:vAlign w:val="center"/>
                </w:tcPr>
                <w:p w14:paraId="2CF6EFE2">
                  <w:pPr>
                    <w:pStyle w:val="31"/>
                  </w:pPr>
                  <w:r>
                    <w:rPr>
                      <w:rFonts w:hint="eastAsia"/>
                    </w:rPr>
                    <w:t>1</w:t>
                  </w:r>
                </w:p>
              </w:tc>
              <w:tc>
                <w:tcPr>
                  <w:tcW w:w="671" w:type="pct"/>
                  <w:vAlign w:val="center"/>
                </w:tcPr>
                <w:p w14:paraId="185D8805">
                  <w:pPr>
                    <w:pStyle w:val="31"/>
                  </w:pPr>
                </w:p>
              </w:tc>
            </w:tr>
            <w:tr w14:paraId="730D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52020CC8">
                  <w:pPr>
                    <w:pStyle w:val="31"/>
                  </w:pPr>
                </w:p>
              </w:tc>
              <w:tc>
                <w:tcPr>
                  <w:tcW w:w="513" w:type="pct"/>
                  <w:vAlign w:val="center"/>
                </w:tcPr>
                <w:p w14:paraId="33B12F19">
                  <w:pPr>
                    <w:pStyle w:val="31"/>
                  </w:pPr>
                  <w:r>
                    <w:rPr>
                      <w:rFonts w:hint="eastAsia"/>
                    </w:rPr>
                    <w:t>16</w:t>
                  </w:r>
                </w:p>
              </w:tc>
              <w:tc>
                <w:tcPr>
                  <w:tcW w:w="1026" w:type="pct"/>
                  <w:vAlign w:val="center"/>
                </w:tcPr>
                <w:p w14:paraId="2F688EC6">
                  <w:pPr>
                    <w:pStyle w:val="31"/>
                  </w:pPr>
                  <w:r>
                    <w:rPr>
                      <w:rFonts w:hint="eastAsia"/>
                    </w:rPr>
                    <w:t>肥牛切片机</w:t>
                  </w:r>
                </w:p>
              </w:tc>
              <w:tc>
                <w:tcPr>
                  <w:tcW w:w="1150" w:type="pct"/>
                  <w:vAlign w:val="center"/>
                </w:tcPr>
                <w:p w14:paraId="593A20B6">
                  <w:pPr>
                    <w:pStyle w:val="31"/>
                  </w:pPr>
                  <w:r>
                    <w:rPr>
                      <w:rFonts w:hint="eastAsia"/>
                    </w:rPr>
                    <w:t>40型</w:t>
                  </w:r>
                </w:p>
              </w:tc>
              <w:tc>
                <w:tcPr>
                  <w:tcW w:w="816" w:type="pct"/>
                  <w:vAlign w:val="center"/>
                </w:tcPr>
                <w:p w14:paraId="2605DDB4">
                  <w:pPr>
                    <w:pStyle w:val="31"/>
                  </w:pPr>
                  <w:r>
                    <w:rPr>
                      <w:rFonts w:hint="eastAsia"/>
                    </w:rPr>
                    <w:t>1</w:t>
                  </w:r>
                </w:p>
              </w:tc>
              <w:tc>
                <w:tcPr>
                  <w:tcW w:w="671" w:type="pct"/>
                  <w:vAlign w:val="center"/>
                </w:tcPr>
                <w:p w14:paraId="4A171855">
                  <w:pPr>
                    <w:pStyle w:val="31"/>
                  </w:pPr>
                </w:p>
              </w:tc>
            </w:tr>
            <w:tr w14:paraId="11C4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29E57A05">
                  <w:pPr>
                    <w:pStyle w:val="31"/>
                  </w:pPr>
                </w:p>
              </w:tc>
              <w:tc>
                <w:tcPr>
                  <w:tcW w:w="513" w:type="pct"/>
                  <w:vAlign w:val="center"/>
                </w:tcPr>
                <w:p w14:paraId="6386E403">
                  <w:pPr>
                    <w:pStyle w:val="31"/>
                  </w:pPr>
                  <w:r>
                    <w:rPr>
                      <w:rFonts w:hint="eastAsia"/>
                    </w:rPr>
                    <w:t>17</w:t>
                  </w:r>
                </w:p>
              </w:tc>
              <w:tc>
                <w:tcPr>
                  <w:tcW w:w="1026" w:type="pct"/>
                  <w:vAlign w:val="center"/>
                </w:tcPr>
                <w:p w14:paraId="48E62AE5">
                  <w:pPr>
                    <w:pStyle w:val="31"/>
                  </w:pPr>
                  <w:r>
                    <w:rPr>
                      <w:rFonts w:hint="eastAsia"/>
                    </w:rPr>
                    <w:t>锯骨机</w:t>
                  </w:r>
                </w:p>
              </w:tc>
              <w:tc>
                <w:tcPr>
                  <w:tcW w:w="1150" w:type="pct"/>
                  <w:vAlign w:val="center"/>
                </w:tcPr>
                <w:p w14:paraId="41086AEF">
                  <w:pPr>
                    <w:pStyle w:val="31"/>
                  </w:pPr>
                  <w:r>
                    <w:rPr>
                      <w:rFonts w:hint="eastAsia"/>
                    </w:rPr>
                    <w:t>360</w:t>
                  </w:r>
                </w:p>
              </w:tc>
              <w:tc>
                <w:tcPr>
                  <w:tcW w:w="816" w:type="pct"/>
                  <w:vAlign w:val="center"/>
                </w:tcPr>
                <w:p w14:paraId="7AFB2132">
                  <w:pPr>
                    <w:pStyle w:val="31"/>
                  </w:pPr>
                  <w:r>
                    <w:rPr>
                      <w:rFonts w:hint="eastAsia"/>
                    </w:rPr>
                    <w:t>1</w:t>
                  </w:r>
                </w:p>
              </w:tc>
              <w:tc>
                <w:tcPr>
                  <w:tcW w:w="671" w:type="pct"/>
                  <w:vAlign w:val="center"/>
                </w:tcPr>
                <w:p w14:paraId="0F357B38">
                  <w:pPr>
                    <w:pStyle w:val="31"/>
                  </w:pPr>
                </w:p>
              </w:tc>
            </w:tr>
            <w:tr w14:paraId="70BC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20A0BD6D">
                  <w:pPr>
                    <w:pStyle w:val="31"/>
                  </w:pPr>
                </w:p>
              </w:tc>
              <w:tc>
                <w:tcPr>
                  <w:tcW w:w="513" w:type="pct"/>
                  <w:vAlign w:val="center"/>
                </w:tcPr>
                <w:p w14:paraId="518FC554">
                  <w:pPr>
                    <w:pStyle w:val="31"/>
                  </w:pPr>
                  <w:r>
                    <w:rPr>
                      <w:rFonts w:hint="eastAsia"/>
                    </w:rPr>
                    <w:t>18</w:t>
                  </w:r>
                </w:p>
              </w:tc>
              <w:tc>
                <w:tcPr>
                  <w:tcW w:w="1026" w:type="pct"/>
                  <w:vAlign w:val="center"/>
                </w:tcPr>
                <w:p w14:paraId="13921357">
                  <w:pPr>
                    <w:pStyle w:val="31"/>
                  </w:pPr>
                  <w:r>
                    <w:rPr>
                      <w:rFonts w:hint="eastAsia"/>
                    </w:rPr>
                    <w:t>真空包装机</w:t>
                  </w:r>
                </w:p>
              </w:tc>
              <w:tc>
                <w:tcPr>
                  <w:tcW w:w="1150" w:type="pct"/>
                  <w:vAlign w:val="center"/>
                </w:tcPr>
                <w:p w14:paraId="65FCB2B1">
                  <w:pPr>
                    <w:pStyle w:val="31"/>
                  </w:pPr>
                  <w:r>
                    <w:rPr>
                      <w:rFonts w:hint="eastAsia"/>
                    </w:rPr>
                    <w:t>DZD-500</w:t>
                  </w:r>
                </w:p>
              </w:tc>
              <w:tc>
                <w:tcPr>
                  <w:tcW w:w="816" w:type="pct"/>
                  <w:vAlign w:val="center"/>
                </w:tcPr>
                <w:p w14:paraId="2A601215">
                  <w:pPr>
                    <w:pStyle w:val="31"/>
                  </w:pPr>
                  <w:r>
                    <w:rPr>
                      <w:rFonts w:hint="eastAsia"/>
                    </w:rPr>
                    <w:t>4</w:t>
                  </w:r>
                </w:p>
              </w:tc>
              <w:tc>
                <w:tcPr>
                  <w:tcW w:w="671" w:type="pct"/>
                  <w:vAlign w:val="center"/>
                </w:tcPr>
                <w:p w14:paraId="42A28B0B">
                  <w:pPr>
                    <w:pStyle w:val="31"/>
                  </w:pPr>
                </w:p>
              </w:tc>
            </w:tr>
            <w:tr w14:paraId="1F4D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6C564CCE">
                  <w:pPr>
                    <w:pStyle w:val="31"/>
                  </w:pPr>
                </w:p>
              </w:tc>
              <w:tc>
                <w:tcPr>
                  <w:tcW w:w="513" w:type="pct"/>
                  <w:vAlign w:val="center"/>
                </w:tcPr>
                <w:p w14:paraId="45CD7DBC">
                  <w:pPr>
                    <w:pStyle w:val="31"/>
                  </w:pPr>
                  <w:r>
                    <w:rPr>
                      <w:rFonts w:hint="eastAsia"/>
                    </w:rPr>
                    <w:t>19</w:t>
                  </w:r>
                </w:p>
              </w:tc>
              <w:tc>
                <w:tcPr>
                  <w:tcW w:w="1026" w:type="pct"/>
                  <w:vAlign w:val="center"/>
                </w:tcPr>
                <w:p w14:paraId="775D7BB9">
                  <w:pPr>
                    <w:pStyle w:val="31"/>
                  </w:pPr>
                  <w:r>
                    <w:rPr>
                      <w:rFonts w:hint="eastAsia"/>
                    </w:rPr>
                    <w:t>贴体包装机</w:t>
                  </w:r>
                </w:p>
              </w:tc>
              <w:tc>
                <w:tcPr>
                  <w:tcW w:w="1150" w:type="pct"/>
                  <w:vAlign w:val="center"/>
                </w:tcPr>
                <w:p w14:paraId="58604DA9">
                  <w:pPr>
                    <w:pStyle w:val="31"/>
                  </w:pPr>
                  <w:r>
                    <w:rPr>
                      <w:rFonts w:hint="eastAsia"/>
                    </w:rPr>
                    <w:t>400-760</w:t>
                  </w:r>
                </w:p>
              </w:tc>
              <w:tc>
                <w:tcPr>
                  <w:tcW w:w="816" w:type="pct"/>
                  <w:vAlign w:val="center"/>
                </w:tcPr>
                <w:p w14:paraId="01902424">
                  <w:pPr>
                    <w:pStyle w:val="31"/>
                  </w:pPr>
                  <w:r>
                    <w:rPr>
                      <w:rFonts w:hint="eastAsia"/>
                    </w:rPr>
                    <w:t>2</w:t>
                  </w:r>
                </w:p>
              </w:tc>
              <w:tc>
                <w:tcPr>
                  <w:tcW w:w="671" w:type="pct"/>
                  <w:vAlign w:val="center"/>
                </w:tcPr>
                <w:p w14:paraId="11C72118">
                  <w:pPr>
                    <w:pStyle w:val="31"/>
                  </w:pPr>
                </w:p>
              </w:tc>
            </w:tr>
            <w:tr w14:paraId="4FD1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516FE2F3">
                  <w:pPr>
                    <w:pStyle w:val="31"/>
                  </w:pPr>
                </w:p>
              </w:tc>
              <w:tc>
                <w:tcPr>
                  <w:tcW w:w="513" w:type="pct"/>
                  <w:vAlign w:val="center"/>
                </w:tcPr>
                <w:p w14:paraId="4C625CEB">
                  <w:pPr>
                    <w:pStyle w:val="31"/>
                  </w:pPr>
                  <w:r>
                    <w:rPr>
                      <w:rFonts w:hint="eastAsia"/>
                    </w:rPr>
                    <w:t>20</w:t>
                  </w:r>
                </w:p>
              </w:tc>
              <w:tc>
                <w:tcPr>
                  <w:tcW w:w="1026" w:type="pct"/>
                  <w:vAlign w:val="center"/>
                </w:tcPr>
                <w:p w14:paraId="749378A3">
                  <w:pPr>
                    <w:pStyle w:val="31"/>
                  </w:pPr>
                  <w:r>
                    <w:rPr>
                      <w:rFonts w:hint="eastAsia"/>
                    </w:rPr>
                    <w:t>热封机</w:t>
                  </w:r>
                </w:p>
              </w:tc>
              <w:tc>
                <w:tcPr>
                  <w:tcW w:w="1150" w:type="pct"/>
                  <w:vAlign w:val="center"/>
                </w:tcPr>
                <w:p w14:paraId="5887FA2D">
                  <w:pPr>
                    <w:pStyle w:val="31"/>
                  </w:pPr>
                  <w:r>
                    <w:rPr>
                      <w:rFonts w:hint="eastAsia"/>
                    </w:rPr>
                    <w:t>770</w:t>
                  </w:r>
                </w:p>
              </w:tc>
              <w:tc>
                <w:tcPr>
                  <w:tcW w:w="816" w:type="pct"/>
                  <w:vAlign w:val="center"/>
                </w:tcPr>
                <w:p w14:paraId="73957F04">
                  <w:pPr>
                    <w:pStyle w:val="31"/>
                  </w:pPr>
                  <w:r>
                    <w:rPr>
                      <w:rFonts w:hint="eastAsia"/>
                    </w:rPr>
                    <w:t>4</w:t>
                  </w:r>
                </w:p>
              </w:tc>
              <w:tc>
                <w:tcPr>
                  <w:tcW w:w="671" w:type="pct"/>
                  <w:vAlign w:val="center"/>
                </w:tcPr>
                <w:p w14:paraId="4936A128">
                  <w:pPr>
                    <w:pStyle w:val="31"/>
                  </w:pPr>
                </w:p>
              </w:tc>
            </w:tr>
            <w:tr w14:paraId="0025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restart"/>
                  <w:vAlign w:val="center"/>
                </w:tcPr>
                <w:p w14:paraId="32C93277">
                  <w:pPr>
                    <w:pStyle w:val="31"/>
                  </w:pPr>
                  <w:r>
                    <w:rPr>
                      <w:rFonts w:hint="eastAsia"/>
                    </w:rPr>
                    <w:t>50000只/年肉羊屠宰加工生产线</w:t>
                  </w:r>
                </w:p>
              </w:tc>
              <w:tc>
                <w:tcPr>
                  <w:tcW w:w="513" w:type="pct"/>
                  <w:vAlign w:val="center"/>
                </w:tcPr>
                <w:p w14:paraId="61A7A764">
                  <w:pPr>
                    <w:pStyle w:val="31"/>
                  </w:pPr>
                  <w:r>
                    <w:rPr>
                      <w:rFonts w:hint="eastAsia"/>
                    </w:rPr>
                    <w:t>1</w:t>
                  </w:r>
                </w:p>
              </w:tc>
              <w:tc>
                <w:tcPr>
                  <w:tcW w:w="1026" w:type="pct"/>
                  <w:vAlign w:val="center"/>
                </w:tcPr>
                <w:p w14:paraId="38FC9E85">
                  <w:pPr>
                    <w:pStyle w:val="31"/>
                  </w:pPr>
                  <w:r>
                    <w:t>烫池</w:t>
                  </w:r>
                </w:p>
              </w:tc>
              <w:tc>
                <w:tcPr>
                  <w:tcW w:w="1150" w:type="pct"/>
                  <w:vAlign w:val="center"/>
                </w:tcPr>
                <w:p w14:paraId="6BA1D938">
                  <w:pPr>
                    <w:pStyle w:val="31"/>
                  </w:pPr>
                  <w:r>
                    <w:t>48kW</w:t>
                  </w:r>
                </w:p>
              </w:tc>
              <w:tc>
                <w:tcPr>
                  <w:tcW w:w="816" w:type="pct"/>
                  <w:vAlign w:val="center"/>
                </w:tcPr>
                <w:p w14:paraId="3B1718F4">
                  <w:pPr>
                    <w:pStyle w:val="31"/>
                  </w:pPr>
                  <w:r>
                    <w:t>1</w:t>
                  </w:r>
                </w:p>
              </w:tc>
              <w:tc>
                <w:tcPr>
                  <w:tcW w:w="671" w:type="pct"/>
                  <w:vAlign w:val="center"/>
                </w:tcPr>
                <w:p w14:paraId="2592CB7C">
                  <w:pPr>
                    <w:pStyle w:val="31"/>
                  </w:pPr>
                  <w:r>
                    <w:rPr>
                      <w:rFonts w:hint="eastAsia"/>
                    </w:rPr>
                    <w:t>新增</w:t>
                  </w:r>
                </w:p>
              </w:tc>
            </w:tr>
            <w:tr w14:paraId="45AB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2A5B295C">
                  <w:pPr>
                    <w:pStyle w:val="31"/>
                  </w:pPr>
                </w:p>
              </w:tc>
              <w:tc>
                <w:tcPr>
                  <w:tcW w:w="513" w:type="pct"/>
                  <w:vAlign w:val="center"/>
                </w:tcPr>
                <w:p w14:paraId="4D18A3FA">
                  <w:pPr>
                    <w:pStyle w:val="31"/>
                  </w:pPr>
                  <w:r>
                    <w:rPr>
                      <w:rFonts w:hint="eastAsia"/>
                    </w:rPr>
                    <w:t>2</w:t>
                  </w:r>
                </w:p>
              </w:tc>
              <w:tc>
                <w:tcPr>
                  <w:tcW w:w="1026" w:type="pct"/>
                  <w:vAlign w:val="center"/>
                </w:tcPr>
                <w:p w14:paraId="6421AB63">
                  <w:pPr>
                    <w:pStyle w:val="31"/>
                  </w:pPr>
                  <w:r>
                    <w:t>脱毛机</w:t>
                  </w:r>
                </w:p>
              </w:tc>
              <w:tc>
                <w:tcPr>
                  <w:tcW w:w="1150" w:type="pct"/>
                  <w:vAlign w:val="center"/>
                </w:tcPr>
                <w:p w14:paraId="064E7323">
                  <w:pPr>
                    <w:pStyle w:val="31"/>
                  </w:pPr>
                  <w:r>
                    <w:t>TQW50型‌</w:t>
                  </w:r>
                </w:p>
              </w:tc>
              <w:tc>
                <w:tcPr>
                  <w:tcW w:w="816" w:type="pct"/>
                  <w:vAlign w:val="center"/>
                </w:tcPr>
                <w:p w14:paraId="0AA3B6DF">
                  <w:pPr>
                    <w:pStyle w:val="31"/>
                  </w:pPr>
                  <w:r>
                    <w:t>1</w:t>
                  </w:r>
                </w:p>
              </w:tc>
              <w:tc>
                <w:tcPr>
                  <w:tcW w:w="671" w:type="pct"/>
                  <w:vAlign w:val="center"/>
                </w:tcPr>
                <w:p w14:paraId="0BF60725">
                  <w:pPr>
                    <w:pStyle w:val="31"/>
                  </w:pPr>
                  <w:r>
                    <w:rPr>
                      <w:rFonts w:hint="eastAsia"/>
                    </w:rPr>
                    <w:t>新增</w:t>
                  </w:r>
                </w:p>
              </w:tc>
            </w:tr>
            <w:tr w14:paraId="1C0A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64C6B79C">
                  <w:pPr>
                    <w:pStyle w:val="31"/>
                  </w:pPr>
                </w:p>
              </w:tc>
              <w:tc>
                <w:tcPr>
                  <w:tcW w:w="513" w:type="pct"/>
                  <w:vAlign w:val="center"/>
                </w:tcPr>
                <w:p w14:paraId="367EC0FA">
                  <w:pPr>
                    <w:pStyle w:val="31"/>
                  </w:pPr>
                  <w:r>
                    <w:rPr>
                      <w:rFonts w:hint="eastAsia"/>
                    </w:rPr>
                    <w:t>3</w:t>
                  </w:r>
                </w:p>
              </w:tc>
              <w:tc>
                <w:tcPr>
                  <w:tcW w:w="1026" w:type="pct"/>
                  <w:vAlign w:val="center"/>
                </w:tcPr>
                <w:p w14:paraId="3D896F23">
                  <w:pPr>
                    <w:pStyle w:val="31"/>
                  </w:pPr>
                  <w:r>
                    <w:t>辅助轨道</w:t>
                  </w:r>
                </w:p>
              </w:tc>
              <w:tc>
                <w:tcPr>
                  <w:tcW w:w="1150" w:type="pct"/>
                  <w:vAlign w:val="center"/>
                </w:tcPr>
                <w:p w14:paraId="37BE007A">
                  <w:pPr>
                    <w:pStyle w:val="31"/>
                  </w:pPr>
                </w:p>
              </w:tc>
              <w:tc>
                <w:tcPr>
                  <w:tcW w:w="816" w:type="pct"/>
                  <w:vAlign w:val="center"/>
                </w:tcPr>
                <w:p w14:paraId="0F251101">
                  <w:pPr>
                    <w:pStyle w:val="31"/>
                  </w:pPr>
                  <w:r>
                    <w:t>1</w:t>
                  </w:r>
                </w:p>
              </w:tc>
              <w:tc>
                <w:tcPr>
                  <w:tcW w:w="671" w:type="pct"/>
                  <w:vAlign w:val="center"/>
                </w:tcPr>
                <w:p w14:paraId="2CF76748">
                  <w:pPr>
                    <w:pStyle w:val="31"/>
                  </w:pPr>
                  <w:r>
                    <w:rPr>
                      <w:rFonts w:hint="eastAsia"/>
                    </w:rPr>
                    <w:t>新增</w:t>
                  </w:r>
                </w:p>
              </w:tc>
            </w:tr>
            <w:tr w14:paraId="58B4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23F1CAE1">
                  <w:pPr>
                    <w:pStyle w:val="31"/>
                  </w:pPr>
                </w:p>
              </w:tc>
              <w:tc>
                <w:tcPr>
                  <w:tcW w:w="513" w:type="pct"/>
                  <w:vAlign w:val="center"/>
                </w:tcPr>
                <w:p w14:paraId="0E00F262">
                  <w:pPr>
                    <w:pStyle w:val="31"/>
                  </w:pPr>
                  <w:r>
                    <w:rPr>
                      <w:rFonts w:hint="eastAsia"/>
                    </w:rPr>
                    <w:t>4</w:t>
                  </w:r>
                </w:p>
              </w:tc>
              <w:tc>
                <w:tcPr>
                  <w:tcW w:w="1026" w:type="pct"/>
                  <w:vAlign w:val="center"/>
                </w:tcPr>
                <w:p w14:paraId="5B649AA6">
                  <w:pPr>
                    <w:pStyle w:val="31"/>
                  </w:pPr>
                  <w:r>
                    <w:t>地磅秤</w:t>
                  </w:r>
                </w:p>
              </w:tc>
              <w:tc>
                <w:tcPr>
                  <w:tcW w:w="1150" w:type="pct"/>
                  <w:vAlign w:val="center"/>
                </w:tcPr>
                <w:p w14:paraId="555F4881">
                  <w:pPr>
                    <w:pStyle w:val="31"/>
                  </w:pPr>
                </w:p>
              </w:tc>
              <w:tc>
                <w:tcPr>
                  <w:tcW w:w="816" w:type="pct"/>
                  <w:vAlign w:val="center"/>
                </w:tcPr>
                <w:p w14:paraId="436D71D4">
                  <w:pPr>
                    <w:pStyle w:val="31"/>
                  </w:pPr>
                  <w:r>
                    <w:t>1</w:t>
                  </w:r>
                </w:p>
              </w:tc>
              <w:tc>
                <w:tcPr>
                  <w:tcW w:w="671" w:type="pct"/>
                  <w:vAlign w:val="center"/>
                </w:tcPr>
                <w:p w14:paraId="370D221C">
                  <w:pPr>
                    <w:pStyle w:val="31"/>
                  </w:pPr>
                  <w:r>
                    <w:rPr>
                      <w:rFonts w:hint="eastAsia"/>
                    </w:rPr>
                    <w:t>新增</w:t>
                  </w:r>
                </w:p>
              </w:tc>
            </w:tr>
            <w:tr w14:paraId="6347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1ECE77BD">
                  <w:pPr>
                    <w:pStyle w:val="31"/>
                  </w:pPr>
                </w:p>
              </w:tc>
              <w:tc>
                <w:tcPr>
                  <w:tcW w:w="513" w:type="pct"/>
                  <w:vAlign w:val="center"/>
                </w:tcPr>
                <w:p w14:paraId="71D45C55">
                  <w:pPr>
                    <w:pStyle w:val="31"/>
                  </w:pPr>
                  <w:r>
                    <w:rPr>
                      <w:rFonts w:hint="eastAsia"/>
                    </w:rPr>
                    <w:t>5</w:t>
                  </w:r>
                </w:p>
              </w:tc>
              <w:tc>
                <w:tcPr>
                  <w:tcW w:w="1026" w:type="pct"/>
                  <w:vAlign w:val="center"/>
                </w:tcPr>
                <w:p w14:paraId="0EB68EE2">
                  <w:pPr>
                    <w:pStyle w:val="31"/>
                  </w:pPr>
                  <w:r>
                    <w:t>屠宰工具</w:t>
                  </w:r>
                </w:p>
              </w:tc>
              <w:tc>
                <w:tcPr>
                  <w:tcW w:w="1150" w:type="pct"/>
                  <w:vAlign w:val="center"/>
                </w:tcPr>
                <w:p w14:paraId="7AE71E70">
                  <w:pPr>
                    <w:pStyle w:val="31"/>
                  </w:pPr>
                </w:p>
              </w:tc>
              <w:tc>
                <w:tcPr>
                  <w:tcW w:w="816" w:type="pct"/>
                  <w:vAlign w:val="center"/>
                </w:tcPr>
                <w:p w14:paraId="0F87AEBE">
                  <w:pPr>
                    <w:pStyle w:val="31"/>
                  </w:pPr>
                  <w:r>
                    <w:t>1</w:t>
                  </w:r>
                </w:p>
              </w:tc>
              <w:tc>
                <w:tcPr>
                  <w:tcW w:w="671" w:type="pct"/>
                  <w:vAlign w:val="center"/>
                </w:tcPr>
                <w:p w14:paraId="202BE8C2">
                  <w:pPr>
                    <w:pStyle w:val="31"/>
                  </w:pPr>
                  <w:r>
                    <w:rPr>
                      <w:rFonts w:hint="eastAsia"/>
                    </w:rPr>
                    <w:t>新增</w:t>
                  </w:r>
                </w:p>
              </w:tc>
            </w:tr>
            <w:tr w14:paraId="2F21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4CDD1F1C">
                  <w:pPr>
                    <w:pStyle w:val="31"/>
                  </w:pPr>
                </w:p>
              </w:tc>
              <w:tc>
                <w:tcPr>
                  <w:tcW w:w="513" w:type="pct"/>
                  <w:vAlign w:val="center"/>
                </w:tcPr>
                <w:p w14:paraId="59FF486A">
                  <w:pPr>
                    <w:pStyle w:val="31"/>
                  </w:pPr>
                  <w:r>
                    <w:rPr>
                      <w:rFonts w:hint="eastAsia"/>
                    </w:rPr>
                    <w:t>6</w:t>
                  </w:r>
                </w:p>
              </w:tc>
              <w:tc>
                <w:tcPr>
                  <w:tcW w:w="1026" w:type="pct"/>
                  <w:vAlign w:val="center"/>
                </w:tcPr>
                <w:p w14:paraId="03491FEF">
                  <w:pPr>
                    <w:pStyle w:val="31"/>
                  </w:pPr>
                  <w:r>
                    <w:t>风机</w:t>
                  </w:r>
                </w:p>
              </w:tc>
              <w:tc>
                <w:tcPr>
                  <w:tcW w:w="1150" w:type="pct"/>
                  <w:vAlign w:val="center"/>
                </w:tcPr>
                <w:p w14:paraId="318A0325">
                  <w:pPr>
                    <w:pStyle w:val="31"/>
                  </w:pPr>
                  <w:r>
                    <w:t>SF6-4</w:t>
                  </w:r>
                </w:p>
              </w:tc>
              <w:tc>
                <w:tcPr>
                  <w:tcW w:w="816" w:type="pct"/>
                  <w:vAlign w:val="center"/>
                </w:tcPr>
                <w:p w14:paraId="16A766DB">
                  <w:pPr>
                    <w:pStyle w:val="31"/>
                  </w:pPr>
                  <w:r>
                    <w:t>2</w:t>
                  </w:r>
                </w:p>
              </w:tc>
              <w:tc>
                <w:tcPr>
                  <w:tcW w:w="671" w:type="pct"/>
                  <w:vAlign w:val="center"/>
                </w:tcPr>
                <w:p w14:paraId="667D99F4">
                  <w:pPr>
                    <w:pStyle w:val="31"/>
                  </w:pPr>
                  <w:r>
                    <w:rPr>
                      <w:rFonts w:hint="eastAsia"/>
                    </w:rPr>
                    <w:t>新增</w:t>
                  </w:r>
                </w:p>
              </w:tc>
            </w:tr>
            <w:tr w14:paraId="19B0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6761FF1A">
                  <w:pPr>
                    <w:pStyle w:val="31"/>
                  </w:pPr>
                </w:p>
              </w:tc>
              <w:tc>
                <w:tcPr>
                  <w:tcW w:w="513" w:type="pct"/>
                  <w:vAlign w:val="center"/>
                </w:tcPr>
                <w:p w14:paraId="3584674E">
                  <w:pPr>
                    <w:pStyle w:val="31"/>
                  </w:pPr>
                  <w:r>
                    <w:rPr>
                      <w:rFonts w:hint="eastAsia"/>
                    </w:rPr>
                    <w:t>7</w:t>
                  </w:r>
                </w:p>
              </w:tc>
              <w:tc>
                <w:tcPr>
                  <w:tcW w:w="1026" w:type="pct"/>
                  <w:vAlign w:val="center"/>
                </w:tcPr>
                <w:p w14:paraId="7EBF6B5D">
                  <w:pPr>
                    <w:pStyle w:val="31"/>
                  </w:pPr>
                  <w:r>
                    <w:t>钢绳吊</w:t>
                  </w:r>
                </w:p>
              </w:tc>
              <w:tc>
                <w:tcPr>
                  <w:tcW w:w="1150" w:type="pct"/>
                  <w:vAlign w:val="center"/>
                </w:tcPr>
                <w:p w14:paraId="337BF387">
                  <w:pPr>
                    <w:pStyle w:val="31"/>
                  </w:pPr>
                  <w:r>
                    <w:t>葫芦型号2吨</w:t>
                  </w:r>
                </w:p>
              </w:tc>
              <w:tc>
                <w:tcPr>
                  <w:tcW w:w="816" w:type="pct"/>
                  <w:vAlign w:val="center"/>
                </w:tcPr>
                <w:p w14:paraId="353A53DE">
                  <w:pPr>
                    <w:pStyle w:val="31"/>
                  </w:pPr>
                  <w:r>
                    <w:t>1</w:t>
                  </w:r>
                </w:p>
              </w:tc>
              <w:tc>
                <w:tcPr>
                  <w:tcW w:w="671" w:type="pct"/>
                  <w:vAlign w:val="center"/>
                </w:tcPr>
                <w:p w14:paraId="216882DF">
                  <w:pPr>
                    <w:pStyle w:val="31"/>
                  </w:pPr>
                  <w:r>
                    <w:rPr>
                      <w:rFonts w:hint="eastAsia"/>
                    </w:rPr>
                    <w:t>新增</w:t>
                  </w:r>
                </w:p>
              </w:tc>
            </w:tr>
          </w:tbl>
          <w:p w14:paraId="3AF393DD">
            <w:pPr>
              <w:rPr>
                <w:sz w:val="24"/>
              </w:rPr>
            </w:pPr>
          </w:p>
          <w:p w14:paraId="15402B4F">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（6）劳动定员及工作制度</w:t>
            </w:r>
          </w:p>
          <w:p w14:paraId="6690449D">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项目依托原</w:t>
            </w:r>
            <w:r>
              <w:rPr>
                <w:sz w:val="24"/>
              </w:rPr>
              <w:t>听牧肉牛屠宰及优质</w:t>
            </w:r>
            <w:r>
              <w:rPr>
                <w:rFonts w:hint="eastAsia"/>
                <w:sz w:val="24"/>
              </w:rPr>
              <w:t>牛肉</w:t>
            </w:r>
            <w:r>
              <w:rPr>
                <w:sz w:val="24"/>
              </w:rPr>
              <w:t>精深加工</w:t>
            </w:r>
            <w:r>
              <w:rPr>
                <w:rFonts w:hint="eastAsia"/>
                <w:sz w:val="24"/>
              </w:rPr>
              <w:t>劳动定员和工作制度，即：</w:t>
            </w:r>
            <w:r>
              <w:rPr>
                <w:rFonts w:hint="eastAsia"/>
                <w:color w:val="000000" w:themeColor="text1"/>
                <w:sz w:val="24"/>
                <w14:textFill>
                  <w14:solidFill>
                    <w14:schemeClr w14:val="tx1"/>
                  </w14:solidFill>
                </w14:textFill>
              </w:rPr>
              <w:t>劳动定员</w:t>
            </w:r>
            <w:r>
              <w:rPr>
                <w:rFonts w:hint="eastAsia"/>
                <w:sz w:val="24"/>
              </w:rPr>
              <w:t>95</w:t>
            </w:r>
            <w:r>
              <w:rPr>
                <w:rFonts w:hint="eastAsia"/>
                <w:color w:val="000000" w:themeColor="text1"/>
                <w:sz w:val="24"/>
                <w14:textFill>
                  <w14:solidFill>
                    <w14:schemeClr w14:val="tx1"/>
                  </w14:solidFill>
                </w14:textFill>
              </w:rPr>
              <w:t>人，不在厂区住宿，两班工作制，每天工作16h，年工作</w:t>
            </w:r>
            <w:r>
              <w:rPr>
                <w:rFonts w:hint="eastAsia"/>
                <w:sz w:val="24"/>
              </w:rPr>
              <w:t>350</w:t>
            </w:r>
            <w:r>
              <w:rPr>
                <w:rFonts w:hint="eastAsia"/>
                <w:color w:val="000000" w:themeColor="text1"/>
                <w:sz w:val="24"/>
                <w14:textFill>
                  <w14:solidFill>
                    <w14:schemeClr w14:val="tx1"/>
                  </w14:solidFill>
                </w14:textFill>
              </w:rPr>
              <w:t>d。</w:t>
            </w:r>
          </w:p>
          <w:p w14:paraId="28968811">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（7）公用工程</w:t>
            </w:r>
          </w:p>
          <w:p w14:paraId="33E38F4A">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给水工程：项目区供水管网配套完善，生产用水</w:t>
            </w:r>
            <w:r>
              <w:rPr>
                <w:rFonts w:hint="eastAsia"/>
                <w:spacing w:val="0"/>
                <w:lang w:eastAsia="zh-CN"/>
              </w:rPr>
              <w:t>由市政自来水供给。</w:t>
            </w:r>
          </w:p>
          <w:p w14:paraId="3563E80E">
            <w:pPr>
              <w:pStyle w:val="36"/>
              <w:ind w:firstLine="480"/>
              <w:rPr>
                <w:color w:val="EE0000"/>
                <w:spacing w:val="0"/>
                <w:lang w:eastAsia="zh-CN"/>
              </w:rPr>
            </w:pPr>
            <w:r>
              <w:rPr>
                <w:rFonts w:hint="eastAsia"/>
                <w:color w:val="000000" w:themeColor="text1"/>
                <w:spacing w:val="0"/>
                <w:lang w:eastAsia="zh-CN"/>
                <w14:textFill>
                  <w14:solidFill>
                    <w14:schemeClr w14:val="tx1"/>
                  </w14:solidFill>
                </w14:textFill>
              </w:rPr>
              <w:t>排水工程：项目采取雨污分流制，</w:t>
            </w:r>
            <w:r>
              <w:rPr>
                <w:rFonts w:hint="eastAsia"/>
                <w:color w:val="000000"/>
                <w:kern w:val="0"/>
                <w:szCs w:val="21"/>
                <w:lang w:eastAsia="zh-CN" w:bidi="ar"/>
              </w:rPr>
              <w:t>雨水通过集排水沟收集至雨水收集池</w:t>
            </w:r>
            <w:r>
              <w:rPr>
                <w:rFonts w:hint="eastAsia"/>
                <w:color w:val="000000" w:themeColor="text1"/>
                <w:spacing w:val="0"/>
                <w:lang w:eastAsia="zh-CN"/>
                <w14:textFill>
                  <w14:solidFill>
                    <w14:schemeClr w14:val="tx1"/>
                  </w14:solidFill>
                </w14:textFill>
              </w:rPr>
              <w:t>。生产废水经厂区现有生产废水处理站处理达标后用于厂区绿化、洒水降尘</w:t>
            </w:r>
            <w:r>
              <w:rPr>
                <w:rFonts w:hint="eastAsia"/>
                <w:spacing w:val="0"/>
                <w:lang w:eastAsia="zh-CN"/>
              </w:rPr>
              <w:t>。</w:t>
            </w:r>
            <w:r>
              <w:rPr>
                <w:rFonts w:hint="eastAsia"/>
                <w:spacing w:val="0"/>
                <w:szCs w:val="21"/>
                <w:lang w:eastAsia="zh-CN"/>
              </w:rPr>
              <w:t>生活污水经隔油池、化粪池预处理后接入市政污水管网，最终进入羊街镇污水处理站处理。</w:t>
            </w:r>
          </w:p>
          <w:p w14:paraId="63E8261A">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供电工程：项目区电网配套完善，生产用电由电网接入供应。</w:t>
            </w:r>
          </w:p>
          <w:p w14:paraId="4D32FF8D">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通信工程：项目区已配套接入光缆、通信、移动电话等设施。</w:t>
            </w:r>
          </w:p>
          <w:p w14:paraId="6F266879">
            <w:pPr>
              <w:pStyle w:val="36"/>
              <w:ind w:firstLine="482"/>
              <w:jc w:val="left"/>
              <w:rPr>
                <w:rFonts w:cs="Times New Roman"/>
                <w:b/>
                <w:bCs/>
                <w:color w:val="000000" w:themeColor="text1"/>
                <w:spacing w:val="0"/>
                <w:lang w:eastAsia="zh-CN"/>
                <w14:textFill>
                  <w14:solidFill>
                    <w14:schemeClr w14:val="tx1"/>
                  </w14:solidFill>
                </w14:textFill>
              </w:rPr>
            </w:pPr>
            <w:r>
              <w:rPr>
                <w:rFonts w:cs="Times New Roman"/>
                <w:b/>
                <w:bCs/>
                <w:color w:val="000000" w:themeColor="text1"/>
                <w:spacing w:val="0"/>
                <w:lang w:eastAsia="zh-CN"/>
                <w14:textFill>
                  <w14:solidFill>
                    <w14:schemeClr w14:val="tx1"/>
                  </w14:solidFill>
                </w14:textFill>
              </w:rPr>
              <w:t>（8）水平衡</w:t>
            </w:r>
          </w:p>
          <w:p w14:paraId="7981A939">
            <w:pPr>
              <w:pStyle w:val="36"/>
              <w:ind w:firstLine="480"/>
              <w:jc w:val="left"/>
              <w:rPr>
                <w:rFonts w:cs="Times New Roman"/>
                <w:color w:val="000000"/>
                <w:spacing w:val="0"/>
                <w:lang w:eastAsia="zh-CN"/>
              </w:rPr>
            </w:pPr>
            <w:r>
              <w:rPr>
                <w:rFonts w:cs="Times New Roman"/>
                <w:color w:val="000000" w:themeColor="text1"/>
                <w:spacing w:val="0"/>
                <w:lang w:eastAsia="zh-CN"/>
                <w14:textFill>
                  <w14:solidFill>
                    <w14:schemeClr w14:val="tx1"/>
                  </w14:solidFill>
                </w14:textFill>
              </w:rPr>
              <w:t>1）</w:t>
            </w:r>
            <w:r>
              <w:rPr>
                <w:rFonts w:hint="eastAsia" w:cs="Times New Roman"/>
                <w:color w:val="000000" w:themeColor="text1"/>
                <w:spacing w:val="0"/>
                <w:lang w:eastAsia="zh-CN"/>
                <w14:textFill>
                  <w14:solidFill>
                    <w14:schemeClr w14:val="tx1"/>
                  </w14:solidFill>
                </w14:textFill>
              </w:rPr>
              <w:t>现有</w:t>
            </w:r>
            <w:r>
              <w:rPr>
                <w:rFonts w:cs="Times New Roman"/>
                <w:color w:val="000000" w:themeColor="text1"/>
                <w:spacing w:val="0"/>
                <w:lang w:eastAsia="zh-CN"/>
                <w14:textFill>
                  <w14:solidFill>
                    <w14:schemeClr w14:val="tx1"/>
                  </w14:solidFill>
                </w14:textFill>
              </w:rPr>
              <w:t>项目水量</w:t>
            </w:r>
          </w:p>
          <w:p w14:paraId="10828270">
            <w:pPr>
              <w:pStyle w:val="36"/>
              <w:ind w:firstLine="480"/>
              <w:rPr>
                <w:rFonts w:cs="Times New Roman"/>
                <w:color w:val="000000"/>
                <w:spacing w:val="0"/>
                <w:kern w:val="0"/>
                <w:szCs w:val="21"/>
                <w:lang w:eastAsia="zh-CN" w:bidi="ar"/>
              </w:rPr>
            </w:pPr>
            <w:r>
              <w:rPr>
                <w:rFonts w:cs="Times New Roman"/>
                <w:color w:val="000000"/>
                <w:spacing w:val="0"/>
                <w:lang w:eastAsia="zh-CN"/>
              </w:rPr>
              <w:t>根据实际用水情况，按30000头/年</w:t>
            </w:r>
            <w:r>
              <w:rPr>
                <w:rFonts w:cs="Times New Roman"/>
                <w:spacing w:val="0"/>
                <w:lang w:eastAsia="zh-CN"/>
              </w:rPr>
              <w:t>肉牛屠宰及</w:t>
            </w:r>
            <w:r>
              <w:rPr>
                <w:rFonts w:cs="Times New Roman"/>
                <w:color w:val="000000"/>
                <w:spacing w:val="0"/>
                <w:lang w:eastAsia="zh-CN"/>
              </w:rPr>
              <w:t>10000吨/年</w:t>
            </w:r>
            <w:r>
              <w:rPr>
                <w:rFonts w:cs="Times New Roman"/>
                <w:spacing w:val="0"/>
                <w:lang w:eastAsia="zh-CN"/>
              </w:rPr>
              <w:t>优质</w:t>
            </w:r>
            <w:r>
              <w:rPr>
                <w:rFonts w:hint="eastAsia" w:cs="Times New Roman"/>
                <w:spacing w:val="0"/>
                <w:lang w:eastAsia="zh-CN"/>
              </w:rPr>
              <w:t>牛肉</w:t>
            </w:r>
            <w:r>
              <w:rPr>
                <w:rFonts w:cs="Times New Roman"/>
                <w:spacing w:val="0"/>
                <w:lang w:eastAsia="zh-CN"/>
              </w:rPr>
              <w:t>精深加工项目</w:t>
            </w:r>
            <w:r>
              <w:rPr>
                <w:rFonts w:cs="Times New Roman"/>
                <w:color w:val="000000"/>
                <w:spacing w:val="0"/>
                <w:lang w:eastAsia="zh-CN"/>
              </w:rPr>
              <w:t>达产核算，用水</w:t>
            </w:r>
            <w:r>
              <w:rPr>
                <w:rFonts w:hint="eastAsia" w:cs="Times New Roman"/>
                <w:color w:val="000000"/>
                <w:spacing w:val="0"/>
                <w:lang w:eastAsia="zh-CN"/>
              </w:rPr>
              <w:t>总</w:t>
            </w:r>
            <w:r>
              <w:rPr>
                <w:rFonts w:cs="Times New Roman"/>
                <w:color w:val="000000"/>
                <w:spacing w:val="0"/>
                <w:lang w:eastAsia="zh-CN"/>
              </w:rPr>
              <w:t>量约</w:t>
            </w:r>
            <w:r>
              <w:rPr>
                <w:rFonts w:cs="Times New Roman"/>
                <w:spacing w:val="0"/>
                <w:lang w:eastAsia="zh-CN"/>
              </w:rPr>
              <w:t>89600</w:t>
            </w:r>
            <w:r>
              <w:rPr>
                <w:rFonts w:cs="Times New Roman"/>
                <w:color w:val="000000"/>
                <w:spacing w:val="0"/>
                <w:kern w:val="0"/>
                <w:szCs w:val="21"/>
                <w:lang w:eastAsia="zh-CN" w:bidi="ar"/>
              </w:rPr>
              <w:t>m</w:t>
            </w:r>
            <w:r>
              <w:rPr>
                <w:rFonts w:cs="Times New Roman"/>
                <w:color w:val="000000"/>
                <w:spacing w:val="0"/>
                <w:kern w:val="0"/>
                <w:szCs w:val="21"/>
                <w:vertAlign w:val="superscript"/>
                <w:lang w:eastAsia="zh-CN" w:bidi="ar"/>
              </w:rPr>
              <w:t>3</w:t>
            </w:r>
            <w:r>
              <w:rPr>
                <w:rFonts w:cs="Times New Roman"/>
                <w:spacing w:val="0"/>
                <w:lang w:eastAsia="zh-CN"/>
              </w:rPr>
              <w:t>/a</w:t>
            </w:r>
            <w:r>
              <w:rPr>
                <w:rFonts w:cs="Times New Roman"/>
                <w:color w:val="000000"/>
                <w:spacing w:val="0"/>
                <w:kern w:val="0"/>
                <w:szCs w:val="21"/>
                <w:lang w:eastAsia="zh-CN" w:bidi="ar"/>
              </w:rPr>
              <w:t>。</w:t>
            </w:r>
            <w:r>
              <w:rPr>
                <w:rFonts w:cs="Times New Roman"/>
                <w:color w:val="000000"/>
                <w:spacing w:val="0"/>
                <w:lang w:eastAsia="zh-CN"/>
              </w:rPr>
              <w:t>其中生产用水量50100</w:t>
            </w:r>
            <w:r>
              <w:rPr>
                <w:rFonts w:cs="Times New Roman"/>
                <w:color w:val="000000"/>
                <w:spacing w:val="0"/>
                <w:kern w:val="0"/>
                <w:szCs w:val="21"/>
                <w:lang w:eastAsia="zh-CN" w:bidi="ar"/>
              </w:rPr>
              <w:t>m</w:t>
            </w:r>
            <w:r>
              <w:rPr>
                <w:rFonts w:cs="Times New Roman"/>
                <w:color w:val="000000"/>
                <w:spacing w:val="0"/>
                <w:kern w:val="0"/>
                <w:szCs w:val="21"/>
                <w:vertAlign w:val="superscript"/>
                <w:lang w:eastAsia="zh-CN" w:bidi="ar"/>
              </w:rPr>
              <w:t>3</w:t>
            </w:r>
            <w:r>
              <w:rPr>
                <w:rFonts w:cs="Times New Roman"/>
                <w:spacing w:val="0"/>
                <w:lang w:eastAsia="zh-CN"/>
              </w:rPr>
              <w:t>/a</w:t>
            </w:r>
            <w:r>
              <w:rPr>
                <w:rFonts w:cs="Times New Roman"/>
                <w:color w:val="000000"/>
                <w:spacing w:val="0"/>
                <w:kern w:val="0"/>
                <w:szCs w:val="21"/>
                <w:lang w:eastAsia="zh-CN" w:bidi="ar"/>
              </w:rPr>
              <w:t>，生活用水量39500m</w:t>
            </w:r>
            <w:r>
              <w:rPr>
                <w:rFonts w:cs="Times New Roman"/>
                <w:color w:val="000000"/>
                <w:spacing w:val="0"/>
                <w:kern w:val="0"/>
                <w:szCs w:val="21"/>
                <w:vertAlign w:val="superscript"/>
                <w:lang w:eastAsia="zh-CN" w:bidi="ar"/>
              </w:rPr>
              <w:t>3</w:t>
            </w:r>
            <w:r>
              <w:rPr>
                <w:rFonts w:cs="Times New Roman"/>
                <w:spacing w:val="0"/>
                <w:lang w:eastAsia="zh-CN"/>
              </w:rPr>
              <w:t>/a</w:t>
            </w:r>
            <w:r>
              <w:rPr>
                <w:rFonts w:cs="Times New Roman"/>
                <w:color w:val="000000"/>
                <w:spacing w:val="0"/>
                <w:kern w:val="0"/>
                <w:szCs w:val="21"/>
                <w:lang w:eastAsia="zh-CN" w:bidi="ar"/>
              </w:rPr>
              <w:t>；生产用水损耗量</w:t>
            </w:r>
            <w:r>
              <w:rPr>
                <w:rFonts w:cs="Times New Roman"/>
                <w:color w:val="000000"/>
                <w:spacing w:val="0"/>
                <w:lang w:eastAsia="zh-CN"/>
              </w:rPr>
              <w:t>17700</w:t>
            </w:r>
            <w:r>
              <w:rPr>
                <w:rFonts w:cs="Times New Roman"/>
                <w:color w:val="000000"/>
                <w:spacing w:val="0"/>
                <w:kern w:val="0"/>
                <w:szCs w:val="21"/>
                <w:lang w:eastAsia="zh-CN" w:bidi="ar"/>
              </w:rPr>
              <w:t>m</w:t>
            </w:r>
            <w:r>
              <w:rPr>
                <w:rFonts w:cs="Times New Roman"/>
                <w:color w:val="000000"/>
                <w:spacing w:val="0"/>
                <w:kern w:val="0"/>
                <w:szCs w:val="21"/>
                <w:vertAlign w:val="superscript"/>
                <w:lang w:eastAsia="zh-CN" w:bidi="ar"/>
              </w:rPr>
              <w:t>3</w:t>
            </w:r>
            <w:r>
              <w:rPr>
                <w:rFonts w:cs="Times New Roman"/>
                <w:spacing w:val="0"/>
                <w:lang w:eastAsia="zh-CN"/>
              </w:rPr>
              <w:t>/a</w:t>
            </w:r>
            <w:r>
              <w:rPr>
                <w:rFonts w:cs="Times New Roman"/>
                <w:color w:val="000000"/>
                <w:spacing w:val="0"/>
                <w:kern w:val="0"/>
                <w:szCs w:val="21"/>
                <w:lang w:eastAsia="zh-CN" w:bidi="ar"/>
              </w:rPr>
              <w:t>，生活用水损耗量</w:t>
            </w:r>
            <w:r>
              <w:rPr>
                <w:rFonts w:cs="Times New Roman"/>
                <w:color w:val="000000"/>
                <w:spacing w:val="0"/>
                <w:lang w:eastAsia="zh-CN"/>
              </w:rPr>
              <w:t>20220</w:t>
            </w:r>
            <w:r>
              <w:rPr>
                <w:rFonts w:cs="Times New Roman"/>
                <w:color w:val="000000"/>
                <w:spacing w:val="0"/>
                <w:kern w:val="0"/>
                <w:szCs w:val="21"/>
                <w:lang w:eastAsia="zh-CN" w:bidi="ar"/>
              </w:rPr>
              <w:t>m</w:t>
            </w:r>
            <w:r>
              <w:rPr>
                <w:rFonts w:cs="Times New Roman"/>
                <w:color w:val="000000"/>
                <w:spacing w:val="0"/>
                <w:kern w:val="0"/>
                <w:szCs w:val="21"/>
                <w:vertAlign w:val="superscript"/>
                <w:lang w:eastAsia="zh-CN" w:bidi="ar"/>
              </w:rPr>
              <w:t>3</w:t>
            </w:r>
            <w:r>
              <w:rPr>
                <w:rFonts w:cs="Times New Roman"/>
                <w:spacing w:val="0"/>
                <w:lang w:eastAsia="zh-CN"/>
              </w:rPr>
              <w:t>/a</w:t>
            </w:r>
            <w:r>
              <w:rPr>
                <w:rFonts w:cs="Times New Roman"/>
                <w:color w:val="000000"/>
                <w:spacing w:val="0"/>
                <w:kern w:val="0"/>
                <w:szCs w:val="21"/>
                <w:lang w:eastAsia="zh-CN" w:bidi="ar"/>
              </w:rPr>
              <w:t>；生产废水产生量</w:t>
            </w:r>
            <w:r>
              <w:rPr>
                <w:rFonts w:cs="Times New Roman"/>
                <w:color w:val="000000"/>
                <w:spacing w:val="0"/>
                <w:lang w:eastAsia="zh-CN"/>
              </w:rPr>
              <w:t>32400</w:t>
            </w:r>
            <w:r>
              <w:rPr>
                <w:rFonts w:cs="Times New Roman"/>
                <w:color w:val="000000"/>
                <w:spacing w:val="0"/>
                <w:kern w:val="0"/>
                <w:szCs w:val="21"/>
                <w:lang w:eastAsia="zh-CN" w:bidi="ar"/>
              </w:rPr>
              <w:t>m</w:t>
            </w:r>
            <w:r>
              <w:rPr>
                <w:rFonts w:cs="Times New Roman"/>
                <w:color w:val="000000"/>
                <w:spacing w:val="0"/>
                <w:kern w:val="0"/>
                <w:szCs w:val="21"/>
                <w:vertAlign w:val="superscript"/>
                <w:lang w:eastAsia="zh-CN" w:bidi="ar"/>
              </w:rPr>
              <w:t>3</w:t>
            </w:r>
            <w:r>
              <w:rPr>
                <w:rFonts w:cs="Times New Roman"/>
                <w:spacing w:val="0"/>
                <w:lang w:eastAsia="zh-CN"/>
              </w:rPr>
              <w:t>/a，</w:t>
            </w:r>
            <w:r>
              <w:rPr>
                <w:rFonts w:cs="Times New Roman"/>
                <w:color w:val="000000"/>
                <w:spacing w:val="0"/>
                <w:kern w:val="0"/>
                <w:szCs w:val="21"/>
                <w:lang w:eastAsia="zh-CN" w:bidi="ar"/>
              </w:rPr>
              <w:t>生活污水产生量</w:t>
            </w:r>
            <w:r>
              <w:rPr>
                <w:rFonts w:cs="Times New Roman"/>
                <w:color w:val="000000"/>
                <w:spacing w:val="0"/>
                <w:lang w:eastAsia="zh-CN"/>
              </w:rPr>
              <w:t>19280</w:t>
            </w:r>
            <w:r>
              <w:rPr>
                <w:rFonts w:cs="Times New Roman"/>
                <w:color w:val="000000"/>
                <w:spacing w:val="0"/>
                <w:kern w:val="0"/>
                <w:szCs w:val="21"/>
                <w:lang w:eastAsia="zh-CN" w:bidi="ar"/>
              </w:rPr>
              <w:t>m</w:t>
            </w:r>
            <w:r>
              <w:rPr>
                <w:rFonts w:cs="Times New Roman"/>
                <w:color w:val="000000"/>
                <w:spacing w:val="0"/>
                <w:kern w:val="0"/>
                <w:szCs w:val="21"/>
                <w:vertAlign w:val="superscript"/>
                <w:lang w:eastAsia="zh-CN" w:bidi="ar"/>
              </w:rPr>
              <w:t>3</w:t>
            </w:r>
            <w:r>
              <w:rPr>
                <w:rFonts w:cs="Times New Roman"/>
                <w:spacing w:val="0"/>
                <w:lang w:eastAsia="zh-CN"/>
              </w:rPr>
              <w:t>/a</w:t>
            </w:r>
            <w:r>
              <w:rPr>
                <w:rFonts w:cs="Times New Roman"/>
                <w:color w:val="000000"/>
                <w:spacing w:val="0"/>
                <w:kern w:val="0"/>
                <w:szCs w:val="21"/>
                <w:lang w:eastAsia="zh-CN" w:bidi="ar"/>
              </w:rPr>
              <w:t>。</w:t>
            </w:r>
          </w:p>
          <w:p w14:paraId="3D1EEDD7">
            <w:pPr>
              <w:pStyle w:val="36"/>
              <w:ind w:firstLine="480"/>
              <w:rPr>
                <w:rFonts w:cs="Times New Roman"/>
                <w:color w:val="000000"/>
                <w:spacing w:val="0"/>
                <w:kern w:val="0"/>
                <w:szCs w:val="21"/>
                <w:lang w:eastAsia="zh-CN" w:bidi="ar"/>
              </w:rPr>
            </w:pPr>
            <w:r>
              <w:rPr>
                <w:rFonts w:hint="eastAsia" w:cs="Times New Roman"/>
                <w:color w:val="000000" w:themeColor="text1"/>
                <w:spacing w:val="0"/>
                <w:lang w:eastAsia="zh-CN"/>
                <w14:textFill>
                  <w14:solidFill>
                    <w14:schemeClr w14:val="tx1"/>
                  </w14:solidFill>
                </w14:textFill>
              </w:rPr>
              <w:t>目前，全厂</w:t>
            </w:r>
            <w:r>
              <w:rPr>
                <w:rFonts w:cs="Times New Roman"/>
                <w:color w:val="000000" w:themeColor="text1"/>
                <w:spacing w:val="0"/>
                <w:lang w:eastAsia="zh-CN"/>
                <w14:textFill>
                  <w14:solidFill>
                    <w14:schemeClr w14:val="tx1"/>
                  </w14:solidFill>
                </w14:textFill>
              </w:rPr>
              <w:t>生产废水、生活污水收集</w:t>
            </w:r>
            <w:r>
              <w:rPr>
                <w:rFonts w:hint="eastAsia" w:cs="Times New Roman"/>
                <w:color w:val="000000" w:themeColor="text1"/>
                <w:spacing w:val="0"/>
                <w:lang w:eastAsia="zh-CN"/>
                <w14:textFill>
                  <w14:solidFill>
                    <w14:schemeClr w14:val="tx1"/>
                  </w14:solidFill>
                </w14:textFill>
              </w:rPr>
              <w:t>至厂区</w:t>
            </w:r>
            <w:r>
              <w:rPr>
                <w:rFonts w:cs="Times New Roman"/>
                <w:color w:val="000000"/>
                <w:spacing w:val="0"/>
                <w:kern w:val="0"/>
                <w:szCs w:val="21"/>
                <w:lang w:eastAsia="zh-CN" w:bidi="ar"/>
              </w:rPr>
              <w:t>现有</w:t>
            </w:r>
            <w:r>
              <w:rPr>
                <w:rFonts w:hint="eastAsia" w:cs="Times New Roman"/>
                <w:color w:val="000000"/>
                <w:spacing w:val="0"/>
                <w:kern w:val="0"/>
                <w:szCs w:val="21"/>
                <w:lang w:eastAsia="zh-CN" w:bidi="ar"/>
              </w:rPr>
              <w:t>生产废水</w:t>
            </w:r>
            <w:r>
              <w:rPr>
                <w:rFonts w:cs="Times New Roman"/>
                <w:color w:val="000000"/>
                <w:spacing w:val="0"/>
                <w:kern w:val="0"/>
                <w:szCs w:val="21"/>
                <w:lang w:eastAsia="zh-CN" w:bidi="ar"/>
              </w:rPr>
              <w:t>处理站处理达标后用于厂区绿化、洒水降尘。</w:t>
            </w:r>
            <w:r>
              <w:rPr>
                <w:rFonts w:hint="eastAsia" w:cs="Times New Roman"/>
                <w:color w:val="000000"/>
                <w:spacing w:val="0"/>
                <w:kern w:val="0"/>
                <w:szCs w:val="21"/>
                <w:lang w:eastAsia="zh-CN" w:bidi="ar"/>
              </w:rPr>
              <w:t>雨天情况下，废水处理站处理达标后水量暂存至4700m</w:t>
            </w:r>
            <w:r>
              <w:rPr>
                <w:rFonts w:hint="eastAsia" w:cs="Times New Roman"/>
                <w:color w:val="000000"/>
                <w:spacing w:val="0"/>
                <w:kern w:val="0"/>
                <w:szCs w:val="21"/>
                <w:vertAlign w:val="superscript"/>
                <w:lang w:eastAsia="zh-CN" w:bidi="ar"/>
              </w:rPr>
              <w:t>3</w:t>
            </w:r>
            <w:r>
              <w:rPr>
                <w:rFonts w:hint="eastAsia" w:cs="Times New Roman"/>
                <w:color w:val="000000"/>
                <w:spacing w:val="0"/>
                <w:kern w:val="0"/>
                <w:szCs w:val="21"/>
                <w:lang w:eastAsia="zh-CN" w:bidi="ar"/>
              </w:rPr>
              <w:t>蓄水池，待晴天用作厂区绿化、洒水降尘。</w:t>
            </w:r>
          </w:p>
          <w:p w14:paraId="23923BDC">
            <w:pPr>
              <w:pStyle w:val="36"/>
              <w:ind w:firstLine="480"/>
              <w:jc w:val="left"/>
              <w:rPr>
                <w:rFonts w:cs="Times New Roman"/>
                <w:color w:val="000000"/>
                <w:spacing w:val="0"/>
                <w:lang w:eastAsia="zh-CN"/>
              </w:rPr>
            </w:pPr>
            <w:r>
              <w:rPr>
                <w:rFonts w:cs="Times New Roman"/>
                <w:color w:val="000000" w:themeColor="text1"/>
                <w:spacing w:val="0"/>
                <w:lang w:eastAsia="zh-CN"/>
                <w14:textFill>
                  <w14:solidFill>
                    <w14:schemeClr w14:val="tx1"/>
                  </w14:solidFill>
                </w14:textFill>
              </w:rPr>
              <w:t>2）项目扩建</w:t>
            </w:r>
            <w:r>
              <w:rPr>
                <w:rFonts w:hint="eastAsia" w:cs="Times New Roman"/>
                <w:color w:val="000000" w:themeColor="text1"/>
                <w:spacing w:val="0"/>
                <w:lang w:eastAsia="zh-CN"/>
                <w14:textFill>
                  <w14:solidFill>
                    <w14:schemeClr w14:val="tx1"/>
                  </w14:solidFill>
                </w14:textFill>
              </w:rPr>
              <w:t>达产</w:t>
            </w:r>
            <w:r>
              <w:rPr>
                <w:rFonts w:cs="Times New Roman"/>
                <w:color w:val="000000" w:themeColor="text1"/>
                <w:spacing w:val="0"/>
                <w:lang w:eastAsia="zh-CN"/>
                <w14:textFill>
                  <w14:solidFill>
                    <w14:schemeClr w14:val="tx1"/>
                  </w14:solidFill>
                </w14:textFill>
              </w:rPr>
              <w:t>后水量</w:t>
            </w:r>
          </w:p>
          <w:p w14:paraId="5CCD817C">
            <w:pPr>
              <w:pStyle w:val="36"/>
              <w:ind w:firstLine="480"/>
              <w:rPr>
                <w:rFonts w:cs="Times New Roman"/>
                <w:color w:val="000000" w:themeColor="text1"/>
                <w:spacing w:val="0"/>
                <w:lang w:eastAsia="zh-CN"/>
                <w14:textFill>
                  <w14:solidFill>
                    <w14:schemeClr w14:val="tx1"/>
                  </w14:solidFill>
                </w14:textFill>
              </w:rPr>
            </w:pPr>
            <w:r>
              <w:rPr>
                <w:rFonts w:cs="Times New Roman"/>
                <w:color w:val="000000" w:themeColor="text1"/>
                <w:spacing w:val="0"/>
                <w:lang w:eastAsia="zh-CN"/>
                <w14:textFill>
                  <w14:solidFill>
                    <w14:schemeClr w14:val="tx1"/>
                  </w14:solidFill>
                </w14:textFill>
              </w:rPr>
              <w:t>项目扩建</w:t>
            </w:r>
            <w:r>
              <w:rPr>
                <w:rFonts w:hint="eastAsia" w:cs="Times New Roman"/>
                <w:color w:val="000000" w:themeColor="text1"/>
                <w:spacing w:val="0"/>
                <w:lang w:eastAsia="zh-CN"/>
                <w14:textFill>
                  <w14:solidFill>
                    <w14:schemeClr w14:val="tx1"/>
                  </w14:solidFill>
                </w14:textFill>
              </w:rPr>
              <w:t>达产</w:t>
            </w:r>
            <w:r>
              <w:rPr>
                <w:rFonts w:cs="Times New Roman"/>
                <w:color w:val="000000" w:themeColor="text1"/>
                <w:spacing w:val="0"/>
                <w:lang w:eastAsia="zh-CN"/>
                <w14:textFill>
                  <w14:solidFill>
                    <w14:schemeClr w14:val="tx1"/>
                  </w14:solidFill>
                </w14:textFill>
              </w:rPr>
              <w:t>后，</w:t>
            </w:r>
            <w:r>
              <w:rPr>
                <w:rFonts w:cs="Times New Roman"/>
                <w:spacing w:val="0"/>
                <w:lang w:eastAsia="zh-CN"/>
              </w:rPr>
              <w:t>厂区劳动定员、工作制度没有变化，生活用水</w:t>
            </w:r>
            <w:r>
              <w:rPr>
                <w:rFonts w:hint="eastAsia" w:cs="Times New Roman"/>
                <w:spacing w:val="0"/>
                <w:lang w:eastAsia="zh-CN"/>
              </w:rPr>
              <w:t>、生活污水</w:t>
            </w:r>
            <w:r>
              <w:rPr>
                <w:rFonts w:cs="Times New Roman"/>
                <w:spacing w:val="0"/>
                <w:lang w:eastAsia="zh-CN"/>
              </w:rPr>
              <w:t>保持不变。</w:t>
            </w:r>
            <w:r>
              <w:rPr>
                <w:rFonts w:cs="Times New Roman"/>
                <w:color w:val="000000" w:themeColor="text1"/>
                <w:spacing w:val="0"/>
                <w:lang w:eastAsia="zh-CN"/>
                <w14:textFill>
                  <w14:solidFill>
                    <w14:schemeClr w14:val="tx1"/>
                  </w14:solidFill>
                </w14:textFill>
              </w:rPr>
              <w:t>按50000只/年肉羊屠宰</w:t>
            </w:r>
            <w:r>
              <w:rPr>
                <w:rFonts w:hint="eastAsia" w:cs="Times New Roman"/>
                <w:color w:val="000000" w:themeColor="text1"/>
                <w:spacing w:val="0"/>
                <w:lang w:eastAsia="zh-CN"/>
                <w14:textFill>
                  <w14:solidFill>
                    <w14:schemeClr w14:val="tx1"/>
                  </w14:solidFill>
                </w14:textFill>
              </w:rPr>
              <w:t>加工项目</w:t>
            </w:r>
            <w:r>
              <w:rPr>
                <w:rFonts w:cs="Times New Roman"/>
                <w:color w:val="000000" w:themeColor="text1"/>
                <w:spacing w:val="0"/>
                <w:lang w:eastAsia="zh-CN"/>
                <w14:textFill>
                  <w14:solidFill>
                    <w14:schemeClr w14:val="tx1"/>
                  </w14:solidFill>
                </w14:textFill>
              </w:rPr>
              <w:t>达产核算，</w:t>
            </w:r>
            <w:r>
              <w:rPr>
                <w:rFonts w:hint="eastAsia" w:cs="Times New Roman"/>
                <w:color w:val="000000" w:themeColor="text1"/>
                <w:spacing w:val="0"/>
                <w:lang w:eastAsia="zh-CN"/>
                <w14:textFill>
                  <w14:solidFill>
                    <w14:schemeClr w14:val="tx1"/>
                  </w14:solidFill>
                </w14:textFill>
              </w:rPr>
              <w:t>全厂新增</w:t>
            </w:r>
            <w:r>
              <w:rPr>
                <w:rFonts w:cs="Times New Roman"/>
                <w:color w:val="000000" w:themeColor="text1"/>
                <w:spacing w:val="0"/>
                <w:lang w:eastAsia="zh-CN"/>
                <w14:textFill>
                  <w14:solidFill>
                    <w14:schemeClr w14:val="tx1"/>
                  </w14:solidFill>
                </w14:textFill>
              </w:rPr>
              <w:t>生产用水15000</w:t>
            </w:r>
            <w:r>
              <w:rPr>
                <w:rFonts w:cs="Times New Roman"/>
                <w:color w:val="000000"/>
                <w:spacing w:val="0"/>
                <w:kern w:val="0"/>
                <w:szCs w:val="21"/>
                <w:lang w:eastAsia="zh-CN" w:bidi="ar"/>
              </w:rPr>
              <w:t>m</w:t>
            </w:r>
            <w:r>
              <w:rPr>
                <w:rFonts w:cs="Times New Roman"/>
                <w:color w:val="000000"/>
                <w:spacing w:val="0"/>
                <w:kern w:val="0"/>
                <w:szCs w:val="21"/>
                <w:vertAlign w:val="superscript"/>
                <w:lang w:eastAsia="zh-CN" w:bidi="ar"/>
              </w:rPr>
              <w:t>3</w:t>
            </w:r>
            <w:r>
              <w:rPr>
                <w:rFonts w:cs="Times New Roman"/>
                <w:spacing w:val="0"/>
                <w:lang w:eastAsia="zh-CN"/>
              </w:rPr>
              <w:t>/a，生活用水保持</w:t>
            </w:r>
            <w:r>
              <w:rPr>
                <w:rFonts w:cs="Times New Roman"/>
                <w:color w:val="000000"/>
                <w:spacing w:val="0"/>
                <w:kern w:val="0"/>
                <w:szCs w:val="21"/>
                <w:lang w:eastAsia="zh-CN" w:bidi="ar"/>
              </w:rPr>
              <w:t>39500m</w:t>
            </w:r>
            <w:r>
              <w:rPr>
                <w:rFonts w:cs="Times New Roman"/>
                <w:color w:val="000000"/>
                <w:spacing w:val="0"/>
                <w:kern w:val="0"/>
                <w:szCs w:val="21"/>
                <w:vertAlign w:val="superscript"/>
                <w:lang w:eastAsia="zh-CN" w:bidi="ar"/>
              </w:rPr>
              <w:t>3</w:t>
            </w:r>
            <w:r>
              <w:rPr>
                <w:rFonts w:cs="Times New Roman"/>
                <w:spacing w:val="0"/>
                <w:lang w:eastAsia="zh-CN"/>
              </w:rPr>
              <w:t>/a不变，全厂用水</w:t>
            </w:r>
            <w:r>
              <w:rPr>
                <w:rFonts w:hint="eastAsia" w:cs="Times New Roman"/>
                <w:spacing w:val="0"/>
                <w:lang w:eastAsia="zh-CN"/>
              </w:rPr>
              <w:t>总</w:t>
            </w:r>
            <w:r>
              <w:rPr>
                <w:rFonts w:cs="Times New Roman"/>
                <w:spacing w:val="0"/>
                <w:lang w:eastAsia="zh-CN"/>
              </w:rPr>
              <w:t>量104600</w:t>
            </w:r>
            <w:r>
              <w:rPr>
                <w:rFonts w:cs="Times New Roman"/>
                <w:color w:val="000000"/>
                <w:spacing w:val="0"/>
                <w:kern w:val="0"/>
                <w:szCs w:val="21"/>
                <w:lang w:eastAsia="zh-CN" w:bidi="ar"/>
              </w:rPr>
              <w:t>m</w:t>
            </w:r>
            <w:r>
              <w:rPr>
                <w:rFonts w:cs="Times New Roman"/>
                <w:color w:val="000000"/>
                <w:spacing w:val="0"/>
                <w:kern w:val="0"/>
                <w:szCs w:val="21"/>
                <w:vertAlign w:val="superscript"/>
                <w:lang w:eastAsia="zh-CN" w:bidi="ar"/>
              </w:rPr>
              <w:t>3</w:t>
            </w:r>
            <w:r>
              <w:rPr>
                <w:rFonts w:cs="Times New Roman"/>
                <w:spacing w:val="0"/>
                <w:lang w:eastAsia="zh-CN"/>
              </w:rPr>
              <w:t>/a。</w:t>
            </w:r>
          </w:p>
          <w:p w14:paraId="20243EC3">
            <w:pPr>
              <w:pStyle w:val="36"/>
              <w:ind w:firstLine="480"/>
              <w:rPr>
                <w:rFonts w:cs="Times New Roman"/>
                <w:b/>
                <w:bCs/>
                <w:spacing w:val="0"/>
                <w:lang w:eastAsia="zh-CN"/>
              </w:rPr>
            </w:pPr>
            <w:r>
              <w:rPr>
                <w:rFonts w:cs="Times New Roman"/>
                <w:spacing w:val="0"/>
                <w:lang w:eastAsia="zh-CN"/>
              </w:rPr>
              <w:t>根据《</w:t>
            </w:r>
            <w:r>
              <w:rPr>
                <w:rFonts w:hint="eastAsia" w:cs="Times New Roman"/>
                <w:spacing w:val="0"/>
                <w:lang w:eastAsia="zh-CN"/>
              </w:rPr>
              <w:t xml:space="preserve">排放源统计调查产排污核算方法和系数手册 </w:t>
            </w:r>
            <w:r>
              <w:rPr>
                <w:rFonts w:cs="Times New Roman"/>
                <w:spacing w:val="0"/>
                <w:lang w:eastAsia="zh-CN"/>
              </w:rPr>
              <w:t>屠宰及肉类加工行业系数手册》，机械化活羊屠宰工业废水</w:t>
            </w:r>
            <w:r>
              <w:rPr>
                <w:rFonts w:hint="eastAsia" w:cs="Times New Roman"/>
                <w:spacing w:val="0"/>
                <w:lang w:eastAsia="zh-CN"/>
              </w:rPr>
              <w:t>按</w:t>
            </w:r>
            <w:r>
              <w:rPr>
                <w:rFonts w:cs="Times New Roman"/>
                <w:spacing w:val="0"/>
                <w:lang w:eastAsia="zh-CN"/>
              </w:rPr>
              <w:t>0.24t/只计，则肉羊屠宰废水量12000</w:t>
            </w:r>
            <w:r>
              <w:rPr>
                <w:rFonts w:cs="Times New Roman"/>
                <w:spacing w:val="0"/>
                <w:kern w:val="0"/>
                <w:szCs w:val="21"/>
                <w:lang w:eastAsia="zh-CN" w:bidi="ar"/>
              </w:rPr>
              <w:t>m</w:t>
            </w:r>
            <w:r>
              <w:rPr>
                <w:rFonts w:cs="Times New Roman"/>
                <w:spacing w:val="0"/>
                <w:kern w:val="0"/>
                <w:szCs w:val="21"/>
                <w:vertAlign w:val="superscript"/>
                <w:lang w:eastAsia="zh-CN" w:bidi="ar"/>
              </w:rPr>
              <w:t>3</w:t>
            </w:r>
            <w:r>
              <w:rPr>
                <w:rFonts w:cs="Times New Roman"/>
                <w:spacing w:val="0"/>
                <w:lang w:eastAsia="zh-CN"/>
              </w:rPr>
              <w:t>/a。</w:t>
            </w:r>
          </w:p>
          <w:p w14:paraId="6B43E6D5">
            <w:pPr>
              <w:pStyle w:val="36"/>
              <w:ind w:firstLine="480"/>
              <w:rPr>
                <w:spacing w:val="0"/>
                <w:lang w:eastAsia="zh-CN"/>
              </w:rPr>
            </w:pPr>
            <w:r>
              <w:rPr>
                <w:rFonts w:hint="eastAsia" w:cs="Times New Roman"/>
                <w:color w:val="000000" w:themeColor="text1"/>
                <w:spacing w:val="0"/>
                <w:lang w:eastAsia="zh-CN"/>
                <w14:textFill>
                  <w14:solidFill>
                    <w14:schemeClr w14:val="tx1"/>
                  </w14:solidFill>
                </w14:textFill>
              </w:rPr>
              <w:t>项目扩建达产后，全厂</w:t>
            </w:r>
            <w:r>
              <w:rPr>
                <w:rFonts w:cs="Times New Roman"/>
                <w:color w:val="000000" w:themeColor="text1"/>
                <w:spacing w:val="0"/>
                <w:lang w:eastAsia="zh-CN"/>
                <w14:textFill>
                  <w14:solidFill>
                    <w14:schemeClr w14:val="tx1"/>
                  </w14:solidFill>
                </w14:textFill>
              </w:rPr>
              <w:t>生产废水沿用</w:t>
            </w:r>
            <w:r>
              <w:rPr>
                <w:rFonts w:hint="eastAsia" w:cs="Times New Roman"/>
                <w:color w:val="000000" w:themeColor="text1"/>
                <w:spacing w:val="0"/>
                <w:lang w:eastAsia="zh-CN"/>
                <w14:textFill>
                  <w14:solidFill>
                    <w14:schemeClr w14:val="tx1"/>
                  </w14:solidFill>
                </w14:textFill>
              </w:rPr>
              <w:t>厂区现有</w:t>
            </w:r>
            <w:r>
              <w:rPr>
                <w:rFonts w:hint="eastAsia" w:cs="Times New Roman"/>
                <w:color w:val="000000"/>
                <w:spacing w:val="0"/>
                <w:kern w:val="0"/>
                <w:szCs w:val="21"/>
                <w:lang w:eastAsia="zh-CN" w:bidi="ar"/>
              </w:rPr>
              <w:t>生产废水</w:t>
            </w:r>
            <w:r>
              <w:rPr>
                <w:rFonts w:cs="Times New Roman"/>
                <w:color w:val="000000"/>
                <w:spacing w:val="0"/>
                <w:kern w:val="0"/>
                <w:szCs w:val="21"/>
                <w:lang w:eastAsia="zh-CN" w:bidi="ar"/>
              </w:rPr>
              <w:t>处理站处理</w:t>
            </w:r>
            <w:r>
              <w:rPr>
                <w:rFonts w:cs="Times New Roman"/>
                <w:color w:val="000000" w:themeColor="text1"/>
                <w:spacing w:val="0"/>
                <w:lang w:eastAsia="zh-CN"/>
                <w14:textFill>
                  <w14:solidFill>
                    <w14:schemeClr w14:val="tx1"/>
                  </w14:solidFill>
                </w14:textFill>
              </w:rPr>
              <w:t>，</w:t>
            </w:r>
            <w:r>
              <w:rPr>
                <w:rFonts w:cs="Times New Roman"/>
                <w:color w:val="000000"/>
                <w:spacing w:val="0"/>
                <w:kern w:val="0"/>
                <w:szCs w:val="21"/>
                <w:lang w:eastAsia="zh-CN" w:bidi="ar"/>
              </w:rPr>
              <w:t>处理达标后用于厂区绿化、洒水降尘</w:t>
            </w:r>
            <w:r>
              <w:rPr>
                <w:rFonts w:hint="eastAsia" w:cs="Times New Roman"/>
                <w:spacing w:val="0"/>
                <w:kern w:val="0"/>
                <w:szCs w:val="21"/>
                <w:lang w:eastAsia="zh-CN" w:bidi="ar"/>
              </w:rPr>
              <w:t>。</w:t>
            </w:r>
            <w:r>
              <w:rPr>
                <w:rFonts w:hint="eastAsia"/>
                <w:spacing w:val="0"/>
                <w:szCs w:val="21"/>
                <w:lang w:eastAsia="zh-CN"/>
              </w:rPr>
              <w:t>生活污水经现有隔油池、化粪池预处理后接入市政污水管网，最终进入羊街镇污水处理站处理。</w:t>
            </w:r>
          </w:p>
          <w:p w14:paraId="4450F30D">
            <w:pPr>
              <w:pStyle w:val="36"/>
              <w:ind w:firstLine="480"/>
              <w:rPr>
                <w:rFonts w:cs="Times New Roman"/>
                <w:color w:val="000000"/>
                <w:spacing w:val="0"/>
                <w:kern w:val="0"/>
                <w:szCs w:val="21"/>
                <w:lang w:eastAsia="zh-CN" w:bidi="ar"/>
              </w:rPr>
            </w:pPr>
            <w:r>
              <w:rPr>
                <w:rFonts w:cs="Times New Roman"/>
                <w:color w:val="000000"/>
                <w:spacing w:val="0"/>
                <w:kern w:val="0"/>
                <w:szCs w:val="21"/>
                <w:lang w:eastAsia="zh-CN" w:bidi="ar"/>
              </w:rPr>
              <w:t>项目扩建</w:t>
            </w:r>
            <w:r>
              <w:rPr>
                <w:rFonts w:hint="eastAsia" w:cs="Times New Roman"/>
                <w:color w:val="000000"/>
                <w:spacing w:val="0"/>
                <w:kern w:val="0"/>
                <w:szCs w:val="21"/>
                <w:lang w:eastAsia="zh-CN" w:bidi="ar"/>
              </w:rPr>
              <w:t>达产</w:t>
            </w:r>
            <w:r>
              <w:rPr>
                <w:rFonts w:cs="Times New Roman"/>
                <w:color w:val="000000"/>
                <w:spacing w:val="0"/>
                <w:kern w:val="0"/>
                <w:szCs w:val="21"/>
                <w:lang w:eastAsia="zh-CN" w:bidi="ar"/>
              </w:rPr>
              <w:t>后</w:t>
            </w:r>
            <w:r>
              <w:rPr>
                <w:rFonts w:hint="eastAsia" w:cs="Times New Roman"/>
                <w:color w:val="000000"/>
                <w:spacing w:val="0"/>
                <w:kern w:val="0"/>
                <w:szCs w:val="21"/>
                <w:lang w:eastAsia="zh-CN" w:bidi="ar"/>
              </w:rPr>
              <w:t>全厂</w:t>
            </w:r>
            <w:r>
              <w:rPr>
                <w:rFonts w:cs="Times New Roman"/>
                <w:color w:val="000000"/>
                <w:spacing w:val="0"/>
                <w:kern w:val="0"/>
                <w:szCs w:val="21"/>
                <w:lang w:eastAsia="zh-CN" w:bidi="ar"/>
              </w:rPr>
              <w:t>水量情况见表2-5。</w:t>
            </w:r>
          </w:p>
          <w:p w14:paraId="01F1868A">
            <w:pPr>
              <w:pStyle w:val="29"/>
              <w:outlineLvl w:val="9"/>
              <w:rPr>
                <w:rFonts w:hint="default"/>
              </w:rPr>
            </w:pPr>
            <w:r>
              <w:t>表2-5 项目扩建达产后全厂水量情况表</w:t>
            </w:r>
          </w:p>
          <w:tbl>
            <w:tblPr>
              <w:tblStyle w:val="23"/>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728"/>
              <w:gridCol w:w="241"/>
              <w:gridCol w:w="486"/>
              <w:gridCol w:w="484"/>
              <w:gridCol w:w="242"/>
              <w:gridCol w:w="728"/>
              <w:gridCol w:w="727"/>
              <w:gridCol w:w="243"/>
              <w:gridCol w:w="484"/>
              <w:gridCol w:w="485"/>
              <w:gridCol w:w="242"/>
              <w:gridCol w:w="728"/>
              <w:gridCol w:w="1111"/>
            </w:tblGrid>
            <w:tr w14:paraId="058B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Merge w:val="restart"/>
                  <w:vAlign w:val="center"/>
                </w:tcPr>
                <w:p w14:paraId="5C3B819F">
                  <w:pPr>
                    <w:jc w:val="center"/>
                    <w:rPr>
                      <w:b/>
                      <w:bCs/>
                      <w:sz w:val="18"/>
                      <w:szCs w:val="18"/>
                    </w:rPr>
                  </w:pPr>
                  <w:bookmarkStart w:id="8" w:name="_Hlk218078130"/>
                  <w:r>
                    <w:rPr>
                      <w:rFonts w:hint="eastAsia"/>
                      <w:b/>
                      <w:bCs/>
                      <w:sz w:val="18"/>
                      <w:szCs w:val="18"/>
                    </w:rPr>
                    <w:t>项目</w:t>
                  </w:r>
                </w:p>
              </w:tc>
              <w:tc>
                <w:tcPr>
                  <w:tcW w:w="5818" w:type="dxa"/>
                  <w:gridSpan w:val="12"/>
                  <w:vAlign w:val="center"/>
                </w:tcPr>
                <w:p w14:paraId="3C0F2AB7">
                  <w:pPr>
                    <w:jc w:val="center"/>
                    <w:rPr>
                      <w:b/>
                      <w:bCs/>
                      <w:sz w:val="18"/>
                      <w:szCs w:val="18"/>
                    </w:rPr>
                  </w:pPr>
                  <w:r>
                    <w:rPr>
                      <w:rFonts w:hint="eastAsia"/>
                      <w:b/>
                      <w:bCs/>
                      <w:sz w:val="18"/>
                      <w:szCs w:val="18"/>
                    </w:rPr>
                    <w:t>生产用水</w:t>
                  </w:r>
                </w:p>
              </w:tc>
              <w:tc>
                <w:tcPr>
                  <w:tcW w:w="1111" w:type="dxa"/>
                  <w:vMerge w:val="restart"/>
                  <w:vAlign w:val="center"/>
                </w:tcPr>
                <w:p w14:paraId="72C83450">
                  <w:pPr>
                    <w:jc w:val="center"/>
                    <w:rPr>
                      <w:b/>
                      <w:bCs/>
                      <w:sz w:val="18"/>
                      <w:szCs w:val="18"/>
                    </w:rPr>
                  </w:pPr>
                  <w:r>
                    <w:rPr>
                      <w:rFonts w:hint="eastAsia"/>
                      <w:b/>
                      <w:bCs/>
                      <w:sz w:val="18"/>
                      <w:szCs w:val="18"/>
                    </w:rPr>
                    <w:t>去向</w:t>
                  </w:r>
                </w:p>
              </w:tc>
            </w:tr>
            <w:tr w14:paraId="4C10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Merge w:val="continue"/>
                  <w:vAlign w:val="center"/>
                </w:tcPr>
                <w:p w14:paraId="60BE3159">
                  <w:pPr>
                    <w:jc w:val="center"/>
                    <w:rPr>
                      <w:sz w:val="18"/>
                      <w:szCs w:val="18"/>
                    </w:rPr>
                  </w:pPr>
                </w:p>
              </w:tc>
              <w:tc>
                <w:tcPr>
                  <w:tcW w:w="1455" w:type="dxa"/>
                  <w:gridSpan w:val="3"/>
                  <w:vAlign w:val="center"/>
                </w:tcPr>
                <w:p w14:paraId="7B782075">
                  <w:pPr>
                    <w:jc w:val="center"/>
                    <w:rPr>
                      <w:b/>
                      <w:bCs/>
                      <w:sz w:val="18"/>
                      <w:szCs w:val="18"/>
                    </w:rPr>
                  </w:pPr>
                  <w:r>
                    <w:rPr>
                      <w:rFonts w:hint="eastAsia"/>
                      <w:b/>
                      <w:bCs/>
                      <w:sz w:val="18"/>
                      <w:szCs w:val="18"/>
                    </w:rPr>
                    <w:t>用水量</w:t>
                  </w:r>
                </w:p>
              </w:tc>
              <w:tc>
                <w:tcPr>
                  <w:tcW w:w="1454" w:type="dxa"/>
                  <w:gridSpan w:val="3"/>
                  <w:vAlign w:val="center"/>
                </w:tcPr>
                <w:p w14:paraId="4A8235BE">
                  <w:pPr>
                    <w:jc w:val="center"/>
                    <w:rPr>
                      <w:b/>
                      <w:bCs/>
                      <w:sz w:val="18"/>
                      <w:szCs w:val="18"/>
                    </w:rPr>
                  </w:pPr>
                  <w:r>
                    <w:rPr>
                      <w:rFonts w:hint="eastAsia"/>
                      <w:b/>
                      <w:bCs/>
                      <w:sz w:val="18"/>
                      <w:szCs w:val="18"/>
                    </w:rPr>
                    <w:t>损耗量</w:t>
                  </w:r>
                </w:p>
              </w:tc>
              <w:tc>
                <w:tcPr>
                  <w:tcW w:w="1454" w:type="dxa"/>
                  <w:gridSpan w:val="3"/>
                  <w:vAlign w:val="center"/>
                </w:tcPr>
                <w:p w14:paraId="49FDFCD5">
                  <w:pPr>
                    <w:jc w:val="center"/>
                    <w:rPr>
                      <w:b/>
                      <w:bCs/>
                      <w:sz w:val="18"/>
                      <w:szCs w:val="18"/>
                    </w:rPr>
                  </w:pPr>
                  <w:r>
                    <w:rPr>
                      <w:rFonts w:hint="eastAsia"/>
                      <w:b/>
                      <w:bCs/>
                      <w:sz w:val="18"/>
                      <w:szCs w:val="18"/>
                    </w:rPr>
                    <w:t>废水量</w:t>
                  </w:r>
                </w:p>
              </w:tc>
              <w:tc>
                <w:tcPr>
                  <w:tcW w:w="1455" w:type="dxa"/>
                  <w:gridSpan w:val="3"/>
                  <w:vAlign w:val="center"/>
                </w:tcPr>
                <w:p w14:paraId="3F6F2AD4">
                  <w:pPr>
                    <w:jc w:val="center"/>
                    <w:rPr>
                      <w:b/>
                      <w:bCs/>
                      <w:sz w:val="18"/>
                      <w:szCs w:val="18"/>
                    </w:rPr>
                  </w:pPr>
                  <w:r>
                    <w:rPr>
                      <w:rFonts w:hint="eastAsia"/>
                      <w:b/>
                      <w:bCs/>
                      <w:sz w:val="18"/>
                      <w:szCs w:val="18"/>
                    </w:rPr>
                    <w:t>回用量</w:t>
                  </w:r>
                </w:p>
              </w:tc>
              <w:tc>
                <w:tcPr>
                  <w:tcW w:w="1111" w:type="dxa"/>
                  <w:vMerge w:val="continue"/>
                  <w:vAlign w:val="center"/>
                </w:tcPr>
                <w:p w14:paraId="40B71E43">
                  <w:pPr>
                    <w:jc w:val="center"/>
                    <w:rPr>
                      <w:sz w:val="18"/>
                      <w:szCs w:val="18"/>
                    </w:rPr>
                  </w:pPr>
                </w:p>
              </w:tc>
            </w:tr>
            <w:tr w14:paraId="4120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Merge w:val="continue"/>
                  <w:vAlign w:val="center"/>
                </w:tcPr>
                <w:p w14:paraId="3AF55AB6">
                  <w:pPr>
                    <w:jc w:val="center"/>
                    <w:rPr>
                      <w:sz w:val="18"/>
                      <w:szCs w:val="18"/>
                    </w:rPr>
                  </w:pPr>
                </w:p>
              </w:tc>
              <w:tc>
                <w:tcPr>
                  <w:tcW w:w="728" w:type="dxa"/>
                  <w:vAlign w:val="center"/>
                </w:tcPr>
                <w:p w14:paraId="48B03261">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/d</w:t>
                  </w:r>
                </w:p>
              </w:tc>
              <w:tc>
                <w:tcPr>
                  <w:tcW w:w="727" w:type="dxa"/>
                  <w:gridSpan w:val="2"/>
                  <w:vAlign w:val="center"/>
                </w:tcPr>
                <w:p w14:paraId="71A5CEF5">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/a</w:t>
                  </w:r>
                </w:p>
              </w:tc>
              <w:tc>
                <w:tcPr>
                  <w:tcW w:w="726" w:type="dxa"/>
                  <w:gridSpan w:val="2"/>
                  <w:vAlign w:val="center"/>
                </w:tcPr>
                <w:p w14:paraId="6E2BF894">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/d</w:t>
                  </w:r>
                </w:p>
              </w:tc>
              <w:tc>
                <w:tcPr>
                  <w:tcW w:w="728" w:type="dxa"/>
                  <w:vAlign w:val="center"/>
                </w:tcPr>
                <w:p w14:paraId="01017ADA">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/a</w:t>
                  </w:r>
                </w:p>
              </w:tc>
              <w:tc>
                <w:tcPr>
                  <w:tcW w:w="727" w:type="dxa"/>
                  <w:vAlign w:val="center"/>
                </w:tcPr>
                <w:p w14:paraId="30D2BBC3">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/d</w:t>
                  </w:r>
                </w:p>
              </w:tc>
              <w:tc>
                <w:tcPr>
                  <w:tcW w:w="727" w:type="dxa"/>
                  <w:gridSpan w:val="2"/>
                  <w:vAlign w:val="center"/>
                </w:tcPr>
                <w:p w14:paraId="1F79F505">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/a</w:t>
                  </w:r>
                </w:p>
              </w:tc>
              <w:tc>
                <w:tcPr>
                  <w:tcW w:w="727" w:type="dxa"/>
                  <w:gridSpan w:val="2"/>
                  <w:vAlign w:val="center"/>
                </w:tcPr>
                <w:p w14:paraId="24B9833E">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/d</w:t>
                  </w:r>
                </w:p>
              </w:tc>
              <w:tc>
                <w:tcPr>
                  <w:tcW w:w="728" w:type="dxa"/>
                  <w:vAlign w:val="center"/>
                </w:tcPr>
                <w:p w14:paraId="0FAC6C6F">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/a</w:t>
                  </w:r>
                </w:p>
              </w:tc>
              <w:tc>
                <w:tcPr>
                  <w:tcW w:w="1111" w:type="dxa"/>
                  <w:vMerge w:val="continue"/>
                  <w:vAlign w:val="center"/>
                </w:tcPr>
                <w:p w14:paraId="7BECA91D">
                  <w:pPr>
                    <w:jc w:val="center"/>
                    <w:rPr>
                      <w:sz w:val="18"/>
                      <w:szCs w:val="18"/>
                    </w:rPr>
                  </w:pPr>
                </w:p>
              </w:tc>
            </w:tr>
            <w:tr w14:paraId="35A6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Align w:val="center"/>
                </w:tcPr>
                <w:p w14:paraId="41746F7F">
                  <w:pPr>
                    <w:jc w:val="center"/>
                    <w:rPr>
                      <w:sz w:val="18"/>
                      <w:szCs w:val="18"/>
                    </w:rPr>
                  </w:pPr>
                  <w:r>
                    <w:rPr>
                      <w:rFonts w:hint="eastAsia"/>
                      <w:sz w:val="18"/>
                      <w:szCs w:val="18"/>
                    </w:rPr>
                    <w:t>肉牛饮用</w:t>
                  </w:r>
                </w:p>
              </w:tc>
              <w:tc>
                <w:tcPr>
                  <w:tcW w:w="728" w:type="dxa"/>
                  <w:vAlign w:val="center"/>
                </w:tcPr>
                <w:p w14:paraId="2AE6368D">
                  <w:pPr>
                    <w:jc w:val="center"/>
                    <w:rPr>
                      <w:sz w:val="18"/>
                      <w:szCs w:val="18"/>
                    </w:rPr>
                  </w:pPr>
                  <w:r>
                    <w:rPr>
                      <w:rFonts w:hint="eastAsia"/>
                      <w:sz w:val="18"/>
                      <w:szCs w:val="18"/>
                    </w:rPr>
                    <w:t>3.43</w:t>
                  </w:r>
                </w:p>
              </w:tc>
              <w:tc>
                <w:tcPr>
                  <w:tcW w:w="727" w:type="dxa"/>
                  <w:gridSpan w:val="2"/>
                  <w:vAlign w:val="center"/>
                </w:tcPr>
                <w:p w14:paraId="5CC789C6">
                  <w:pPr>
                    <w:jc w:val="center"/>
                    <w:rPr>
                      <w:sz w:val="18"/>
                      <w:szCs w:val="18"/>
                    </w:rPr>
                  </w:pPr>
                  <w:r>
                    <w:rPr>
                      <w:rFonts w:hint="eastAsia"/>
                      <w:sz w:val="18"/>
                      <w:szCs w:val="18"/>
                    </w:rPr>
                    <w:t>1200</w:t>
                  </w:r>
                </w:p>
              </w:tc>
              <w:tc>
                <w:tcPr>
                  <w:tcW w:w="726" w:type="dxa"/>
                  <w:gridSpan w:val="2"/>
                  <w:vAlign w:val="center"/>
                </w:tcPr>
                <w:p w14:paraId="6DFD66DD">
                  <w:pPr>
                    <w:jc w:val="center"/>
                    <w:rPr>
                      <w:sz w:val="18"/>
                      <w:szCs w:val="18"/>
                    </w:rPr>
                  </w:pPr>
                  <w:r>
                    <w:rPr>
                      <w:rFonts w:hint="eastAsia"/>
                      <w:sz w:val="18"/>
                      <w:szCs w:val="18"/>
                    </w:rPr>
                    <w:t>3.43</w:t>
                  </w:r>
                </w:p>
              </w:tc>
              <w:tc>
                <w:tcPr>
                  <w:tcW w:w="728" w:type="dxa"/>
                  <w:vAlign w:val="center"/>
                </w:tcPr>
                <w:p w14:paraId="2D6028BE">
                  <w:pPr>
                    <w:jc w:val="center"/>
                    <w:rPr>
                      <w:sz w:val="18"/>
                      <w:szCs w:val="18"/>
                    </w:rPr>
                  </w:pPr>
                  <w:r>
                    <w:rPr>
                      <w:rFonts w:hint="eastAsia"/>
                      <w:sz w:val="18"/>
                      <w:szCs w:val="18"/>
                    </w:rPr>
                    <w:t>1200</w:t>
                  </w:r>
                </w:p>
              </w:tc>
              <w:tc>
                <w:tcPr>
                  <w:tcW w:w="727" w:type="dxa"/>
                  <w:vAlign w:val="center"/>
                </w:tcPr>
                <w:p w14:paraId="5D07CF9F">
                  <w:pPr>
                    <w:jc w:val="center"/>
                    <w:rPr>
                      <w:sz w:val="18"/>
                      <w:szCs w:val="18"/>
                    </w:rPr>
                  </w:pPr>
                  <w:r>
                    <w:rPr>
                      <w:rFonts w:hint="eastAsia"/>
                      <w:sz w:val="18"/>
                      <w:szCs w:val="18"/>
                    </w:rPr>
                    <w:t>0</w:t>
                  </w:r>
                </w:p>
              </w:tc>
              <w:tc>
                <w:tcPr>
                  <w:tcW w:w="727" w:type="dxa"/>
                  <w:gridSpan w:val="2"/>
                  <w:vAlign w:val="center"/>
                </w:tcPr>
                <w:p w14:paraId="0FB4F55C">
                  <w:pPr>
                    <w:jc w:val="center"/>
                    <w:rPr>
                      <w:sz w:val="18"/>
                      <w:szCs w:val="18"/>
                    </w:rPr>
                  </w:pPr>
                  <w:r>
                    <w:rPr>
                      <w:rFonts w:hint="eastAsia"/>
                      <w:sz w:val="18"/>
                      <w:szCs w:val="18"/>
                    </w:rPr>
                    <w:t>0</w:t>
                  </w:r>
                </w:p>
              </w:tc>
              <w:tc>
                <w:tcPr>
                  <w:tcW w:w="727" w:type="dxa"/>
                  <w:gridSpan w:val="2"/>
                  <w:vAlign w:val="center"/>
                </w:tcPr>
                <w:p w14:paraId="2C3581CC">
                  <w:pPr>
                    <w:jc w:val="center"/>
                    <w:rPr>
                      <w:sz w:val="18"/>
                      <w:szCs w:val="18"/>
                    </w:rPr>
                  </w:pPr>
                  <w:r>
                    <w:rPr>
                      <w:rFonts w:hint="eastAsia"/>
                      <w:sz w:val="18"/>
                      <w:szCs w:val="18"/>
                    </w:rPr>
                    <w:t>0</w:t>
                  </w:r>
                </w:p>
              </w:tc>
              <w:tc>
                <w:tcPr>
                  <w:tcW w:w="728" w:type="dxa"/>
                  <w:vAlign w:val="center"/>
                </w:tcPr>
                <w:p w14:paraId="1BC12B81">
                  <w:pPr>
                    <w:jc w:val="center"/>
                    <w:rPr>
                      <w:sz w:val="18"/>
                      <w:szCs w:val="18"/>
                    </w:rPr>
                  </w:pPr>
                  <w:r>
                    <w:rPr>
                      <w:rFonts w:hint="eastAsia"/>
                      <w:sz w:val="18"/>
                      <w:szCs w:val="18"/>
                    </w:rPr>
                    <w:t>0</w:t>
                  </w:r>
                </w:p>
              </w:tc>
              <w:tc>
                <w:tcPr>
                  <w:tcW w:w="1111" w:type="dxa"/>
                  <w:vMerge w:val="restart"/>
                  <w:vAlign w:val="center"/>
                </w:tcPr>
                <w:p w14:paraId="5CAEB6C6">
                  <w:pPr>
                    <w:jc w:val="center"/>
                    <w:rPr>
                      <w:sz w:val="18"/>
                      <w:szCs w:val="18"/>
                    </w:rPr>
                  </w:pPr>
                  <w:r>
                    <w:rPr>
                      <w:rFonts w:hint="eastAsia"/>
                      <w:sz w:val="18"/>
                      <w:szCs w:val="18"/>
                    </w:rPr>
                    <w:t>处理达标后用于厂区绿化、洒水降尘</w:t>
                  </w:r>
                </w:p>
              </w:tc>
            </w:tr>
            <w:tr w14:paraId="0E67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Align w:val="center"/>
                </w:tcPr>
                <w:p w14:paraId="4E75D5C7">
                  <w:pPr>
                    <w:jc w:val="center"/>
                    <w:rPr>
                      <w:sz w:val="18"/>
                      <w:szCs w:val="18"/>
                    </w:rPr>
                  </w:pPr>
                  <w:r>
                    <w:rPr>
                      <w:rFonts w:hint="eastAsia"/>
                      <w:sz w:val="18"/>
                      <w:szCs w:val="18"/>
                    </w:rPr>
                    <w:t>肉牛屠宰</w:t>
                  </w:r>
                </w:p>
              </w:tc>
              <w:tc>
                <w:tcPr>
                  <w:tcW w:w="728" w:type="dxa"/>
                  <w:vAlign w:val="center"/>
                </w:tcPr>
                <w:p w14:paraId="19971FF1">
                  <w:pPr>
                    <w:jc w:val="center"/>
                    <w:rPr>
                      <w:sz w:val="18"/>
                      <w:szCs w:val="18"/>
                    </w:rPr>
                  </w:pPr>
                  <w:r>
                    <w:rPr>
                      <w:rFonts w:hint="eastAsia"/>
                      <w:sz w:val="18"/>
                      <w:szCs w:val="18"/>
                    </w:rPr>
                    <w:t>97.14</w:t>
                  </w:r>
                </w:p>
              </w:tc>
              <w:tc>
                <w:tcPr>
                  <w:tcW w:w="727" w:type="dxa"/>
                  <w:gridSpan w:val="2"/>
                  <w:vAlign w:val="center"/>
                </w:tcPr>
                <w:p w14:paraId="55B12290">
                  <w:pPr>
                    <w:jc w:val="center"/>
                    <w:rPr>
                      <w:sz w:val="18"/>
                      <w:szCs w:val="18"/>
                    </w:rPr>
                  </w:pPr>
                  <w:r>
                    <w:rPr>
                      <w:rFonts w:hint="eastAsia"/>
                      <w:sz w:val="18"/>
                      <w:szCs w:val="18"/>
                    </w:rPr>
                    <w:t>34000</w:t>
                  </w:r>
                </w:p>
              </w:tc>
              <w:tc>
                <w:tcPr>
                  <w:tcW w:w="726" w:type="dxa"/>
                  <w:gridSpan w:val="2"/>
                  <w:vAlign w:val="center"/>
                </w:tcPr>
                <w:p w14:paraId="0787C921">
                  <w:pPr>
                    <w:jc w:val="center"/>
                    <w:rPr>
                      <w:sz w:val="18"/>
                      <w:szCs w:val="18"/>
                    </w:rPr>
                  </w:pPr>
                  <w:r>
                    <w:rPr>
                      <w:rFonts w:hint="eastAsia"/>
                      <w:sz w:val="18"/>
                      <w:szCs w:val="18"/>
                    </w:rPr>
                    <w:t>19.43</w:t>
                  </w:r>
                </w:p>
              </w:tc>
              <w:tc>
                <w:tcPr>
                  <w:tcW w:w="728" w:type="dxa"/>
                  <w:vAlign w:val="center"/>
                </w:tcPr>
                <w:p w14:paraId="7F3BB028">
                  <w:pPr>
                    <w:jc w:val="center"/>
                    <w:rPr>
                      <w:sz w:val="18"/>
                      <w:szCs w:val="18"/>
                    </w:rPr>
                  </w:pPr>
                  <w:r>
                    <w:rPr>
                      <w:rFonts w:hint="eastAsia"/>
                      <w:sz w:val="18"/>
                      <w:szCs w:val="18"/>
                    </w:rPr>
                    <w:t>6800</w:t>
                  </w:r>
                </w:p>
              </w:tc>
              <w:tc>
                <w:tcPr>
                  <w:tcW w:w="727" w:type="dxa"/>
                  <w:vAlign w:val="center"/>
                </w:tcPr>
                <w:p w14:paraId="2FE1DF13">
                  <w:pPr>
                    <w:jc w:val="center"/>
                    <w:rPr>
                      <w:sz w:val="18"/>
                      <w:szCs w:val="18"/>
                    </w:rPr>
                  </w:pPr>
                  <w:r>
                    <w:rPr>
                      <w:rFonts w:hint="eastAsia"/>
                      <w:sz w:val="18"/>
                      <w:szCs w:val="18"/>
                    </w:rPr>
                    <w:t>77.71</w:t>
                  </w:r>
                </w:p>
              </w:tc>
              <w:tc>
                <w:tcPr>
                  <w:tcW w:w="727" w:type="dxa"/>
                  <w:gridSpan w:val="2"/>
                  <w:vAlign w:val="center"/>
                </w:tcPr>
                <w:p w14:paraId="0737AF27">
                  <w:pPr>
                    <w:jc w:val="center"/>
                    <w:rPr>
                      <w:sz w:val="18"/>
                      <w:szCs w:val="18"/>
                    </w:rPr>
                  </w:pPr>
                  <w:r>
                    <w:rPr>
                      <w:rFonts w:hint="eastAsia"/>
                      <w:sz w:val="18"/>
                      <w:szCs w:val="18"/>
                    </w:rPr>
                    <w:t>27200</w:t>
                  </w:r>
                </w:p>
              </w:tc>
              <w:tc>
                <w:tcPr>
                  <w:tcW w:w="727" w:type="dxa"/>
                  <w:gridSpan w:val="2"/>
                  <w:vAlign w:val="center"/>
                </w:tcPr>
                <w:p w14:paraId="7E471713">
                  <w:pPr>
                    <w:jc w:val="center"/>
                    <w:rPr>
                      <w:sz w:val="18"/>
                      <w:szCs w:val="18"/>
                    </w:rPr>
                  </w:pPr>
                  <w:r>
                    <w:rPr>
                      <w:rFonts w:hint="eastAsia"/>
                      <w:sz w:val="18"/>
                      <w:szCs w:val="18"/>
                    </w:rPr>
                    <w:t>77.71</w:t>
                  </w:r>
                </w:p>
              </w:tc>
              <w:tc>
                <w:tcPr>
                  <w:tcW w:w="728" w:type="dxa"/>
                  <w:vAlign w:val="center"/>
                </w:tcPr>
                <w:p w14:paraId="084D1EAE">
                  <w:pPr>
                    <w:jc w:val="center"/>
                    <w:rPr>
                      <w:sz w:val="18"/>
                      <w:szCs w:val="18"/>
                    </w:rPr>
                  </w:pPr>
                  <w:r>
                    <w:rPr>
                      <w:rFonts w:hint="eastAsia"/>
                      <w:sz w:val="18"/>
                      <w:szCs w:val="18"/>
                    </w:rPr>
                    <w:t>27200</w:t>
                  </w:r>
                </w:p>
              </w:tc>
              <w:tc>
                <w:tcPr>
                  <w:tcW w:w="1111" w:type="dxa"/>
                  <w:vMerge w:val="continue"/>
                  <w:vAlign w:val="center"/>
                </w:tcPr>
                <w:p w14:paraId="119EA68C">
                  <w:pPr>
                    <w:jc w:val="center"/>
                    <w:rPr>
                      <w:sz w:val="18"/>
                      <w:szCs w:val="18"/>
                    </w:rPr>
                  </w:pPr>
                </w:p>
              </w:tc>
            </w:tr>
            <w:tr w14:paraId="618C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Align w:val="center"/>
                </w:tcPr>
                <w:p w14:paraId="76FC8F81">
                  <w:pPr>
                    <w:jc w:val="center"/>
                    <w:rPr>
                      <w:sz w:val="18"/>
                      <w:szCs w:val="18"/>
                    </w:rPr>
                  </w:pPr>
                  <w:r>
                    <w:rPr>
                      <w:rFonts w:hint="eastAsia"/>
                      <w:sz w:val="18"/>
                      <w:szCs w:val="18"/>
                    </w:rPr>
                    <w:t>牛肉精深加工</w:t>
                  </w:r>
                </w:p>
              </w:tc>
              <w:tc>
                <w:tcPr>
                  <w:tcW w:w="728" w:type="dxa"/>
                  <w:vAlign w:val="center"/>
                </w:tcPr>
                <w:p w14:paraId="521A2D2A">
                  <w:pPr>
                    <w:jc w:val="center"/>
                    <w:rPr>
                      <w:sz w:val="18"/>
                      <w:szCs w:val="18"/>
                    </w:rPr>
                  </w:pPr>
                  <w:r>
                    <w:rPr>
                      <w:rFonts w:hint="eastAsia"/>
                      <w:sz w:val="18"/>
                      <w:szCs w:val="18"/>
                    </w:rPr>
                    <w:t>18.57</w:t>
                  </w:r>
                </w:p>
              </w:tc>
              <w:tc>
                <w:tcPr>
                  <w:tcW w:w="727" w:type="dxa"/>
                  <w:gridSpan w:val="2"/>
                  <w:vAlign w:val="center"/>
                </w:tcPr>
                <w:p w14:paraId="51439446">
                  <w:pPr>
                    <w:jc w:val="center"/>
                    <w:rPr>
                      <w:sz w:val="18"/>
                      <w:szCs w:val="18"/>
                    </w:rPr>
                  </w:pPr>
                  <w:r>
                    <w:rPr>
                      <w:rFonts w:hint="eastAsia"/>
                      <w:sz w:val="18"/>
                      <w:szCs w:val="18"/>
                    </w:rPr>
                    <w:t>6500</w:t>
                  </w:r>
                </w:p>
              </w:tc>
              <w:tc>
                <w:tcPr>
                  <w:tcW w:w="726" w:type="dxa"/>
                  <w:gridSpan w:val="2"/>
                  <w:vAlign w:val="center"/>
                </w:tcPr>
                <w:p w14:paraId="289C307A">
                  <w:pPr>
                    <w:jc w:val="center"/>
                    <w:rPr>
                      <w:sz w:val="18"/>
                      <w:szCs w:val="18"/>
                    </w:rPr>
                  </w:pPr>
                  <w:r>
                    <w:rPr>
                      <w:rFonts w:hint="eastAsia"/>
                      <w:sz w:val="18"/>
                      <w:szCs w:val="18"/>
                    </w:rPr>
                    <w:t>3.71</w:t>
                  </w:r>
                </w:p>
              </w:tc>
              <w:tc>
                <w:tcPr>
                  <w:tcW w:w="728" w:type="dxa"/>
                  <w:vAlign w:val="center"/>
                </w:tcPr>
                <w:p w14:paraId="0AFC7325">
                  <w:pPr>
                    <w:jc w:val="center"/>
                    <w:rPr>
                      <w:sz w:val="18"/>
                      <w:szCs w:val="18"/>
                    </w:rPr>
                  </w:pPr>
                  <w:r>
                    <w:rPr>
                      <w:rFonts w:hint="eastAsia"/>
                      <w:sz w:val="18"/>
                      <w:szCs w:val="18"/>
                    </w:rPr>
                    <w:t>1300</w:t>
                  </w:r>
                </w:p>
              </w:tc>
              <w:tc>
                <w:tcPr>
                  <w:tcW w:w="727" w:type="dxa"/>
                  <w:vAlign w:val="center"/>
                </w:tcPr>
                <w:p w14:paraId="11D9F61C">
                  <w:pPr>
                    <w:jc w:val="center"/>
                    <w:rPr>
                      <w:sz w:val="18"/>
                      <w:szCs w:val="18"/>
                    </w:rPr>
                  </w:pPr>
                  <w:r>
                    <w:rPr>
                      <w:rFonts w:hint="eastAsia"/>
                      <w:sz w:val="18"/>
                      <w:szCs w:val="18"/>
                    </w:rPr>
                    <w:t>14.86</w:t>
                  </w:r>
                </w:p>
              </w:tc>
              <w:tc>
                <w:tcPr>
                  <w:tcW w:w="727" w:type="dxa"/>
                  <w:gridSpan w:val="2"/>
                  <w:vAlign w:val="center"/>
                </w:tcPr>
                <w:p w14:paraId="71C35554">
                  <w:pPr>
                    <w:jc w:val="center"/>
                    <w:rPr>
                      <w:sz w:val="18"/>
                      <w:szCs w:val="18"/>
                    </w:rPr>
                  </w:pPr>
                  <w:r>
                    <w:rPr>
                      <w:rFonts w:hint="eastAsia"/>
                      <w:sz w:val="18"/>
                      <w:szCs w:val="18"/>
                    </w:rPr>
                    <w:t>5200</w:t>
                  </w:r>
                </w:p>
              </w:tc>
              <w:tc>
                <w:tcPr>
                  <w:tcW w:w="727" w:type="dxa"/>
                  <w:gridSpan w:val="2"/>
                  <w:vAlign w:val="center"/>
                </w:tcPr>
                <w:p w14:paraId="6DAD6A74">
                  <w:pPr>
                    <w:jc w:val="center"/>
                    <w:rPr>
                      <w:sz w:val="18"/>
                      <w:szCs w:val="18"/>
                    </w:rPr>
                  </w:pPr>
                  <w:r>
                    <w:rPr>
                      <w:rFonts w:hint="eastAsia"/>
                      <w:sz w:val="18"/>
                      <w:szCs w:val="18"/>
                    </w:rPr>
                    <w:t>14.86</w:t>
                  </w:r>
                </w:p>
              </w:tc>
              <w:tc>
                <w:tcPr>
                  <w:tcW w:w="728" w:type="dxa"/>
                  <w:vAlign w:val="center"/>
                </w:tcPr>
                <w:p w14:paraId="30D9D68F">
                  <w:pPr>
                    <w:jc w:val="center"/>
                    <w:rPr>
                      <w:sz w:val="18"/>
                      <w:szCs w:val="18"/>
                    </w:rPr>
                  </w:pPr>
                  <w:r>
                    <w:rPr>
                      <w:rFonts w:hint="eastAsia"/>
                      <w:sz w:val="18"/>
                      <w:szCs w:val="18"/>
                    </w:rPr>
                    <w:t>5200</w:t>
                  </w:r>
                </w:p>
              </w:tc>
              <w:tc>
                <w:tcPr>
                  <w:tcW w:w="1111" w:type="dxa"/>
                  <w:vMerge w:val="continue"/>
                  <w:vAlign w:val="center"/>
                </w:tcPr>
                <w:p w14:paraId="3008ED83">
                  <w:pPr>
                    <w:jc w:val="center"/>
                    <w:rPr>
                      <w:sz w:val="18"/>
                      <w:szCs w:val="18"/>
                    </w:rPr>
                  </w:pPr>
                </w:p>
              </w:tc>
            </w:tr>
            <w:tr w14:paraId="395B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Align w:val="center"/>
                </w:tcPr>
                <w:p w14:paraId="161C0D1F">
                  <w:pPr>
                    <w:jc w:val="center"/>
                    <w:rPr>
                      <w:sz w:val="18"/>
                      <w:szCs w:val="18"/>
                    </w:rPr>
                  </w:pPr>
                  <w:r>
                    <w:rPr>
                      <w:rFonts w:hint="eastAsia"/>
                      <w:sz w:val="18"/>
                      <w:szCs w:val="18"/>
                    </w:rPr>
                    <w:t>肉羊屠宰</w:t>
                  </w:r>
                </w:p>
              </w:tc>
              <w:tc>
                <w:tcPr>
                  <w:tcW w:w="728" w:type="dxa"/>
                  <w:vAlign w:val="center"/>
                </w:tcPr>
                <w:p w14:paraId="4D302C09">
                  <w:pPr>
                    <w:jc w:val="center"/>
                    <w:rPr>
                      <w:sz w:val="18"/>
                      <w:szCs w:val="18"/>
                    </w:rPr>
                  </w:pPr>
                  <w:r>
                    <w:rPr>
                      <w:rFonts w:hint="eastAsia"/>
                      <w:sz w:val="18"/>
                      <w:szCs w:val="18"/>
                    </w:rPr>
                    <w:t>42.86</w:t>
                  </w:r>
                </w:p>
              </w:tc>
              <w:tc>
                <w:tcPr>
                  <w:tcW w:w="727" w:type="dxa"/>
                  <w:gridSpan w:val="2"/>
                  <w:vAlign w:val="center"/>
                </w:tcPr>
                <w:p w14:paraId="4C1643F0">
                  <w:pPr>
                    <w:jc w:val="center"/>
                    <w:rPr>
                      <w:sz w:val="18"/>
                      <w:szCs w:val="18"/>
                    </w:rPr>
                  </w:pPr>
                  <w:r>
                    <w:rPr>
                      <w:rFonts w:hint="eastAsia"/>
                      <w:sz w:val="18"/>
                      <w:szCs w:val="18"/>
                    </w:rPr>
                    <w:t>15000</w:t>
                  </w:r>
                </w:p>
              </w:tc>
              <w:tc>
                <w:tcPr>
                  <w:tcW w:w="726" w:type="dxa"/>
                  <w:gridSpan w:val="2"/>
                  <w:vAlign w:val="center"/>
                </w:tcPr>
                <w:p w14:paraId="0D3932E5">
                  <w:pPr>
                    <w:jc w:val="center"/>
                    <w:rPr>
                      <w:sz w:val="18"/>
                      <w:szCs w:val="18"/>
                    </w:rPr>
                  </w:pPr>
                  <w:r>
                    <w:rPr>
                      <w:rFonts w:hint="eastAsia"/>
                      <w:sz w:val="18"/>
                      <w:szCs w:val="18"/>
                    </w:rPr>
                    <w:t>8.57</w:t>
                  </w:r>
                </w:p>
              </w:tc>
              <w:tc>
                <w:tcPr>
                  <w:tcW w:w="728" w:type="dxa"/>
                  <w:vAlign w:val="center"/>
                </w:tcPr>
                <w:p w14:paraId="66623376">
                  <w:pPr>
                    <w:jc w:val="center"/>
                    <w:rPr>
                      <w:sz w:val="18"/>
                      <w:szCs w:val="18"/>
                    </w:rPr>
                  </w:pPr>
                  <w:r>
                    <w:rPr>
                      <w:rFonts w:hint="eastAsia"/>
                      <w:sz w:val="18"/>
                      <w:szCs w:val="18"/>
                    </w:rPr>
                    <w:t>3000</w:t>
                  </w:r>
                </w:p>
              </w:tc>
              <w:tc>
                <w:tcPr>
                  <w:tcW w:w="727" w:type="dxa"/>
                  <w:vAlign w:val="center"/>
                </w:tcPr>
                <w:p w14:paraId="605D1F84">
                  <w:pPr>
                    <w:jc w:val="center"/>
                    <w:rPr>
                      <w:sz w:val="18"/>
                      <w:szCs w:val="18"/>
                    </w:rPr>
                  </w:pPr>
                  <w:r>
                    <w:rPr>
                      <w:rFonts w:hint="eastAsia"/>
                      <w:sz w:val="18"/>
                      <w:szCs w:val="18"/>
                    </w:rPr>
                    <w:t>34.29</w:t>
                  </w:r>
                </w:p>
              </w:tc>
              <w:tc>
                <w:tcPr>
                  <w:tcW w:w="727" w:type="dxa"/>
                  <w:gridSpan w:val="2"/>
                  <w:vAlign w:val="center"/>
                </w:tcPr>
                <w:p w14:paraId="6F8EE923">
                  <w:pPr>
                    <w:jc w:val="center"/>
                    <w:rPr>
                      <w:sz w:val="18"/>
                      <w:szCs w:val="18"/>
                    </w:rPr>
                  </w:pPr>
                  <w:r>
                    <w:rPr>
                      <w:rFonts w:hint="eastAsia"/>
                      <w:sz w:val="18"/>
                      <w:szCs w:val="18"/>
                    </w:rPr>
                    <w:t>12000</w:t>
                  </w:r>
                </w:p>
              </w:tc>
              <w:tc>
                <w:tcPr>
                  <w:tcW w:w="727" w:type="dxa"/>
                  <w:gridSpan w:val="2"/>
                  <w:vAlign w:val="center"/>
                </w:tcPr>
                <w:p w14:paraId="5892C9EA">
                  <w:pPr>
                    <w:jc w:val="center"/>
                    <w:rPr>
                      <w:sz w:val="18"/>
                      <w:szCs w:val="18"/>
                    </w:rPr>
                  </w:pPr>
                  <w:r>
                    <w:rPr>
                      <w:rFonts w:hint="eastAsia"/>
                      <w:sz w:val="18"/>
                      <w:szCs w:val="18"/>
                    </w:rPr>
                    <w:t>34.29</w:t>
                  </w:r>
                </w:p>
              </w:tc>
              <w:tc>
                <w:tcPr>
                  <w:tcW w:w="728" w:type="dxa"/>
                  <w:vAlign w:val="center"/>
                </w:tcPr>
                <w:p w14:paraId="12590CEC">
                  <w:pPr>
                    <w:jc w:val="center"/>
                    <w:rPr>
                      <w:sz w:val="18"/>
                      <w:szCs w:val="18"/>
                    </w:rPr>
                  </w:pPr>
                  <w:r>
                    <w:rPr>
                      <w:rFonts w:hint="eastAsia"/>
                      <w:sz w:val="18"/>
                      <w:szCs w:val="18"/>
                    </w:rPr>
                    <w:t>12000</w:t>
                  </w:r>
                </w:p>
              </w:tc>
              <w:tc>
                <w:tcPr>
                  <w:tcW w:w="1111" w:type="dxa"/>
                  <w:vMerge w:val="continue"/>
                  <w:vAlign w:val="center"/>
                </w:tcPr>
                <w:p w14:paraId="7D517752">
                  <w:pPr>
                    <w:jc w:val="center"/>
                    <w:rPr>
                      <w:sz w:val="18"/>
                      <w:szCs w:val="18"/>
                    </w:rPr>
                  </w:pPr>
                </w:p>
              </w:tc>
            </w:tr>
            <w:tr w14:paraId="26AA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Align w:val="center"/>
                </w:tcPr>
                <w:p w14:paraId="5713DD85">
                  <w:pPr>
                    <w:jc w:val="center"/>
                    <w:rPr>
                      <w:sz w:val="18"/>
                      <w:szCs w:val="18"/>
                    </w:rPr>
                  </w:pPr>
                  <w:r>
                    <w:rPr>
                      <w:rFonts w:hint="eastAsia"/>
                      <w:sz w:val="18"/>
                      <w:szCs w:val="18"/>
                    </w:rPr>
                    <w:t>冷库用水</w:t>
                  </w:r>
                </w:p>
              </w:tc>
              <w:tc>
                <w:tcPr>
                  <w:tcW w:w="728" w:type="dxa"/>
                  <w:vAlign w:val="center"/>
                </w:tcPr>
                <w:p w14:paraId="30260BFD">
                  <w:pPr>
                    <w:jc w:val="center"/>
                    <w:rPr>
                      <w:sz w:val="18"/>
                      <w:szCs w:val="18"/>
                    </w:rPr>
                  </w:pPr>
                  <w:r>
                    <w:rPr>
                      <w:rFonts w:hint="eastAsia"/>
                      <w:sz w:val="18"/>
                      <w:szCs w:val="18"/>
                    </w:rPr>
                    <w:t>24.00</w:t>
                  </w:r>
                </w:p>
              </w:tc>
              <w:tc>
                <w:tcPr>
                  <w:tcW w:w="727" w:type="dxa"/>
                  <w:gridSpan w:val="2"/>
                  <w:vAlign w:val="center"/>
                </w:tcPr>
                <w:p w14:paraId="3EA6A621">
                  <w:pPr>
                    <w:jc w:val="center"/>
                    <w:rPr>
                      <w:sz w:val="18"/>
                      <w:szCs w:val="18"/>
                    </w:rPr>
                  </w:pPr>
                  <w:r>
                    <w:rPr>
                      <w:rFonts w:hint="eastAsia"/>
                      <w:sz w:val="18"/>
                      <w:szCs w:val="18"/>
                    </w:rPr>
                    <w:t>8400</w:t>
                  </w:r>
                </w:p>
              </w:tc>
              <w:tc>
                <w:tcPr>
                  <w:tcW w:w="726" w:type="dxa"/>
                  <w:gridSpan w:val="2"/>
                  <w:vAlign w:val="center"/>
                </w:tcPr>
                <w:p w14:paraId="1A4002D4">
                  <w:pPr>
                    <w:jc w:val="center"/>
                    <w:rPr>
                      <w:sz w:val="18"/>
                      <w:szCs w:val="18"/>
                    </w:rPr>
                  </w:pPr>
                  <w:r>
                    <w:rPr>
                      <w:rFonts w:hint="eastAsia"/>
                      <w:sz w:val="18"/>
                      <w:szCs w:val="18"/>
                    </w:rPr>
                    <w:t>24.00</w:t>
                  </w:r>
                </w:p>
              </w:tc>
              <w:tc>
                <w:tcPr>
                  <w:tcW w:w="728" w:type="dxa"/>
                  <w:vAlign w:val="center"/>
                </w:tcPr>
                <w:p w14:paraId="24B93364">
                  <w:pPr>
                    <w:jc w:val="center"/>
                    <w:rPr>
                      <w:sz w:val="18"/>
                      <w:szCs w:val="18"/>
                    </w:rPr>
                  </w:pPr>
                  <w:r>
                    <w:rPr>
                      <w:rFonts w:hint="eastAsia"/>
                      <w:sz w:val="18"/>
                      <w:szCs w:val="18"/>
                    </w:rPr>
                    <w:t>8400</w:t>
                  </w:r>
                </w:p>
              </w:tc>
              <w:tc>
                <w:tcPr>
                  <w:tcW w:w="727" w:type="dxa"/>
                  <w:vAlign w:val="center"/>
                </w:tcPr>
                <w:p w14:paraId="6FF55BE4">
                  <w:pPr>
                    <w:jc w:val="center"/>
                    <w:rPr>
                      <w:sz w:val="18"/>
                      <w:szCs w:val="18"/>
                    </w:rPr>
                  </w:pPr>
                  <w:r>
                    <w:rPr>
                      <w:rFonts w:hint="eastAsia"/>
                      <w:sz w:val="18"/>
                      <w:szCs w:val="18"/>
                    </w:rPr>
                    <w:t>0</w:t>
                  </w:r>
                </w:p>
              </w:tc>
              <w:tc>
                <w:tcPr>
                  <w:tcW w:w="727" w:type="dxa"/>
                  <w:gridSpan w:val="2"/>
                  <w:vAlign w:val="center"/>
                </w:tcPr>
                <w:p w14:paraId="32D32E7E">
                  <w:pPr>
                    <w:jc w:val="center"/>
                    <w:rPr>
                      <w:sz w:val="18"/>
                      <w:szCs w:val="18"/>
                    </w:rPr>
                  </w:pPr>
                  <w:r>
                    <w:rPr>
                      <w:rFonts w:hint="eastAsia"/>
                      <w:sz w:val="18"/>
                      <w:szCs w:val="18"/>
                    </w:rPr>
                    <w:t>0</w:t>
                  </w:r>
                </w:p>
              </w:tc>
              <w:tc>
                <w:tcPr>
                  <w:tcW w:w="727" w:type="dxa"/>
                  <w:gridSpan w:val="2"/>
                  <w:vAlign w:val="center"/>
                </w:tcPr>
                <w:p w14:paraId="6AAB6A91">
                  <w:pPr>
                    <w:jc w:val="center"/>
                    <w:rPr>
                      <w:sz w:val="18"/>
                      <w:szCs w:val="18"/>
                    </w:rPr>
                  </w:pPr>
                  <w:r>
                    <w:rPr>
                      <w:rFonts w:hint="eastAsia"/>
                      <w:sz w:val="18"/>
                      <w:szCs w:val="18"/>
                    </w:rPr>
                    <w:t>0</w:t>
                  </w:r>
                </w:p>
              </w:tc>
              <w:tc>
                <w:tcPr>
                  <w:tcW w:w="728" w:type="dxa"/>
                  <w:vAlign w:val="center"/>
                </w:tcPr>
                <w:p w14:paraId="4D2431DD">
                  <w:pPr>
                    <w:jc w:val="center"/>
                    <w:rPr>
                      <w:sz w:val="18"/>
                      <w:szCs w:val="18"/>
                    </w:rPr>
                  </w:pPr>
                  <w:r>
                    <w:rPr>
                      <w:rFonts w:hint="eastAsia"/>
                      <w:sz w:val="18"/>
                      <w:szCs w:val="18"/>
                    </w:rPr>
                    <w:t>0</w:t>
                  </w:r>
                </w:p>
              </w:tc>
              <w:tc>
                <w:tcPr>
                  <w:tcW w:w="1111" w:type="dxa"/>
                  <w:vMerge w:val="continue"/>
                  <w:vAlign w:val="center"/>
                </w:tcPr>
                <w:p w14:paraId="0099C86D">
                  <w:pPr>
                    <w:jc w:val="center"/>
                    <w:rPr>
                      <w:sz w:val="18"/>
                      <w:szCs w:val="18"/>
                    </w:rPr>
                  </w:pPr>
                </w:p>
              </w:tc>
            </w:tr>
            <w:tr w14:paraId="3299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Align w:val="center"/>
                </w:tcPr>
                <w:p w14:paraId="61DCDF4B">
                  <w:pPr>
                    <w:jc w:val="center"/>
                    <w:rPr>
                      <w:sz w:val="18"/>
                      <w:szCs w:val="18"/>
                    </w:rPr>
                  </w:pPr>
                  <w:r>
                    <w:rPr>
                      <w:rFonts w:hint="eastAsia"/>
                      <w:sz w:val="18"/>
                      <w:szCs w:val="18"/>
                    </w:rPr>
                    <w:t>合计</w:t>
                  </w:r>
                </w:p>
              </w:tc>
              <w:tc>
                <w:tcPr>
                  <w:tcW w:w="728" w:type="dxa"/>
                  <w:vAlign w:val="center"/>
                </w:tcPr>
                <w:p w14:paraId="716F38BA">
                  <w:pPr>
                    <w:jc w:val="center"/>
                    <w:rPr>
                      <w:sz w:val="18"/>
                      <w:szCs w:val="18"/>
                    </w:rPr>
                  </w:pPr>
                  <w:r>
                    <w:rPr>
                      <w:rFonts w:hint="eastAsia"/>
                      <w:sz w:val="18"/>
                      <w:szCs w:val="18"/>
                    </w:rPr>
                    <w:t>186.00</w:t>
                  </w:r>
                </w:p>
              </w:tc>
              <w:tc>
                <w:tcPr>
                  <w:tcW w:w="727" w:type="dxa"/>
                  <w:gridSpan w:val="2"/>
                  <w:vAlign w:val="center"/>
                </w:tcPr>
                <w:p w14:paraId="52E03AC5">
                  <w:pPr>
                    <w:jc w:val="center"/>
                    <w:rPr>
                      <w:sz w:val="18"/>
                      <w:szCs w:val="18"/>
                    </w:rPr>
                  </w:pPr>
                  <w:r>
                    <w:rPr>
                      <w:rFonts w:hint="eastAsia"/>
                      <w:sz w:val="18"/>
                      <w:szCs w:val="18"/>
                    </w:rPr>
                    <w:t>65100</w:t>
                  </w:r>
                </w:p>
              </w:tc>
              <w:tc>
                <w:tcPr>
                  <w:tcW w:w="726" w:type="dxa"/>
                  <w:gridSpan w:val="2"/>
                  <w:vAlign w:val="center"/>
                </w:tcPr>
                <w:p w14:paraId="7F3B7380">
                  <w:pPr>
                    <w:jc w:val="center"/>
                    <w:rPr>
                      <w:sz w:val="18"/>
                      <w:szCs w:val="18"/>
                    </w:rPr>
                  </w:pPr>
                  <w:r>
                    <w:rPr>
                      <w:rFonts w:hint="eastAsia"/>
                      <w:sz w:val="18"/>
                      <w:szCs w:val="18"/>
                    </w:rPr>
                    <w:t>59.14</w:t>
                  </w:r>
                </w:p>
              </w:tc>
              <w:tc>
                <w:tcPr>
                  <w:tcW w:w="728" w:type="dxa"/>
                  <w:vAlign w:val="center"/>
                </w:tcPr>
                <w:p w14:paraId="26CAF0D5">
                  <w:pPr>
                    <w:jc w:val="center"/>
                    <w:rPr>
                      <w:sz w:val="18"/>
                      <w:szCs w:val="18"/>
                    </w:rPr>
                  </w:pPr>
                  <w:r>
                    <w:rPr>
                      <w:rFonts w:hint="eastAsia"/>
                      <w:sz w:val="18"/>
                      <w:szCs w:val="18"/>
                    </w:rPr>
                    <w:t>20700</w:t>
                  </w:r>
                </w:p>
              </w:tc>
              <w:tc>
                <w:tcPr>
                  <w:tcW w:w="727" w:type="dxa"/>
                  <w:vAlign w:val="center"/>
                </w:tcPr>
                <w:p w14:paraId="5285F49E">
                  <w:pPr>
                    <w:jc w:val="center"/>
                    <w:rPr>
                      <w:sz w:val="18"/>
                      <w:szCs w:val="18"/>
                    </w:rPr>
                  </w:pPr>
                  <w:r>
                    <w:rPr>
                      <w:rFonts w:hint="eastAsia"/>
                      <w:sz w:val="18"/>
                      <w:szCs w:val="18"/>
                    </w:rPr>
                    <w:t>126.86</w:t>
                  </w:r>
                </w:p>
              </w:tc>
              <w:tc>
                <w:tcPr>
                  <w:tcW w:w="727" w:type="dxa"/>
                  <w:gridSpan w:val="2"/>
                  <w:vAlign w:val="center"/>
                </w:tcPr>
                <w:p w14:paraId="7806380C">
                  <w:pPr>
                    <w:jc w:val="center"/>
                    <w:rPr>
                      <w:sz w:val="18"/>
                      <w:szCs w:val="18"/>
                    </w:rPr>
                  </w:pPr>
                  <w:r>
                    <w:rPr>
                      <w:rFonts w:hint="eastAsia"/>
                      <w:sz w:val="18"/>
                      <w:szCs w:val="18"/>
                    </w:rPr>
                    <w:t>44400</w:t>
                  </w:r>
                </w:p>
              </w:tc>
              <w:tc>
                <w:tcPr>
                  <w:tcW w:w="727" w:type="dxa"/>
                  <w:gridSpan w:val="2"/>
                  <w:vAlign w:val="center"/>
                </w:tcPr>
                <w:p w14:paraId="21A11EB8">
                  <w:pPr>
                    <w:jc w:val="center"/>
                    <w:rPr>
                      <w:sz w:val="18"/>
                      <w:szCs w:val="18"/>
                    </w:rPr>
                  </w:pPr>
                  <w:r>
                    <w:rPr>
                      <w:rFonts w:hint="eastAsia"/>
                      <w:sz w:val="18"/>
                      <w:szCs w:val="18"/>
                    </w:rPr>
                    <w:t>126.86</w:t>
                  </w:r>
                </w:p>
              </w:tc>
              <w:tc>
                <w:tcPr>
                  <w:tcW w:w="728" w:type="dxa"/>
                  <w:vAlign w:val="center"/>
                </w:tcPr>
                <w:p w14:paraId="3D244426">
                  <w:pPr>
                    <w:jc w:val="center"/>
                    <w:rPr>
                      <w:sz w:val="18"/>
                      <w:szCs w:val="18"/>
                    </w:rPr>
                  </w:pPr>
                  <w:r>
                    <w:rPr>
                      <w:rFonts w:hint="eastAsia"/>
                      <w:sz w:val="18"/>
                      <w:szCs w:val="18"/>
                    </w:rPr>
                    <w:t>44400</w:t>
                  </w:r>
                </w:p>
              </w:tc>
              <w:tc>
                <w:tcPr>
                  <w:tcW w:w="1111" w:type="dxa"/>
                  <w:vMerge w:val="continue"/>
                  <w:vAlign w:val="center"/>
                </w:tcPr>
                <w:p w14:paraId="33572E56">
                  <w:pPr>
                    <w:jc w:val="center"/>
                    <w:rPr>
                      <w:sz w:val="18"/>
                      <w:szCs w:val="18"/>
                    </w:rPr>
                  </w:pPr>
                </w:p>
              </w:tc>
            </w:tr>
            <w:tr w14:paraId="2858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Merge w:val="restart"/>
                  <w:vAlign w:val="center"/>
                </w:tcPr>
                <w:p w14:paraId="424E3A22">
                  <w:pPr>
                    <w:jc w:val="center"/>
                    <w:rPr>
                      <w:b/>
                      <w:bCs/>
                      <w:sz w:val="18"/>
                      <w:szCs w:val="18"/>
                    </w:rPr>
                  </w:pPr>
                  <w:r>
                    <w:rPr>
                      <w:rFonts w:hint="eastAsia"/>
                      <w:b/>
                      <w:bCs/>
                      <w:sz w:val="18"/>
                      <w:szCs w:val="18"/>
                    </w:rPr>
                    <w:t>项目</w:t>
                  </w:r>
                </w:p>
              </w:tc>
              <w:tc>
                <w:tcPr>
                  <w:tcW w:w="5818" w:type="dxa"/>
                  <w:gridSpan w:val="12"/>
                  <w:vAlign w:val="center"/>
                </w:tcPr>
                <w:p w14:paraId="4F5D9C3F">
                  <w:pPr>
                    <w:jc w:val="center"/>
                    <w:rPr>
                      <w:b/>
                      <w:bCs/>
                      <w:sz w:val="18"/>
                      <w:szCs w:val="18"/>
                    </w:rPr>
                  </w:pPr>
                  <w:r>
                    <w:rPr>
                      <w:rFonts w:hint="eastAsia"/>
                      <w:b/>
                      <w:bCs/>
                      <w:sz w:val="18"/>
                      <w:szCs w:val="18"/>
                    </w:rPr>
                    <w:t>生活用水</w:t>
                  </w:r>
                </w:p>
              </w:tc>
              <w:tc>
                <w:tcPr>
                  <w:tcW w:w="1111" w:type="dxa"/>
                  <w:vMerge w:val="restart"/>
                  <w:vAlign w:val="center"/>
                </w:tcPr>
                <w:p w14:paraId="7D9A6D19">
                  <w:pPr>
                    <w:jc w:val="center"/>
                    <w:rPr>
                      <w:b/>
                      <w:bCs/>
                      <w:sz w:val="18"/>
                      <w:szCs w:val="18"/>
                    </w:rPr>
                  </w:pPr>
                  <w:r>
                    <w:rPr>
                      <w:rFonts w:hint="eastAsia"/>
                      <w:b/>
                      <w:bCs/>
                      <w:sz w:val="18"/>
                      <w:szCs w:val="18"/>
                    </w:rPr>
                    <w:t>去向</w:t>
                  </w:r>
                </w:p>
              </w:tc>
            </w:tr>
            <w:tr w14:paraId="54E9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Merge w:val="continue"/>
                  <w:vAlign w:val="center"/>
                </w:tcPr>
                <w:p w14:paraId="1E342A92">
                  <w:pPr>
                    <w:jc w:val="center"/>
                    <w:rPr>
                      <w:sz w:val="18"/>
                      <w:szCs w:val="18"/>
                    </w:rPr>
                  </w:pPr>
                </w:p>
              </w:tc>
              <w:tc>
                <w:tcPr>
                  <w:tcW w:w="1939" w:type="dxa"/>
                  <w:gridSpan w:val="4"/>
                  <w:vAlign w:val="center"/>
                </w:tcPr>
                <w:p w14:paraId="6294E06C">
                  <w:pPr>
                    <w:jc w:val="center"/>
                    <w:rPr>
                      <w:b/>
                      <w:bCs/>
                      <w:sz w:val="18"/>
                      <w:szCs w:val="18"/>
                    </w:rPr>
                  </w:pPr>
                  <w:r>
                    <w:rPr>
                      <w:rFonts w:hint="eastAsia"/>
                      <w:b/>
                      <w:bCs/>
                      <w:sz w:val="18"/>
                      <w:szCs w:val="18"/>
                    </w:rPr>
                    <w:t>用水量</w:t>
                  </w:r>
                </w:p>
              </w:tc>
              <w:tc>
                <w:tcPr>
                  <w:tcW w:w="1940" w:type="dxa"/>
                  <w:gridSpan w:val="4"/>
                  <w:vAlign w:val="center"/>
                </w:tcPr>
                <w:p w14:paraId="5C57D4DC">
                  <w:pPr>
                    <w:jc w:val="center"/>
                    <w:rPr>
                      <w:b/>
                      <w:bCs/>
                      <w:sz w:val="18"/>
                      <w:szCs w:val="18"/>
                    </w:rPr>
                  </w:pPr>
                  <w:r>
                    <w:rPr>
                      <w:rFonts w:hint="eastAsia"/>
                      <w:b/>
                      <w:bCs/>
                      <w:sz w:val="18"/>
                      <w:szCs w:val="18"/>
                    </w:rPr>
                    <w:t>损耗量</w:t>
                  </w:r>
                </w:p>
              </w:tc>
              <w:tc>
                <w:tcPr>
                  <w:tcW w:w="1939" w:type="dxa"/>
                  <w:gridSpan w:val="4"/>
                  <w:vAlign w:val="center"/>
                </w:tcPr>
                <w:p w14:paraId="2120C407">
                  <w:pPr>
                    <w:jc w:val="center"/>
                    <w:rPr>
                      <w:b/>
                      <w:bCs/>
                      <w:sz w:val="18"/>
                      <w:szCs w:val="18"/>
                    </w:rPr>
                  </w:pPr>
                  <w:r>
                    <w:rPr>
                      <w:rFonts w:hint="eastAsia"/>
                      <w:b/>
                      <w:bCs/>
                      <w:sz w:val="18"/>
                      <w:szCs w:val="18"/>
                    </w:rPr>
                    <w:t>污水量</w:t>
                  </w:r>
                </w:p>
              </w:tc>
              <w:tc>
                <w:tcPr>
                  <w:tcW w:w="1111" w:type="dxa"/>
                  <w:vMerge w:val="continue"/>
                  <w:vAlign w:val="center"/>
                </w:tcPr>
                <w:p w14:paraId="2DE56891">
                  <w:pPr>
                    <w:jc w:val="center"/>
                    <w:rPr>
                      <w:sz w:val="18"/>
                      <w:szCs w:val="18"/>
                    </w:rPr>
                  </w:pPr>
                </w:p>
              </w:tc>
            </w:tr>
            <w:tr w14:paraId="0EEB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Merge w:val="continue"/>
                  <w:vAlign w:val="center"/>
                </w:tcPr>
                <w:p w14:paraId="4BBDC081">
                  <w:pPr>
                    <w:jc w:val="center"/>
                    <w:rPr>
                      <w:sz w:val="18"/>
                      <w:szCs w:val="18"/>
                    </w:rPr>
                  </w:pPr>
                </w:p>
              </w:tc>
              <w:tc>
                <w:tcPr>
                  <w:tcW w:w="969" w:type="dxa"/>
                  <w:gridSpan w:val="2"/>
                  <w:vAlign w:val="center"/>
                </w:tcPr>
                <w:p w14:paraId="498EF9B7">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/d</w:t>
                  </w:r>
                </w:p>
              </w:tc>
              <w:tc>
                <w:tcPr>
                  <w:tcW w:w="970" w:type="dxa"/>
                  <w:gridSpan w:val="2"/>
                  <w:vAlign w:val="center"/>
                </w:tcPr>
                <w:p w14:paraId="2683D2F5">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/a</w:t>
                  </w:r>
                </w:p>
              </w:tc>
              <w:tc>
                <w:tcPr>
                  <w:tcW w:w="970" w:type="dxa"/>
                  <w:gridSpan w:val="2"/>
                  <w:vAlign w:val="center"/>
                </w:tcPr>
                <w:p w14:paraId="0D0ECE0E">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/d</w:t>
                  </w:r>
                </w:p>
              </w:tc>
              <w:tc>
                <w:tcPr>
                  <w:tcW w:w="970" w:type="dxa"/>
                  <w:gridSpan w:val="2"/>
                  <w:vAlign w:val="center"/>
                </w:tcPr>
                <w:p w14:paraId="394C6B5E">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/a</w:t>
                  </w:r>
                </w:p>
              </w:tc>
              <w:tc>
                <w:tcPr>
                  <w:tcW w:w="969" w:type="dxa"/>
                  <w:gridSpan w:val="2"/>
                  <w:vAlign w:val="center"/>
                </w:tcPr>
                <w:p w14:paraId="0C03AA22">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/d</w:t>
                  </w:r>
                </w:p>
              </w:tc>
              <w:tc>
                <w:tcPr>
                  <w:tcW w:w="970" w:type="dxa"/>
                  <w:gridSpan w:val="2"/>
                  <w:vAlign w:val="center"/>
                </w:tcPr>
                <w:p w14:paraId="0559385E">
                  <w:pPr>
                    <w:jc w:val="center"/>
                    <w:rPr>
                      <w:sz w:val="18"/>
                      <w:szCs w:val="18"/>
                    </w:rPr>
                  </w:pPr>
                  <w:r>
                    <w:rPr>
                      <w:rFonts w:hint="eastAsia"/>
                      <w:sz w:val="18"/>
                      <w:szCs w:val="18"/>
                    </w:rPr>
                    <w:t>m</w:t>
                  </w:r>
                  <w:r>
                    <w:rPr>
                      <w:rFonts w:hint="eastAsia"/>
                      <w:sz w:val="18"/>
                      <w:szCs w:val="18"/>
                      <w:vertAlign w:val="superscript"/>
                    </w:rPr>
                    <w:t>3</w:t>
                  </w:r>
                  <w:r>
                    <w:rPr>
                      <w:rFonts w:hint="eastAsia"/>
                      <w:sz w:val="18"/>
                      <w:szCs w:val="18"/>
                    </w:rPr>
                    <w:t>/a</w:t>
                  </w:r>
                </w:p>
              </w:tc>
              <w:tc>
                <w:tcPr>
                  <w:tcW w:w="1111" w:type="dxa"/>
                  <w:vMerge w:val="continue"/>
                  <w:vAlign w:val="center"/>
                </w:tcPr>
                <w:p w14:paraId="03A292ED">
                  <w:pPr>
                    <w:jc w:val="center"/>
                    <w:rPr>
                      <w:sz w:val="18"/>
                      <w:szCs w:val="18"/>
                    </w:rPr>
                  </w:pPr>
                </w:p>
              </w:tc>
            </w:tr>
            <w:tr w14:paraId="3741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Align w:val="center"/>
                </w:tcPr>
                <w:p w14:paraId="28930604">
                  <w:pPr>
                    <w:jc w:val="center"/>
                    <w:rPr>
                      <w:sz w:val="18"/>
                      <w:szCs w:val="18"/>
                    </w:rPr>
                  </w:pPr>
                  <w:r>
                    <w:rPr>
                      <w:rFonts w:hint="eastAsia"/>
                      <w:sz w:val="18"/>
                      <w:szCs w:val="18"/>
                    </w:rPr>
                    <w:t>办公大楼</w:t>
                  </w:r>
                </w:p>
              </w:tc>
              <w:tc>
                <w:tcPr>
                  <w:tcW w:w="969" w:type="dxa"/>
                  <w:gridSpan w:val="2"/>
                  <w:vAlign w:val="center"/>
                </w:tcPr>
                <w:p w14:paraId="2B5A93F5">
                  <w:pPr>
                    <w:jc w:val="center"/>
                    <w:rPr>
                      <w:sz w:val="18"/>
                      <w:szCs w:val="18"/>
                    </w:rPr>
                  </w:pPr>
                  <w:r>
                    <w:rPr>
                      <w:rFonts w:hint="eastAsia"/>
                      <w:sz w:val="18"/>
                      <w:szCs w:val="18"/>
                    </w:rPr>
                    <w:t>3.43</w:t>
                  </w:r>
                </w:p>
              </w:tc>
              <w:tc>
                <w:tcPr>
                  <w:tcW w:w="970" w:type="dxa"/>
                  <w:gridSpan w:val="2"/>
                  <w:vAlign w:val="center"/>
                </w:tcPr>
                <w:p w14:paraId="0A189BF8">
                  <w:pPr>
                    <w:jc w:val="center"/>
                    <w:rPr>
                      <w:sz w:val="18"/>
                      <w:szCs w:val="18"/>
                    </w:rPr>
                  </w:pPr>
                  <w:r>
                    <w:rPr>
                      <w:rFonts w:hint="eastAsia"/>
                      <w:sz w:val="18"/>
                      <w:szCs w:val="18"/>
                    </w:rPr>
                    <w:t>1200</w:t>
                  </w:r>
                </w:p>
              </w:tc>
              <w:tc>
                <w:tcPr>
                  <w:tcW w:w="970" w:type="dxa"/>
                  <w:gridSpan w:val="2"/>
                  <w:vAlign w:val="center"/>
                </w:tcPr>
                <w:p w14:paraId="4CEAE2F0">
                  <w:pPr>
                    <w:jc w:val="center"/>
                    <w:rPr>
                      <w:sz w:val="18"/>
                      <w:szCs w:val="18"/>
                    </w:rPr>
                  </w:pPr>
                  <w:r>
                    <w:rPr>
                      <w:rFonts w:hint="eastAsia"/>
                      <w:sz w:val="18"/>
                      <w:szCs w:val="18"/>
                    </w:rPr>
                    <w:t>0.69</w:t>
                  </w:r>
                </w:p>
              </w:tc>
              <w:tc>
                <w:tcPr>
                  <w:tcW w:w="970" w:type="dxa"/>
                  <w:gridSpan w:val="2"/>
                  <w:vAlign w:val="center"/>
                </w:tcPr>
                <w:p w14:paraId="29224F19">
                  <w:pPr>
                    <w:jc w:val="center"/>
                    <w:rPr>
                      <w:sz w:val="18"/>
                      <w:szCs w:val="18"/>
                    </w:rPr>
                  </w:pPr>
                  <w:r>
                    <w:rPr>
                      <w:rFonts w:hint="eastAsia"/>
                      <w:sz w:val="18"/>
                      <w:szCs w:val="18"/>
                    </w:rPr>
                    <w:t>240</w:t>
                  </w:r>
                </w:p>
              </w:tc>
              <w:tc>
                <w:tcPr>
                  <w:tcW w:w="969" w:type="dxa"/>
                  <w:gridSpan w:val="2"/>
                  <w:vAlign w:val="center"/>
                </w:tcPr>
                <w:p w14:paraId="6A10EF38">
                  <w:pPr>
                    <w:jc w:val="center"/>
                    <w:rPr>
                      <w:sz w:val="18"/>
                      <w:szCs w:val="18"/>
                    </w:rPr>
                  </w:pPr>
                  <w:r>
                    <w:rPr>
                      <w:rFonts w:hint="eastAsia"/>
                      <w:sz w:val="18"/>
                      <w:szCs w:val="18"/>
                    </w:rPr>
                    <w:t>2.74</w:t>
                  </w:r>
                </w:p>
              </w:tc>
              <w:tc>
                <w:tcPr>
                  <w:tcW w:w="970" w:type="dxa"/>
                  <w:gridSpan w:val="2"/>
                  <w:vAlign w:val="center"/>
                </w:tcPr>
                <w:p w14:paraId="586DBD37">
                  <w:pPr>
                    <w:jc w:val="center"/>
                    <w:rPr>
                      <w:sz w:val="18"/>
                      <w:szCs w:val="18"/>
                    </w:rPr>
                  </w:pPr>
                  <w:r>
                    <w:rPr>
                      <w:rFonts w:hint="eastAsia"/>
                      <w:sz w:val="18"/>
                      <w:szCs w:val="18"/>
                    </w:rPr>
                    <w:t>960</w:t>
                  </w:r>
                </w:p>
              </w:tc>
              <w:tc>
                <w:tcPr>
                  <w:tcW w:w="1111" w:type="dxa"/>
                  <w:vMerge w:val="restart"/>
                  <w:vAlign w:val="center"/>
                </w:tcPr>
                <w:p w14:paraId="26B635F9">
                  <w:pPr>
                    <w:jc w:val="center"/>
                    <w:rPr>
                      <w:sz w:val="18"/>
                      <w:szCs w:val="18"/>
                    </w:rPr>
                  </w:pPr>
                  <w:r>
                    <w:rPr>
                      <w:rFonts w:hint="eastAsia"/>
                      <w:sz w:val="18"/>
                      <w:szCs w:val="18"/>
                    </w:rPr>
                    <w:t>预处理达标后接入市政污水管网，最终进入羊街镇污水处理站处理</w:t>
                  </w:r>
                </w:p>
              </w:tc>
            </w:tr>
            <w:tr w14:paraId="1DE8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Align w:val="center"/>
                </w:tcPr>
                <w:p w14:paraId="00B4BB13">
                  <w:pPr>
                    <w:jc w:val="center"/>
                    <w:rPr>
                      <w:sz w:val="18"/>
                      <w:szCs w:val="18"/>
                    </w:rPr>
                  </w:pPr>
                  <w:r>
                    <w:rPr>
                      <w:rFonts w:hint="eastAsia"/>
                      <w:sz w:val="18"/>
                      <w:szCs w:val="18"/>
                    </w:rPr>
                    <w:t>职工食堂</w:t>
                  </w:r>
                </w:p>
              </w:tc>
              <w:tc>
                <w:tcPr>
                  <w:tcW w:w="969" w:type="dxa"/>
                  <w:gridSpan w:val="2"/>
                  <w:vAlign w:val="center"/>
                </w:tcPr>
                <w:p w14:paraId="307984AC">
                  <w:pPr>
                    <w:jc w:val="center"/>
                    <w:rPr>
                      <w:sz w:val="18"/>
                      <w:szCs w:val="18"/>
                    </w:rPr>
                  </w:pPr>
                  <w:r>
                    <w:rPr>
                      <w:rFonts w:hint="eastAsia"/>
                      <w:sz w:val="18"/>
                      <w:szCs w:val="18"/>
                    </w:rPr>
                    <w:t>5.71</w:t>
                  </w:r>
                </w:p>
              </w:tc>
              <w:tc>
                <w:tcPr>
                  <w:tcW w:w="970" w:type="dxa"/>
                  <w:gridSpan w:val="2"/>
                  <w:vAlign w:val="center"/>
                </w:tcPr>
                <w:p w14:paraId="113B2CAE">
                  <w:pPr>
                    <w:jc w:val="center"/>
                    <w:rPr>
                      <w:sz w:val="18"/>
                      <w:szCs w:val="18"/>
                    </w:rPr>
                  </w:pPr>
                  <w:r>
                    <w:rPr>
                      <w:rFonts w:hint="eastAsia"/>
                      <w:sz w:val="18"/>
                      <w:szCs w:val="18"/>
                    </w:rPr>
                    <w:t>2000</w:t>
                  </w:r>
                </w:p>
              </w:tc>
              <w:tc>
                <w:tcPr>
                  <w:tcW w:w="970" w:type="dxa"/>
                  <w:gridSpan w:val="2"/>
                  <w:vAlign w:val="center"/>
                </w:tcPr>
                <w:p w14:paraId="40E379E0">
                  <w:pPr>
                    <w:jc w:val="center"/>
                    <w:rPr>
                      <w:sz w:val="18"/>
                      <w:szCs w:val="18"/>
                    </w:rPr>
                  </w:pPr>
                  <w:r>
                    <w:rPr>
                      <w:rFonts w:hint="eastAsia"/>
                      <w:sz w:val="18"/>
                      <w:szCs w:val="18"/>
                    </w:rPr>
                    <w:t>1.14</w:t>
                  </w:r>
                </w:p>
              </w:tc>
              <w:tc>
                <w:tcPr>
                  <w:tcW w:w="970" w:type="dxa"/>
                  <w:gridSpan w:val="2"/>
                  <w:vAlign w:val="center"/>
                </w:tcPr>
                <w:p w14:paraId="1273070C">
                  <w:pPr>
                    <w:jc w:val="center"/>
                    <w:rPr>
                      <w:sz w:val="18"/>
                      <w:szCs w:val="18"/>
                    </w:rPr>
                  </w:pPr>
                  <w:r>
                    <w:rPr>
                      <w:rFonts w:hint="eastAsia"/>
                      <w:sz w:val="18"/>
                      <w:szCs w:val="18"/>
                    </w:rPr>
                    <w:t>400</w:t>
                  </w:r>
                </w:p>
              </w:tc>
              <w:tc>
                <w:tcPr>
                  <w:tcW w:w="969" w:type="dxa"/>
                  <w:gridSpan w:val="2"/>
                  <w:vAlign w:val="center"/>
                </w:tcPr>
                <w:p w14:paraId="71C75EFA">
                  <w:pPr>
                    <w:jc w:val="center"/>
                    <w:rPr>
                      <w:sz w:val="18"/>
                      <w:szCs w:val="18"/>
                    </w:rPr>
                  </w:pPr>
                  <w:r>
                    <w:rPr>
                      <w:rFonts w:hint="eastAsia"/>
                      <w:sz w:val="18"/>
                      <w:szCs w:val="18"/>
                    </w:rPr>
                    <w:t>4.57</w:t>
                  </w:r>
                </w:p>
              </w:tc>
              <w:tc>
                <w:tcPr>
                  <w:tcW w:w="970" w:type="dxa"/>
                  <w:gridSpan w:val="2"/>
                  <w:vAlign w:val="center"/>
                </w:tcPr>
                <w:p w14:paraId="6D8F4186">
                  <w:pPr>
                    <w:jc w:val="center"/>
                    <w:rPr>
                      <w:sz w:val="18"/>
                      <w:szCs w:val="18"/>
                    </w:rPr>
                  </w:pPr>
                  <w:r>
                    <w:rPr>
                      <w:rFonts w:hint="eastAsia"/>
                      <w:sz w:val="18"/>
                      <w:szCs w:val="18"/>
                    </w:rPr>
                    <w:t>1600</w:t>
                  </w:r>
                </w:p>
              </w:tc>
              <w:tc>
                <w:tcPr>
                  <w:tcW w:w="1111" w:type="dxa"/>
                  <w:vMerge w:val="continue"/>
                  <w:vAlign w:val="center"/>
                </w:tcPr>
                <w:p w14:paraId="089381D4">
                  <w:pPr>
                    <w:jc w:val="center"/>
                    <w:rPr>
                      <w:sz w:val="18"/>
                      <w:szCs w:val="18"/>
                    </w:rPr>
                  </w:pPr>
                </w:p>
              </w:tc>
            </w:tr>
            <w:tr w14:paraId="783A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Align w:val="center"/>
                </w:tcPr>
                <w:p w14:paraId="085F4B88">
                  <w:pPr>
                    <w:jc w:val="center"/>
                    <w:rPr>
                      <w:sz w:val="18"/>
                      <w:szCs w:val="18"/>
                    </w:rPr>
                  </w:pPr>
                  <w:r>
                    <w:rPr>
                      <w:rFonts w:hint="eastAsia"/>
                      <w:sz w:val="18"/>
                      <w:szCs w:val="18"/>
                    </w:rPr>
                    <w:t>交易市场用水</w:t>
                  </w:r>
                </w:p>
              </w:tc>
              <w:tc>
                <w:tcPr>
                  <w:tcW w:w="969" w:type="dxa"/>
                  <w:gridSpan w:val="2"/>
                  <w:vAlign w:val="center"/>
                </w:tcPr>
                <w:p w14:paraId="4AE1639E">
                  <w:pPr>
                    <w:jc w:val="center"/>
                    <w:rPr>
                      <w:sz w:val="18"/>
                      <w:szCs w:val="18"/>
                    </w:rPr>
                  </w:pPr>
                  <w:r>
                    <w:rPr>
                      <w:rFonts w:hint="eastAsia"/>
                      <w:sz w:val="18"/>
                      <w:szCs w:val="18"/>
                    </w:rPr>
                    <w:t>14.29</w:t>
                  </w:r>
                </w:p>
              </w:tc>
              <w:tc>
                <w:tcPr>
                  <w:tcW w:w="970" w:type="dxa"/>
                  <w:gridSpan w:val="2"/>
                  <w:vAlign w:val="center"/>
                </w:tcPr>
                <w:p w14:paraId="5A06CE8D">
                  <w:pPr>
                    <w:jc w:val="center"/>
                    <w:rPr>
                      <w:sz w:val="18"/>
                      <w:szCs w:val="18"/>
                    </w:rPr>
                  </w:pPr>
                  <w:r>
                    <w:rPr>
                      <w:rFonts w:hint="eastAsia"/>
                      <w:sz w:val="18"/>
                      <w:szCs w:val="18"/>
                    </w:rPr>
                    <w:t>5000</w:t>
                  </w:r>
                </w:p>
              </w:tc>
              <w:tc>
                <w:tcPr>
                  <w:tcW w:w="970" w:type="dxa"/>
                  <w:gridSpan w:val="2"/>
                  <w:vAlign w:val="center"/>
                </w:tcPr>
                <w:p w14:paraId="43B77B9D">
                  <w:pPr>
                    <w:jc w:val="center"/>
                    <w:rPr>
                      <w:sz w:val="18"/>
                      <w:szCs w:val="18"/>
                    </w:rPr>
                  </w:pPr>
                  <w:r>
                    <w:rPr>
                      <w:rFonts w:hint="eastAsia"/>
                      <w:sz w:val="18"/>
                      <w:szCs w:val="18"/>
                    </w:rPr>
                    <w:t>2.86</w:t>
                  </w:r>
                </w:p>
              </w:tc>
              <w:tc>
                <w:tcPr>
                  <w:tcW w:w="970" w:type="dxa"/>
                  <w:gridSpan w:val="2"/>
                  <w:vAlign w:val="center"/>
                </w:tcPr>
                <w:p w14:paraId="566E5092">
                  <w:pPr>
                    <w:jc w:val="center"/>
                    <w:rPr>
                      <w:sz w:val="18"/>
                      <w:szCs w:val="18"/>
                    </w:rPr>
                  </w:pPr>
                  <w:r>
                    <w:rPr>
                      <w:rFonts w:hint="eastAsia"/>
                      <w:sz w:val="18"/>
                      <w:szCs w:val="18"/>
                    </w:rPr>
                    <w:t>1000</w:t>
                  </w:r>
                </w:p>
              </w:tc>
              <w:tc>
                <w:tcPr>
                  <w:tcW w:w="969" w:type="dxa"/>
                  <w:gridSpan w:val="2"/>
                  <w:vAlign w:val="center"/>
                </w:tcPr>
                <w:p w14:paraId="710E205B">
                  <w:pPr>
                    <w:jc w:val="center"/>
                    <w:rPr>
                      <w:sz w:val="18"/>
                      <w:szCs w:val="18"/>
                    </w:rPr>
                  </w:pPr>
                  <w:r>
                    <w:rPr>
                      <w:rFonts w:hint="eastAsia"/>
                      <w:sz w:val="18"/>
                      <w:szCs w:val="18"/>
                    </w:rPr>
                    <w:t>11.43</w:t>
                  </w:r>
                </w:p>
              </w:tc>
              <w:tc>
                <w:tcPr>
                  <w:tcW w:w="970" w:type="dxa"/>
                  <w:gridSpan w:val="2"/>
                  <w:vAlign w:val="center"/>
                </w:tcPr>
                <w:p w14:paraId="65ABA241">
                  <w:pPr>
                    <w:jc w:val="center"/>
                    <w:rPr>
                      <w:sz w:val="18"/>
                      <w:szCs w:val="18"/>
                    </w:rPr>
                  </w:pPr>
                  <w:r>
                    <w:rPr>
                      <w:rFonts w:hint="eastAsia"/>
                      <w:sz w:val="18"/>
                      <w:szCs w:val="18"/>
                    </w:rPr>
                    <w:t>4000</w:t>
                  </w:r>
                </w:p>
              </w:tc>
              <w:tc>
                <w:tcPr>
                  <w:tcW w:w="1111" w:type="dxa"/>
                  <w:vMerge w:val="continue"/>
                  <w:vAlign w:val="center"/>
                </w:tcPr>
                <w:p w14:paraId="45FC3998">
                  <w:pPr>
                    <w:jc w:val="center"/>
                    <w:rPr>
                      <w:sz w:val="18"/>
                      <w:szCs w:val="18"/>
                    </w:rPr>
                  </w:pPr>
                </w:p>
              </w:tc>
            </w:tr>
            <w:tr w14:paraId="377C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Align w:val="center"/>
                </w:tcPr>
                <w:p w14:paraId="7A7E7806">
                  <w:pPr>
                    <w:jc w:val="center"/>
                    <w:rPr>
                      <w:sz w:val="18"/>
                      <w:szCs w:val="18"/>
                    </w:rPr>
                  </w:pPr>
                  <w:r>
                    <w:rPr>
                      <w:rFonts w:hint="eastAsia"/>
                      <w:sz w:val="18"/>
                      <w:szCs w:val="18"/>
                    </w:rPr>
                    <w:t>交易市场餐馆</w:t>
                  </w:r>
                </w:p>
              </w:tc>
              <w:tc>
                <w:tcPr>
                  <w:tcW w:w="969" w:type="dxa"/>
                  <w:gridSpan w:val="2"/>
                  <w:vAlign w:val="center"/>
                </w:tcPr>
                <w:p w14:paraId="60CF80EE">
                  <w:pPr>
                    <w:jc w:val="center"/>
                    <w:rPr>
                      <w:sz w:val="18"/>
                      <w:szCs w:val="18"/>
                    </w:rPr>
                  </w:pPr>
                  <w:r>
                    <w:rPr>
                      <w:rFonts w:hint="eastAsia"/>
                      <w:sz w:val="18"/>
                      <w:szCs w:val="18"/>
                    </w:rPr>
                    <w:t>42.86</w:t>
                  </w:r>
                </w:p>
              </w:tc>
              <w:tc>
                <w:tcPr>
                  <w:tcW w:w="970" w:type="dxa"/>
                  <w:gridSpan w:val="2"/>
                  <w:vAlign w:val="center"/>
                </w:tcPr>
                <w:p w14:paraId="3B63C870">
                  <w:pPr>
                    <w:jc w:val="center"/>
                    <w:rPr>
                      <w:sz w:val="18"/>
                      <w:szCs w:val="18"/>
                    </w:rPr>
                  </w:pPr>
                  <w:r>
                    <w:rPr>
                      <w:rFonts w:hint="eastAsia"/>
                      <w:sz w:val="18"/>
                      <w:szCs w:val="18"/>
                    </w:rPr>
                    <w:t>15000</w:t>
                  </w:r>
                </w:p>
              </w:tc>
              <w:tc>
                <w:tcPr>
                  <w:tcW w:w="970" w:type="dxa"/>
                  <w:gridSpan w:val="2"/>
                  <w:vAlign w:val="center"/>
                </w:tcPr>
                <w:p w14:paraId="139202F4">
                  <w:pPr>
                    <w:jc w:val="center"/>
                    <w:rPr>
                      <w:sz w:val="18"/>
                      <w:szCs w:val="18"/>
                    </w:rPr>
                  </w:pPr>
                  <w:r>
                    <w:rPr>
                      <w:rFonts w:hint="eastAsia"/>
                      <w:sz w:val="18"/>
                      <w:szCs w:val="18"/>
                    </w:rPr>
                    <w:t>8.57</w:t>
                  </w:r>
                </w:p>
              </w:tc>
              <w:tc>
                <w:tcPr>
                  <w:tcW w:w="970" w:type="dxa"/>
                  <w:gridSpan w:val="2"/>
                  <w:vAlign w:val="center"/>
                </w:tcPr>
                <w:p w14:paraId="3F4499C1">
                  <w:pPr>
                    <w:jc w:val="center"/>
                    <w:rPr>
                      <w:sz w:val="18"/>
                      <w:szCs w:val="18"/>
                    </w:rPr>
                  </w:pPr>
                  <w:r>
                    <w:rPr>
                      <w:rFonts w:hint="eastAsia"/>
                      <w:sz w:val="18"/>
                      <w:szCs w:val="18"/>
                    </w:rPr>
                    <w:t>3000</w:t>
                  </w:r>
                </w:p>
              </w:tc>
              <w:tc>
                <w:tcPr>
                  <w:tcW w:w="969" w:type="dxa"/>
                  <w:gridSpan w:val="2"/>
                  <w:vAlign w:val="center"/>
                </w:tcPr>
                <w:p w14:paraId="638811F8">
                  <w:pPr>
                    <w:jc w:val="center"/>
                    <w:rPr>
                      <w:sz w:val="18"/>
                      <w:szCs w:val="18"/>
                    </w:rPr>
                  </w:pPr>
                  <w:r>
                    <w:rPr>
                      <w:rFonts w:hint="eastAsia"/>
                      <w:sz w:val="18"/>
                      <w:szCs w:val="18"/>
                    </w:rPr>
                    <w:t>34.29</w:t>
                  </w:r>
                </w:p>
              </w:tc>
              <w:tc>
                <w:tcPr>
                  <w:tcW w:w="970" w:type="dxa"/>
                  <w:gridSpan w:val="2"/>
                  <w:vAlign w:val="center"/>
                </w:tcPr>
                <w:p w14:paraId="34CE25E0">
                  <w:pPr>
                    <w:jc w:val="center"/>
                    <w:rPr>
                      <w:sz w:val="18"/>
                      <w:szCs w:val="18"/>
                    </w:rPr>
                  </w:pPr>
                  <w:r>
                    <w:rPr>
                      <w:rFonts w:hint="eastAsia"/>
                      <w:sz w:val="18"/>
                      <w:szCs w:val="18"/>
                    </w:rPr>
                    <w:t>12000</w:t>
                  </w:r>
                </w:p>
              </w:tc>
              <w:tc>
                <w:tcPr>
                  <w:tcW w:w="1111" w:type="dxa"/>
                  <w:vMerge w:val="continue"/>
                  <w:vAlign w:val="center"/>
                </w:tcPr>
                <w:p w14:paraId="7626544C">
                  <w:pPr>
                    <w:jc w:val="center"/>
                    <w:rPr>
                      <w:sz w:val="18"/>
                      <w:szCs w:val="18"/>
                    </w:rPr>
                  </w:pPr>
                </w:p>
              </w:tc>
            </w:tr>
            <w:tr w14:paraId="1806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Align w:val="center"/>
                </w:tcPr>
                <w:p w14:paraId="631CDF3B">
                  <w:pPr>
                    <w:jc w:val="center"/>
                    <w:rPr>
                      <w:sz w:val="18"/>
                      <w:szCs w:val="18"/>
                    </w:rPr>
                  </w:pPr>
                  <w:r>
                    <w:rPr>
                      <w:rFonts w:hint="eastAsia"/>
                      <w:sz w:val="18"/>
                      <w:szCs w:val="18"/>
                    </w:rPr>
                    <w:t>交易市场牛饮</w:t>
                  </w:r>
                </w:p>
              </w:tc>
              <w:tc>
                <w:tcPr>
                  <w:tcW w:w="969" w:type="dxa"/>
                  <w:gridSpan w:val="2"/>
                  <w:vAlign w:val="center"/>
                </w:tcPr>
                <w:p w14:paraId="65ACC654">
                  <w:pPr>
                    <w:jc w:val="center"/>
                    <w:rPr>
                      <w:sz w:val="18"/>
                      <w:szCs w:val="18"/>
                    </w:rPr>
                  </w:pPr>
                  <w:r>
                    <w:rPr>
                      <w:rFonts w:hint="eastAsia"/>
                      <w:sz w:val="18"/>
                      <w:szCs w:val="18"/>
                    </w:rPr>
                    <w:t>44.00</w:t>
                  </w:r>
                </w:p>
              </w:tc>
              <w:tc>
                <w:tcPr>
                  <w:tcW w:w="970" w:type="dxa"/>
                  <w:gridSpan w:val="2"/>
                  <w:vAlign w:val="center"/>
                </w:tcPr>
                <w:p w14:paraId="3346D544">
                  <w:pPr>
                    <w:jc w:val="center"/>
                    <w:rPr>
                      <w:sz w:val="18"/>
                      <w:szCs w:val="18"/>
                    </w:rPr>
                  </w:pPr>
                  <w:r>
                    <w:rPr>
                      <w:rFonts w:hint="eastAsia"/>
                      <w:sz w:val="18"/>
                      <w:szCs w:val="18"/>
                    </w:rPr>
                    <w:t>15400</w:t>
                  </w:r>
                </w:p>
              </w:tc>
              <w:tc>
                <w:tcPr>
                  <w:tcW w:w="970" w:type="dxa"/>
                  <w:gridSpan w:val="2"/>
                  <w:vAlign w:val="center"/>
                </w:tcPr>
                <w:p w14:paraId="304173EF">
                  <w:pPr>
                    <w:jc w:val="center"/>
                    <w:rPr>
                      <w:sz w:val="18"/>
                      <w:szCs w:val="18"/>
                    </w:rPr>
                  </w:pPr>
                  <w:r>
                    <w:rPr>
                      <w:rFonts w:hint="eastAsia"/>
                      <w:sz w:val="18"/>
                      <w:szCs w:val="18"/>
                    </w:rPr>
                    <w:t>44.00</w:t>
                  </w:r>
                </w:p>
              </w:tc>
              <w:tc>
                <w:tcPr>
                  <w:tcW w:w="970" w:type="dxa"/>
                  <w:gridSpan w:val="2"/>
                  <w:vAlign w:val="center"/>
                </w:tcPr>
                <w:p w14:paraId="2D1CF4B6">
                  <w:pPr>
                    <w:jc w:val="center"/>
                    <w:rPr>
                      <w:sz w:val="18"/>
                      <w:szCs w:val="18"/>
                    </w:rPr>
                  </w:pPr>
                  <w:r>
                    <w:rPr>
                      <w:rFonts w:hint="eastAsia"/>
                      <w:sz w:val="18"/>
                      <w:szCs w:val="18"/>
                    </w:rPr>
                    <w:t>15400</w:t>
                  </w:r>
                </w:p>
              </w:tc>
              <w:tc>
                <w:tcPr>
                  <w:tcW w:w="969" w:type="dxa"/>
                  <w:gridSpan w:val="2"/>
                  <w:vAlign w:val="center"/>
                </w:tcPr>
                <w:p w14:paraId="5A09757C">
                  <w:pPr>
                    <w:jc w:val="center"/>
                    <w:rPr>
                      <w:sz w:val="18"/>
                      <w:szCs w:val="18"/>
                    </w:rPr>
                  </w:pPr>
                  <w:r>
                    <w:rPr>
                      <w:rFonts w:hint="eastAsia"/>
                      <w:sz w:val="18"/>
                      <w:szCs w:val="18"/>
                    </w:rPr>
                    <w:t>0</w:t>
                  </w:r>
                </w:p>
              </w:tc>
              <w:tc>
                <w:tcPr>
                  <w:tcW w:w="970" w:type="dxa"/>
                  <w:gridSpan w:val="2"/>
                  <w:vAlign w:val="center"/>
                </w:tcPr>
                <w:p w14:paraId="537F4D54">
                  <w:pPr>
                    <w:jc w:val="center"/>
                    <w:rPr>
                      <w:sz w:val="18"/>
                      <w:szCs w:val="18"/>
                    </w:rPr>
                  </w:pPr>
                  <w:r>
                    <w:rPr>
                      <w:rFonts w:hint="eastAsia"/>
                      <w:sz w:val="18"/>
                      <w:szCs w:val="18"/>
                    </w:rPr>
                    <w:t>0</w:t>
                  </w:r>
                </w:p>
              </w:tc>
              <w:tc>
                <w:tcPr>
                  <w:tcW w:w="1111" w:type="dxa"/>
                  <w:vMerge w:val="continue"/>
                  <w:vAlign w:val="center"/>
                </w:tcPr>
                <w:p w14:paraId="37ECF1D6">
                  <w:pPr>
                    <w:jc w:val="center"/>
                    <w:rPr>
                      <w:sz w:val="18"/>
                      <w:szCs w:val="18"/>
                    </w:rPr>
                  </w:pPr>
                </w:p>
              </w:tc>
            </w:tr>
            <w:tr w14:paraId="73CC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Align w:val="center"/>
                </w:tcPr>
                <w:p w14:paraId="76A8B96A">
                  <w:pPr>
                    <w:jc w:val="center"/>
                    <w:rPr>
                      <w:sz w:val="18"/>
                      <w:szCs w:val="18"/>
                    </w:rPr>
                  </w:pPr>
                  <w:r>
                    <w:rPr>
                      <w:rFonts w:hint="eastAsia"/>
                      <w:sz w:val="18"/>
                      <w:szCs w:val="18"/>
                    </w:rPr>
                    <w:t>冷库用水</w:t>
                  </w:r>
                </w:p>
              </w:tc>
              <w:tc>
                <w:tcPr>
                  <w:tcW w:w="969" w:type="dxa"/>
                  <w:gridSpan w:val="2"/>
                  <w:vAlign w:val="center"/>
                </w:tcPr>
                <w:p w14:paraId="41DE05CD">
                  <w:pPr>
                    <w:jc w:val="center"/>
                    <w:rPr>
                      <w:sz w:val="18"/>
                      <w:szCs w:val="18"/>
                    </w:rPr>
                  </w:pPr>
                  <w:r>
                    <w:rPr>
                      <w:rFonts w:hint="eastAsia"/>
                      <w:sz w:val="18"/>
                      <w:szCs w:val="18"/>
                    </w:rPr>
                    <w:t>2.57</w:t>
                  </w:r>
                </w:p>
              </w:tc>
              <w:tc>
                <w:tcPr>
                  <w:tcW w:w="970" w:type="dxa"/>
                  <w:gridSpan w:val="2"/>
                  <w:vAlign w:val="center"/>
                </w:tcPr>
                <w:p w14:paraId="72836790">
                  <w:pPr>
                    <w:jc w:val="center"/>
                    <w:rPr>
                      <w:sz w:val="18"/>
                      <w:szCs w:val="18"/>
                    </w:rPr>
                  </w:pPr>
                  <w:r>
                    <w:rPr>
                      <w:rFonts w:hint="eastAsia"/>
                      <w:sz w:val="18"/>
                      <w:szCs w:val="18"/>
                    </w:rPr>
                    <w:t>900</w:t>
                  </w:r>
                </w:p>
              </w:tc>
              <w:tc>
                <w:tcPr>
                  <w:tcW w:w="970" w:type="dxa"/>
                  <w:gridSpan w:val="2"/>
                  <w:vAlign w:val="center"/>
                </w:tcPr>
                <w:p w14:paraId="7D9171B2">
                  <w:pPr>
                    <w:jc w:val="center"/>
                    <w:rPr>
                      <w:sz w:val="18"/>
                      <w:szCs w:val="18"/>
                    </w:rPr>
                  </w:pPr>
                  <w:r>
                    <w:rPr>
                      <w:rFonts w:hint="eastAsia"/>
                      <w:sz w:val="18"/>
                      <w:szCs w:val="18"/>
                    </w:rPr>
                    <w:t>0.51</w:t>
                  </w:r>
                </w:p>
              </w:tc>
              <w:tc>
                <w:tcPr>
                  <w:tcW w:w="970" w:type="dxa"/>
                  <w:gridSpan w:val="2"/>
                  <w:vAlign w:val="center"/>
                </w:tcPr>
                <w:p w14:paraId="66B9B957">
                  <w:pPr>
                    <w:jc w:val="center"/>
                    <w:rPr>
                      <w:sz w:val="18"/>
                      <w:szCs w:val="18"/>
                    </w:rPr>
                  </w:pPr>
                  <w:r>
                    <w:rPr>
                      <w:rFonts w:hint="eastAsia"/>
                      <w:sz w:val="18"/>
                      <w:szCs w:val="18"/>
                    </w:rPr>
                    <w:t>180</w:t>
                  </w:r>
                </w:p>
              </w:tc>
              <w:tc>
                <w:tcPr>
                  <w:tcW w:w="969" w:type="dxa"/>
                  <w:gridSpan w:val="2"/>
                  <w:vAlign w:val="center"/>
                </w:tcPr>
                <w:p w14:paraId="4FC3ACE7">
                  <w:pPr>
                    <w:jc w:val="center"/>
                    <w:rPr>
                      <w:sz w:val="18"/>
                      <w:szCs w:val="18"/>
                    </w:rPr>
                  </w:pPr>
                  <w:r>
                    <w:rPr>
                      <w:rFonts w:hint="eastAsia"/>
                      <w:sz w:val="18"/>
                      <w:szCs w:val="18"/>
                    </w:rPr>
                    <w:t>2.06</w:t>
                  </w:r>
                </w:p>
              </w:tc>
              <w:tc>
                <w:tcPr>
                  <w:tcW w:w="970" w:type="dxa"/>
                  <w:gridSpan w:val="2"/>
                  <w:vAlign w:val="center"/>
                </w:tcPr>
                <w:p w14:paraId="2176532D">
                  <w:pPr>
                    <w:jc w:val="center"/>
                    <w:rPr>
                      <w:sz w:val="18"/>
                      <w:szCs w:val="18"/>
                    </w:rPr>
                  </w:pPr>
                  <w:r>
                    <w:rPr>
                      <w:rFonts w:hint="eastAsia"/>
                      <w:sz w:val="18"/>
                      <w:szCs w:val="18"/>
                    </w:rPr>
                    <w:t>720</w:t>
                  </w:r>
                </w:p>
              </w:tc>
              <w:tc>
                <w:tcPr>
                  <w:tcW w:w="1111" w:type="dxa"/>
                  <w:vMerge w:val="continue"/>
                  <w:vAlign w:val="center"/>
                </w:tcPr>
                <w:p w14:paraId="20CD01D9">
                  <w:pPr>
                    <w:jc w:val="center"/>
                    <w:rPr>
                      <w:sz w:val="18"/>
                      <w:szCs w:val="18"/>
                    </w:rPr>
                  </w:pPr>
                </w:p>
              </w:tc>
            </w:tr>
            <w:tr w14:paraId="79D6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61" w:type="dxa"/>
                  <w:vAlign w:val="center"/>
                </w:tcPr>
                <w:p w14:paraId="4925D21B">
                  <w:pPr>
                    <w:jc w:val="center"/>
                    <w:rPr>
                      <w:sz w:val="18"/>
                      <w:szCs w:val="18"/>
                    </w:rPr>
                  </w:pPr>
                  <w:r>
                    <w:rPr>
                      <w:rFonts w:hint="eastAsia"/>
                      <w:sz w:val="18"/>
                      <w:szCs w:val="18"/>
                    </w:rPr>
                    <w:t>合计</w:t>
                  </w:r>
                </w:p>
              </w:tc>
              <w:tc>
                <w:tcPr>
                  <w:tcW w:w="969" w:type="dxa"/>
                  <w:gridSpan w:val="2"/>
                  <w:vAlign w:val="center"/>
                </w:tcPr>
                <w:p w14:paraId="4AFA25E8">
                  <w:pPr>
                    <w:jc w:val="center"/>
                    <w:rPr>
                      <w:sz w:val="18"/>
                      <w:szCs w:val="18"/>
                    </w:rPr>
                  </w:pPr>
                  <w:r>
                    <w:rPr>
                      <w:rFonts w:hint="eastAsia"/>
                      <w:sz w:val="18"/>
                      <w:szCs w:val="18"/>
                    </w:rPr>
                    <w:t>112.86</w:t>
                  </w:r>
                </w:p>
              </w:tc>
              <w:tc>
                <w:tcPr>
                  <w:tcW w:w="970" w:type="dxa"/>
                  <w:gridSpan w:val="2"/>
                  <w:vAlign w:val="center"/>
                </w:tcPr>
                <w:p w14:paraId="4F9F2588">
                  <w:pPr>
                    <w:jc w:val="center"/>
                    <w:rPr>
                      <w:sz w:val="18"/>
                      <w:szCs w:val="18"/>
                    </w:rPr>
                  </w:pPr>
                  <w:r>
                    <w:rPr>
                      <w:rFonts w:hint="eastAsia"/>
                      <w:sz w:val="18"/>
                      <w:szCs w:val="18"/>
                    </w:rPr>
                    <w:t>39500</w:t>
                  </w:r>
                </w:p>
              </w:tc>
              <w:tc>
                <w:tcPr>
                  <w:tcW w:w="970" w:type="dxa"/>
                  <w:gridSpan w:val="2"/>
                  <w:vAlign w:val="center"/>
                </w:tcPr>
                <w:p w14:paraId="798D15C9">
                  <w:pPr>
                    <w:jc w:val="center"/>
                    <w:rPr>
                      <w:sz w:val="18"/>
                      <w:szCs w:val="18"/>
                    </w:rPr>
                  </w:pPr>
                  <w:r>
                    <w:rPr>
                      <w:rFonts w:hint="eastAsia"/>
                      <w:sz w:val="18"/>
                      <w:szCs w:val="18"/>
                    </w:rPr>
                    <w:t>57.77</w:t>
                  </w:r>
                </w:p>
              </w:tc>
              <w:tc>
                <w:tcPr>
                  <w:tcW w:w="970" w:type="dxa"/>
                  <w:gridSpan w:val="2"/>
                  <w:vAlign w:val="center"/>
                </w:tcPr>
                <w:p w14:paraId="763FAB3B">
                  <w:pPr>
                    <w:jc w:val="center"/>
                    <w:rPr>
                      <w:sz w:val="18"/>
                      <w:szCs w:val="18"/>
                    </w:rPr>
                  </w:pPr>
                  <w:r>
                    <w:rPr>
                      <w:rFonts w:hint="eastAsia"/>
                      <w:sz w:val="18"/>
                      <w:szCs w:val="18"/>
                    </w:rPr>
                    <w:t>20220</w:t>
                  </w:r>
                </w:p>
              </w:tc>
              <w:tc>
                <w:tcPr>
                  <w:tcW w:w="969" w:type="dxa"/>
                  <w:gridSpan w:val="2"/>
                  <w:vAlign w:val="center"/>
                </w:tcPr>
                <w:p w14:paraId="3489BE6D">
                  <w:pPr>
                    <w:jc w:val="center"/>
                    <w:rPr>
                      <w:sz w:val="18"/>
                      <w:szCs w:val="18"/>
                    </w:rPr>
                  </w:pPr>
                  <w:r>
                    <w:rPr>
                      <w:rFonts w:hint="eastAsia"/>
                      <w:sz w:val="18"/>
                      <w:szCs w:val="18"/>
                    </w:rPr>
                    <w:t>55.09</w:t>
                  </w:r>
                </w:p>
              </w:tc>
              <w:tc>
                <w:tcPr>
                  <w:tcW w:w="970" w:type="dxa"/>
                  <w:gridSpan w:val="2"/>
                  <w:vAlign w:val="center"/>
                </w:tcPr>
                <w:p w14:paraId="65DEF0BD">
                  <w:pPr>
                    <w:jc w:val="center"/>
                    <w:rPr>
                      <w:sz w:val="18"/>
                      <w:szCs w:val="18"/>
                    </w:rPr>
                  </w:pPr>
                  <w:r>
                    <w:rPr>
                      <w:rFonts w:hint="eastAsia"/>
                      <w:sz w:val="18"/>
                      <w:szCs w:val="18"/>
                    </w:rPr>
                    <w:t>19280</w:t>
                  </w:r>
                </w:p>
              </w:tc>
              <w:tc>
                <w:tcPr>
                  <w:tcW w:w="1111" w:type="dxa"/>
                  <w:vMerge w:val="continue"/>
                  <w:vAlign w:val="center"/>
                </w:tcPr>
                <w:p w14:paraId="235B1F8F">
                  <w:pPr>
                    <w:jc w:val="center"/>
                    <w:rPr>
                      <w:sz w:val="18"/>
                      <w:szCs w:val="18"/>
                    </w:rPr>
                  </w:pPr>
                </w:p>
              </w:tc>
            </w:tr>
            <w:bookmarkEnd w:id="8"/>
          </w:tbl>
          <w:p w14:paraId="3608917A">
            <w:pPr>
              <w:rPr>
                <w:sz w:val="24"/>
              </w:rPr>
            </w:pPr>
          </w:p>
          <w:p w14:paraId="29292926">
            <w:pPr>
              <w:pStyle w:val="36"/>
              <w:ind w:firstLine="480"/>
              <w:rPr>
                <w:rFonts w:cs="Times New Roman"/>
                <w:spacing w:val="0"/>
                <w:lang w:eastAsia="zh-CN"/>
              </w:rPr>
            </w:pPr>
            <w:bookmarkStart w:id="9" w:name="_Hlk218080725"/>
            <w:r>
              <w:rPr>
                <w:rFonts w:cs="Times New Roman"/>
                <w:spacing w:val="0"/>
                <w:lang w:eastAsia="zh-CN"/>
              </w:rPr>
              <w:t>寻甸县属低纬高原季风气候，干旱少雨</w:t>
            </w:r>
            <w:r>
              <w:rPr>
                <w:rFonts w:hint="eastAsia" w:cs="Times New Roman"/>
                <w:spacing w:val="0"/>
                <w:lang w:eastAsia="zh-CN"/>
              </w:rPr>
              <w:t>。项目达产年工作350d，晴天按200d，雨天按150d计。</w:t>
            </w:r>
            <w:r>
              <w:rPr>
                <w:rFonts w:cs="Times New Roman"/>
                <w:spacing w:val="0"/>
                <w:lang w:eastAsia="zh-CN"/>
              </w:rPr>
              <w:t>根据《云南省用水定额（2019年版）》，</w:t>
            </w:r>
            <w:r>
              <w:rPr>
                <w:rFonts w:hint="eastAsia" w:cs="Times New Roman"/>
                <w:spacing w:val="0"/>
                <w:lang w:eastAsia="zh-CN"/>
              </w:rPr>
              <w:t>结合厂区现有绿化、洒水降尘情况，核算</w:t>
            </w:r>
            <w:r>
              <w:rPr>
                <w:rFonts w:cs="Times New Roman"/>
                <w:spacing w:val="0"/>
                <w:lang w:eastAsia="zh-CN"/>
              </w:rPr>
              <w:t>绿化、洒水降尘</w:t>
            </w:r>
            <w:r>
              <w:rPr>
                <w:rFonts w:hint="eastAsia" w:cs="Times New Roman"/>
                <w:spacing w:val="0"/>
                <w:lang w:eastAsia="zh-CN"/>
              </w:rPr>
              <w:t>用水量，详见表2-6。</w:t>
            </w:r>
          </w:p>
          <w:p w14:paraId="7E176821">
            <w:pPr>
              <w:pStyle w:val="29"/>
              <w:outlineLvl w:val="9"/>
              <w:rPr>
                <w:rFonts w:hint="default"/>
              </w:rPr>
            </w:pPr>
            <w:bookmarkStart w:id="10" w:name="_Hlk218525051"/>
            <w:r>
              <w:t>表2-6 项目生产废水综合利用情况表</w:t>
            </w:r>
          </w:p>
          <w:tbl>
            <w:tblPr>
              <w:tblStyle w:val="22"/>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139"/>
              <w:gridCol w:w="1399"/>
              <w:gridCol w:w="1711"/>
              <w:gridCol w:w="1559"/>
              <w:gridCol w:w="1398"/>
            </w:tblGrid>
            <w:tr w14:paraId="2763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41" w:type="pct"/>
                  <w:gridSpan w:val="2"/>
                  <w:vAlign w:val="center"/>
                </w:tcPr>
                <w:p w14:paraId="6302A91B">
                  <w:pPr>
                    <w:pStyle w:val="31"/>
                    <w:rPr>
                      <w:b/>
                      <w:bCs/>
                    </w:rPr>
                  </w:pPr>
                  <w:r>
                    <w:rPr>
                      <w:rFonts w:hint="eastAsia"/>
                      <w:b/>
                      <w:bCs/>
                    </w:rPr>
                    <w:t>用水类型</w:t>
                  </w:r>
                </w:p>
              </w:tc>
              <w:tc>
                <w:tcPr>
                  <w:tcW w:w="844" w:type="pct"/>
                  <w:vAlign w:val="center"/>
                </w:tcPr>
                <w:p w14:paraId="781E5908">
                  <w:pPr>
                    <w:pStyle w:val="31"/>
                    <w:rPr>
                      <w:b/>
                      <w:bCs/>
                    </w:rPr>
                  </w:pPr>
                  <w:r>
                    <w:rPr>
                      <w:rFonts w:hint="eastAsia"/>
                      <w:b/>
                      <w:bCs/>
                    </w:rPr>
                    <w:t>面积</w:t>
                  </w:r>
                </w:p>
              </w:tc>
              <w:tc>
                <w:tcPr>
                  <w:tcW w:w="1032" w:type="pct"/>
                  <w:vAlign w:val="center"/>
                </w:tcPr>
                <w:p w14:paraId="60388ACB">
                  <w:pPr>
                    <w:pStyle w:val="31"/>
                    <w:rPr>
                      <w:b/>
                      <w:bCs/>
                    </w:rPr>
                  </w:pPr>
                  <w:r>
                    <w:rPr>
                      <w:rFonts w:hint="eastAsia"/>
                      <w:b/>
                      <w:bCs/>
                    </w:rPr>
                    <w:t>用水定额</w:t>
                  </w:r>
                </w:p>
              </w:tc>
              <w:tc>
                <w:tcPr>
                  <w:tcW w:w="940" w:type="pct"/>
                  <w:vAlign w:val="center"/>
                </w:tcPr>
                <w:p w14:paraId="3F4A7B25">
                  <w:pPr>
                    <w:pStyle w:val="31"/>
                    <w:rPr>
                      <w:b/>
                      <w:bCs/>
                    </w:rPr>
                  </w:pPr>
                  <w:r>
                    <w:rPr>
                      <w:rFonts w:hint="eastAsia"/>
                      <w:b/>
                      <w:bCs/>
                    </w:rPr>
                    <w:t>用水量</w:t>
                  </w:r>
                </w:p>
              </w:tc>
              <w:tc>
                <w:tcPr>
                  <w:tcW w:w="843" w:type="pct"/>
                  <w:vAlign w:val="center"/>
                </w:tcPr>
                <w:p w14:paraId="5A2523B5">
                  <w:pPr>
                    <w:pStyle w:val="31"/>
                    <w:rPr>
                      <w:b/>
                      <w:bCs/>
                    </w:rPr>
                  </w:pPr>
                  <w:r>
                    <w:rPr>
                      <w:rFonts w:hint="eastAsia"/>
                      <w:b/>
                      <w:bCs/>
                    </w:rPr>
                    <w:t>备注</w:t>
                  </w:r>
                </w:p>
              </w:tc>
            </w:tr>
            <w:tr w14:paraId="707E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41" w:type="pct"/>
                  <w:gridSpan w:val="2"/>
                  <w:vAlign w:val="center"/>
                </w:tcPr>
                <w:p w14:paraId="212A4784">
                  <w:pPr>
                    <w:pStyle w:val="31"/>
                  </w:pPr>
                  <w:r>
                    <w:rPr>
                      <w:rFonts w:hint="eastAsia"/>
                    </w:rPr>
                    <w:t>绿化</w:t>
                  </w:r>
                </w:p>
              </w:tc>
              <w:tc>
                <w:tcPr>
                  <w:tcW w:w="844" w:type="pct"/>
                  <w:vAlign w:val="center"/>
                </w:tcPr>
                <w:p w14:paraId="6E0664D9">
                  <w:pPr>
                    <w:pStyle w:val="31"/>
                  </w:pPr>
                  <w:r>
                    <w:rPr>
                      <w:rFonts w:hint="eastAsia"/>
                    </w:rPr>
                    <w:t>15334m</w:t>
                  </w:r>
                  <w:r>
                    <w:rPr>
                      <w:rFonts w:hint="eastAsia"/>
                      <w:vertAlign w:val="superscript"/>
                    </w:rPr>
                    <w:t>2</w:t>
                  </w:r>
                </w:p>
              </w:tc>
              <w:tc>
                <w:tcPr>
                  <w:tcW w:w="1032" w:type="pct"/>
                  <w:vAlign w:val="center"/>
                </w:tcPr>
                <w:p w14:paraId="3EE775DF">
                  <w:pPr>
                    <w:pStyle w:val="31"/>
                  </w:pPr>
                  <w:r>
                    <w:rPr>
                      <w:rFonts w:hint="eastAsia"/>
                    </w:rPr>
                    <w:t>3L/（m</w:t>
                  </w:r>
                  <w:r>
                    <w:rPr>
                      <w:rFonts w:hint="eastAsia"/>
                      <w:vertAlign w:val="superscript"/>
                    </w:rPr>
                    <w:t>2</w:t>
                  </w:r>
                  <w:r>
                    <w:rPr>
                      <w:rFonts w:hint="eastAsia"/>
                    </w:rPr>
                    <w:t>•次）</w:t>
                  </w:r>
                </w:p>
              </w:tc>
              <w:tc>
                <w:tcPr>
                  <w:tcW w:w="940" w:type="pct"/>
                  <w:vAlign w:val="center"/>
                </w:tcPr>
                <w:p w14:paraId="0657C721">
                  <w:pPr>
                    <w:pStyle w:val="31"/>
                  </w:pPr>
                  <w:r>
                    <w:rPr>
                      <w:rFonts w:hint="eastAsia"/>
                    </w:rPr>
                    <w:t>92.0</w:t>
                  </w:r>
                  <w:r>
                    <w:rPr>
                      <w:color w:val="000000"/>
                      <w:lang w:bidi="ar"/>
                    </w:rPr>
                    <w:t>m</w:t>
                  </w:r>
                  <w:r>
                    <w:rPr>
                      <w:color w:val="000000"/>
                      <w:vertAlign w:val="superscript"/>
                      <w:lang w:bidi="ar"/>
                    </w:rPr>
                    <w:t>3</w:t>
                  </w:r>
                  <w:r>
                    <w:rPr>
                      <w:color w:val="000000"/>
                      <w:lang w:bidi="ar"/>
                    </w:rPr>
                    <w:t>/d</w:t>
                  </w:r>
                </w:p>
              </w:tc>
              <w:tc>
                <w:tcPr>
                  <w:tcW w:w="843" w:type="pct"/>
                  <w:vMerge w:val="restart"/>
                  <w:vAlign w:val="center"/>
                </w:tcPr>
                <w:p w14:paraId="0D53ECBA">
                  <w:pPr>
                    <w:pStyle w:val="31"/>
                  </w:pPr>
                  <w:r>
                    <w:rPr>
                      <w:rFonts w:hint="eastAsia"/>
                    </w:rPr>
                    <w:t>按用水</w:t>
                  </w:r>
                </w:p>
                <w:p w14:paraId="3179245D">
                  <w:pPr>
                    <w:pStyle w:val="31"/>
                  </w:pPr>
                  <w:r>
                    <w:rPr>
                      <w:rFonts w:hint="eastAsia"/>
                    </w:rPr>
                    <w:t>2次/d计</w:t>
                  </w:r>
                </w:p>
              </w:tc>
            </w:tr>
            <w:tr w14:paraId="5244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654" w:type="pct"/>
                  <w:vMerge w:val="restart"/>
                  <w:vAlign w:val="center"/>
                </w:tcPr>
                <w:p w14:paraId="5303BE12">
                  <w:pPr>
                    <w:pStyle w:val="31"/>
                  </w:pPr>
                  <w:r>
                    <w:rPr>
                      <w:rFonts w:hint="eastAsia"/>
                    </w:rPr>
                    <w:t>洒水降尘</w:t>
                  </w:r>
                </w:p>
              </w:tc>
              <w:tc>
                <w:tcPr>
                  <w:tcW w:w="687" w:type="pct"/>
                  <w:vAlign w:val="center"/>
                </w:tcPr>
                <w:p w14:paraId="01F8418B">
                  <w:pPr>
                    <w:pStyle w:val="31"/>
                  </w:pPr>
                  <w:r>
                    <w:rPr>
                      <w:rFonts w:hint="eastAsia"/>
                    </w:rPr>
                    <w:t>场地</w:t>
                  </w:r>
                </w:p>
              </w:tc>
              <w:tc>
                <w:tcPr>
                  <w:tcW w:w="844" w:type="pct"/>
                  <w:vAlign w:val="center"/>
                </w:tcPr>
                <w:p w14:paraId="519FA077">
                  <w:pPr>
                    <w:pStyle w:val="31"/>
                  </w:pPr>
                  <w:r>
                    <w:rPr>
                      <w:rFonts w:hint="eastAsia"/>
                    </w:rPr>
                    <w:t>39800m</w:t>
                  </w:r>
                  <w:r>
                    <w:rPr>
                      <w:rFonts w:hint="eastAsia"/>
                      <w:vertAlign w:val="superscript"/>
                    </w:rPr>
                    <w:t>2</w:t>
                  </w:r>
                </w:p>
              </w:tc>
              <w:tc>
                <w:tcPr>
                  <w:tcW w:w="1032" w:type="pct"/>
                  <w:vMerge w:val="restart"/>
                  <w:vAlign w:val="center"/>
                </w:tcPr>
                <w:p w14:paraId="44050F35">
                  <w:pPr>
                    <w:pStyle w:val="31"/>
                  </w:pPr>
                  <w:r>
                    <w:rPr>
                      <w:rFonts w:hint="eastAsia"/>
                    </w:rPr>
                    <w:t>2L/（m</w:t>
                  </w:r>
                  <w:r>
                    <w:rPr>
                      <w:rFonts w:hint="eastAsia"/>
                      <w:vertAlign w:val="superscript"/>
                    </w:rPr>
                    <w:t>2</w:t>
                  </w:r>
                  <w:r>
                    <w:rPr>
                      <w:rFonts w:hint="eastAsia"/>
                    </w:rPr>
                    <w:t>•次）</w:t>
                  </w:r>
                </w:p>
              </w:tc>
              <w:tc>
                <w:tcPr>
                  <w:tcW w:w="940" w:type="pct"/>
                  <w:vAlign w:val="center"/>
                </w:tcPr>
                <w:p w14:paraId="73DBCC98">
                  <w:pPr>
                    <w:pStyle w:val="31"/>
                  </w:pPr>
                  <w:r>
                    <w:rPr>
                      <w:rFonts w:hint="eastAsia"/>
                    </w:rPr>
                    <w:t>159.2</w:t>
                  </w:r>
                  <w:r>
                    <w:rPr>
                      <w:color w:val="000000"/>
                      <w:lang w:bidi="ar"/>
                    </w:rPr>
                    <w:t>m</w:t>
                  </w:r>
                  <w:r>
                    <w:rPr>
                      <w:color w:val="000000"/>
                      <w:vertAlign w:val="superscript"/>
                      <w:lang w:bidi="ar"/>
                    </w:rPr>
                    <w:t>3</w:t>
                  </w:r>
                  <w:r>
                    <w:rPr>
                      <w:color w:val="000000"/>
                      <w:lang w:bidi="ar"/>
                    </w:rPr>
                    <w:t>/d</w:t>
                  </w:r>
                </w:p>
              </w:tc>
              <w:tc>
                <w:tcPr>
                  <w:tcW w:w="843" w:type="pct"/>
                  <w:vMerge w:val="continue"/>
                  <w:vAlign w:val="center"/>
                </w:tcPr>
                <w:p w14:paraId="4F2F799E">
                  <w:pPr>
                    <w:pStyle w:val="31"/>
                  </w:pPr>
                </w:p>
              </w:tc>
            </w:tr>
            <w:tr w14:paraId="0E6E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654" w:type="pct"/>
                  <w:vMerge w:val="continue"/>
                  <w:vAlign w:val="center"/>
                </w:tcPr>
                <w:p w14:paraId="3BBD03C8">
                  <w:pPr>
                    <w:pStyle w:val="31"/>
                  </w:pPr>
                </w:p>
              </w:tc>
              <w:tc>
                <w:tcPr>
                  <w:tcW w:w="687" w:type="pct"/>
                  <w:vAlign w:val="center"/>
                </w:tcPr>
                <w:p w14:paraId="1182862E">
                  <w:pPr>
                    <w:pStyle w:val="31"/>
                  </w:pPr>
                  <w:r>
                    <w:rPr>
                      <w:rFonts w:hint="eastAsia"/>
                    </w:rPr>
                    <w:t>道路</w:t>
                  </w:r>
                </w:p>
              </w:tc>
              <w:tc>
                <w:tcPr>
                  <w:tcW w:w="844" w:type="pct"/>
                  <w:vAlign w:val="center"/>
                </w:tcPr>
                <w:p w14:paraId="5D46D3EA">
                  <w:pPr>
                    <w:pStyle w:val="31"/>
                  </w:pPr>
                  <w:r>
                    <w:rPr>
                      <w:rFonts w:hint="eastAsia"/>
                    </w:rPr>
                    <w:t>22100m</w:t>
                  </w:r>
                  <w:r>
                    <w:rPr>
                      <w:rFonts w:hint="eastAsia"/>
                      <w:vertAlign w:val="superscript"/>
                    </w:rPr>
                    <w:t>2</w:t>
                  </w:r>
                </w:p>
              </w:tc>
              <w:tc>
                <w:tcPr>
                  <w:tcW w:w="1032" w:type="pct"/>
                  <w:vMerge w:val="continue"/>
                  <w:vAlign w:val="center"/>
                </w:tcPr>
                <w:p w14:paraId="6AAA0303">
                  <w:pPr>
                    <w:pStyle w:val="31"/>
                  </w:pPr>
                </w:p>
              </w:tc>
              <w:tc>
                <w:tcPr>
                  <w:tcW w:w="940" w:type="pct"/>
                  <w:vAlign w:val="center"/>
                </w:tcPr>
                <w:p w14:paraId="013CA40F">
                  <w:pPr>
                    <w:pStyle w:val="31"/>
                  </w:pPr>
                  <w:r>
                    <w:rPr>
                      <w:rFonts w:hint="eastAsia"/>
                    </w:rPr>
                    <w:t>88.4</w:t>
                  </w:r>
                  <w:r>
                    <w:rPr>
                      <w:color w:val="000000"/>
                      <w:lang w:bidi="ar"/>
                    </w:rPr>
                    <w:t>m</w:t>
                  </w:r>
                  <w:r>
                    <w:rPr>
                      <w:color w:val="000000"/>
                      <w:vertAlign w:val="superscript"/>
                      <w:lang w:bidi="ar"/>
                    </w:rPr>
                    <w:t>3</w:t>
                  </w:r>
                  <w:r>
                    <w:rPr>
                      <w:color w:val="000000"/>
                      <w:lang w:bidi="ar"/>
                    </w:rPr>
                    <w:t>/d</w:t>
                  </w:r>
                </w:p>
              </w:tc>
              <w:tc>
                <w:tcPr>
                  <w:tcW w:w="843" w:type="pct"/>
                  <w:vMerge w:val="continue"/>
                  <w:vAlign w:val="center"/>
                </w:tcPr>
                <w:p w14:paraId="09512127">
                  <w:pPr>
                    <w:pStyle w:val="31"/>
                  </w:pPr>
                </w:p>
              </w:tc>
            </w:tr>
            <w:tr w14:paraId="70D6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41" w:type="pct"/>
                  <w:gridSpan w:val="2"/>
                  <w:vAlign w:val="center"/>
                </w:tcPr>
                <w:p w14:paraId="4B98F44C">
                  <w:pPr>
                    <w:pStyle w:val="31"/>
                  </w:pPr>
                  <w:r>
                    <w:rPr>
                      <w:rFonts w:hint="eastAsia"/>
                    </w:rPr>
                    <w:t>合计</w:t>
                  </w:r>
                </w:p>
              </w:tc>
              <w:tc>
                <w:tcPr>
                  <w:tcW w:w="844" w:type="pct"/>
                  <w:vAlign w:val="center"/>
                </w:tcPr>
                <w:p w14:paraId="45E0EBDD">
                  <w:pPr>
                    <w:pStyle w:val="31"/>
                  </w:pPr>
                  <w:r>
                    <w:rPr>
                      <w:rFonts w:hint="eastAsia"/>
                    </w:rPr>
                    <w:t>77234m</w:t>
                  </w:r>
                  <w:r>
                    <w:rPr>
                      <w:rFonts w:hint="eastAsia"/>
                      <w:vertAlign w:val="superscript"/>
                    </w:rPr>
                    <w:t>2</w:t>
                  </w:r>
                </w:p>
              </w:tc>
              <w:tc>
                <w:tcPr>
                  <w:tcW w:w="1032" w:type="pct"/>
                  <w:vAlign w:val="center"/>
                </w:tcPr>
                <w:p w14:paraId="60C55879">
                  <w:pPr>
                    <w:pStyle w:val="31"/>
                  </w:pPr>
                </w:p>
              </w:tc>
              <w:tc>
                <w:tcPr>
                  <w:tcW w:w="940" w:type="pct"/>
                  <w:vAlign w:val="center"/>
                </w:tcPr>
                <w:p w14:paraId="0DDFF5F9">
                  <w:pPr>
                    <w:pStyle w:val="31"/>
                  </w:pPr>
                  <w:r>
                    <w:rPr>
                      <w:rFonts w:hint="eastAsia"/>
                      <w:color w:val="000000"/>
                      <w:lang w:bidi="ar"/>
                    </w:rPr>
                    <w:t>339.6</w:t>
                  </w:r>
                  <w:r>
                    <w:rPr>
                      <w:color w:val="000000"/>
                      <w:lang w:bidi="ar"/>
                    </w:rPr>
                    <w:t>m</w:t>
                  </w:r>
                  <w:r>
                    <w:rPr>
                      <w:color w:val="000000"/>
                      <w:vertAlign w:val="superscript"/>
                      <w:lang w:bidi="ar"/>
                    </w:rPr>
                    <w:t>3</w:t>
                  </w:r>
                  <w:r>
                    <w:rPr>
                      <w:color w:val="000000"/>
                      <w:lang w:bidi="ar"/>
                    </w:rPr>
                    <w:t>/d</w:t>
                  </w:r>
                </w:p>
              </w:tc>
              <w:tc>
                <w:tcPr>
                  <w:tcW w:w="843" w:type="pct"/>
                  <w:vAlign w:val="center"/>
                </w:tcPr>
                <w:p w14:paraId="63EC0707">
                  <w:pPr>
                    <w:pStyle w:val="31"/>
                  </w:pPr>
                </w:p>
              </w:tc>
            </w:tr>
            <w:bookmarkEnd w:id="9"/>
            <w:bookmarkEnd w:id="10"/>
          </w:tbl>
          <w:p w14:paraId="7D6A2BC8">
            <w:pPr>
              <w:pStyle w:val="36"/>
              <w:spacing w:line="240" w:lineRule="auto"/>
              <w:ind w:firstLine="0" w:firstLineChars="0"/>
              <w:rPr>
                <w:rFonts w:cs="Times New Roman"/>
                <w:spacing w:val="0"/>
                <w:lang w:eastAsia="zh-CN"/>
              </w:rPr>
            </w:pPr>
          </w:p>
          <w:p w14:paraId="42CC27D4">
            <w:pPr>
              <w:pStyle w:val="36"/>
              <w:ind w:firstLine="480"/>
              <w:rPr>
                <w:rFonts w:cs="Times New Roman"/>
                <w:spacing w:val="0"/>
                <w:lang w:eastAsia="zh-CN"/>
              </w:rPr>
            </w:pPr>
            <w:bookmarkStart w:id="11" w:name="_Hlk218525447"/>
            <w:bookmarkStart w:id="12" w:name="OLE_LINK9"/>
            <w:r>
              <w:rPr>
                <w:rFonts w:hint="eastAsia" w:cs="Times New Roman"/>
                <w:spacing w:val="0"/>
                <w:kern w:val="0"/>
                <w:szCs w:val="21"/>
                <w:lang w:eastAsia="zh-CN" w:bidi="ar"/>
              </w:rPr>
              <w:t>项目扩建达产后，全厂产生生产废水126.86</w:t>
            </w:r>
            <w:r>
              <w:rPr>
                <w:rFonts w:cs="Times New Roman"/>
                <w:spacing w:val="0"/>
                <w:kern w:val="0"/>
                <w:szCs w:val="21"/>
                <w:lang w:eastAsia="zh-CN" w:bidi="ar"/>
              </w:rPr>
              <w:t>m</w:t>
            </w:r>
            <w:r>
              <w:rPr>
                <w:rFonts w:cs="Times New Roman"/>
                <w:spacing w:val="0"/>
                <w:kern w:val="0"/>
                <w:szCs w:val="21"/>
                <w:vertAlign w:val="superscript"/>
                <w:lang w:eastAsia="zh-CN" w:bidi="ar"/>
              </w:rPr>
              <w:t>3</w:t>
            </w:r>
            <w:r>
              <w:rPr>
                <w:rFonts w:cs="Times New Roman"/>
                <w:spacing w:val="0"/>
                <w:lang w:eastAsia="zh-CN"/>
              </w:rPr>
              <w:t>/</w:t>
            </w:r>
            <w:r>
              <w:rPr>
                <w:rFonts w:hint="eastAsia" w:cs="Times New Roman"/>
                <w:spacing w:val="0"/>
                <w:lang w:eastAsia="zh-CN"/>
              </w:rPr>
              <w:t>d</w:t>
            </w:r>
            <w:r>
              <w:rPr>
                <w:rFonts w:hint="eastAsia" w:cs="Times New Roman"/>
                <w:spacing w:val="0"/>
                <w:kern w:val="0"/>
                <w:szCs w:val="21"/>
                <w:lang w:eastAsia="zh-CN" w:bidi="ar"/>
              </w:rPr>
              <w:t>，雨天</w:t>
            </w:r>
            <w:r>
              <w:rPr>
                <w:rFonts w:cs="Times New Roman"/>
                <w:spacing w:val="0"/>
                <w:kern w:val="0"/>
                <w:szCs w:val="21"/>
                <w:lang w:eastAsia="zh-CN" w:bidi="ar"/>
              </w:rPr>
              <w:t>150</w:t>
            </w:r>
            <w:r>
              <w:rPr>
                <w:rFonts w:hint="eastAsia" w:cs="Times New Roman"/>
                <w:spacing w:val="0"/>
                <w:kern w:val="0"/>
                <w:szCs w:val="21"/>
                <w:lang w:eastAsia="zh-CN" w:bidi="ar"/>
              </w:rPr>
              <w:t>d</w:t>
            </w:r>
            <w:r>
              <w:rPr>
                <w:rFonts w:cs="Times New Roman"/>
                <w:spacing w:val="0"/>
                <w:kern w:val="0"/>
                <w:szCs w:val="21"/>
                <w:lang w:eastAsia="zh-CN" w:bidi="ar"/>
              </w:rPr>
              <w:t>，</w:t>
            </w:r>
            <w:r>
              <w:rPr>
                <w:rFonts w:hint="eastAsia" w:cs="Times New Roman"/>
                <w:spacing w:val="0"/>
                <w:kern w:val="0"/>
                <w:szCs w:val="21"/>
                <w:lang w:eastAsia="zh-CN" w:bidi="ar"/>
              </w:rPr>
              <w:t>则废水</w:t>
            </w:r>
            <w:r>
              <w:rPr>
                <w:rFonts w:cs="Times New Roman"/>
                <w:spacing w:val="0"/>
                <w:kern w:val="0"/>
                <w:szCs w:val="21"/>
                <w:lang w:eastAsia="zh-CN" w:bidi="ar"/>
              </w:rPr>
              <w:t>量19029m</w:t>
            </w:r>
            <w:r>
              <w:rPr>
                <w:rFonts w:cs="Times New Roman"/>
                <w:spacing w:val="0"/>
                <w:kern w:val="0"/>
                <w:szCs w:val="21"/>
                <w:vertAlign w:val="superscript"/>
                <w:lang w:eastAsia="zh-CN" w:bidi="ar"/>
              </w:rPr>
              <w:t>3</w:t>
            </w:r>
            <w:r>
              <w:rPr>
                <w:rFonts w:cs="Times New Roman"/>
                <w:spacing w:val="0"/>
                <w:lang w:eastAsia="zh-CN"/>
              </w:rPr>
              <w:t>/a</w:t>
            </w:r>
            <w:r>
              <w:rPr>
                <w:rFonts w:hint="eastAsia" w:cs="Times New Roman"/>
                <w:spacing w:val="0"/>
                <w:lang w:eastAsia="zh-CN"/>
              </w:rPr>
              <w:t>。厂区现有1座4700</w:t>
            </w:r>
            <w:r>
              <w:rPr>
                <w:rFonts w:cs="Times New Roman"/>
                <w:spacing w:val="0"/>
                <w:kern w:val="0"/>
                <w:szCs w:val="21"/>
                <w:lang w:eastAsia="zh-CN" w:bidi="ar"/>
              </w:rPr>
              <w:t>m</w:t>
            </w:r>
            <w:r>
              <w:rPr>
                <w:rFonts w:cs="Times New Roman"/>
                <w:spacing w:val="0"/>
                <w:kern w:val="0"/>
                <w:szCs w:val="21"/>
                <w:vertAlign w:val="superscript"/>
                <w:lang w:eastAsia="zh-CN" w:bidi="ar"/>
              </w:rPr>
              <w:t>3</w:t>
            </w:r>
            <w:r>
              <w:rPr>
                <w:rFonts w:hint="eastAsia" w:cs="Times New Roman"/>
                <w:spacing w:val="0"/>
                <w:lang w:eastAsia="zh-CN"/>
              </w:rPr>
              <w:t>的蓄水池，可暂存37d连续雨天的生产废水量。正常情况下，37d连续下雨的可能性极小，雨天间隔则有约212.7</w:t>
            </w:r>
            <w:r>
              <w:rPr>
                <w:rFonts w:cs="Times New Roman"/>
                <w:spacing w:val="0"/>
                <w:kern w:val="0"/>
                <w:szCs w:val="21"/>
                <w:lang w:eastAsia="zh-CN" w:bidi="ar"/>
              </w:rPr>
              <w:t>m</w:t>
            </w:r>
            <w:r>
              <w:rPr>
                <w:rFonts w:cs="Times New Roman"/>
                <w:spacing w:val="0"/>
                <w:kern w:val="0"/>
                <w:szCs w:val="21"/>
                <w:vertAlign w:val="superscript"/>
                <w:lang w:eastAsia="zh-CN" w:bidi="ar"/>
              </w:rPr>
              <w:t>3</w:t>
            </w:r>
            <w:r>
              <w:rPr>
                <w:rFonts w:cs="Times New Roman"/>
                <w:spacing w:val="0"/>
                <w:lang w:eastAsia="zh-CN"/>
              </w:rPr>
              <w:t>/</w:t>
            </w:r>
            <w:r>
              <w:rPr>
                <w:rFonts w:hint="eastAsia" w:cs="Times New Roman"/>
                <w:spacing w:val="0"/>
                <w:lang w:eastAsia="zh-CN"/>
              </w:rPr>
              <w:t>d的绿化、洒水降尘用水缺口，可利用蓄水池暂存的处理后生产废水进行补充。另一方面，本次环评是按项目达产规模核算生产废水量。结合实际情况，目前肉牛屠宰量约</w:t>
            </w:r>
            <w:r>
              <w:rPr>
                <w:rFonts w:hint="eastAsia" w:cs="Times New Roman"/>
                <w:color w:val="000000"/>
                <w:spacing w:val="0"/>
                <w:lang w:eastAsia="zh-CN"/>
              </w:rPr>
              <w:t>15000</w:t>
            </w:r>
            <w:r>
              <w:rPr>
                <w:rFonts w:cs="Times New Roman"/>
                <w:color w:val="000000"/>
                <w:spacing w:val="0"/>
                <w:lang w:eastAsia="zh-CN"/>
              </w:rPr>
              <w:t>头/年</w:t>
            </w:r>
            <w:r>
              <w:rPr>
                <w:rFonts w:hint="eastAsia" w:cs="Times New Roman"/>
                <w:spacing w:val="0"/>
                <w:lang w:eastAsia="zh-CN"/>
              </w:rPr>
              <w:t>，仅有达产规模的50%。可预见，项目扩建后，现有市场需求规模下，肉牛屠宰及牛肉精深加工、肉羊屠宰加工将达不到达产规模，实际生产废水量也小于环评预测产生量。</w:t>
            </w:r>
          </w:p>
          <w:bookmarkEnd w:id="11"/>
          <w:p w14:paraId="45ECFEE3">
            <w:pPr>
              <w:pStyle w:val="36"/>
              <w:ind w:firstLine="480"/>
              <w:rPr>
                <w:color w:val="EE0000"/>
                <w:spacing w:val="0"/>
                <w:lang w:eastAsia="zh-CN"/>
              </w:rPr>
            </w:pPr>
            <w:r>
              <w:rPr>
                <w:rFonts w:hint="eastAsia" w:cs="Times New Roman"/>
                <w:spacing w:val="0"/>
                <w:lang w:eastAsia="zh-CN"/>
              </w:rPr>
              <w:t>项目扩建达产后，全厂生活污水产生量不变，为55.09</w:t>
            </w:r>
            <w:r>
              <w:rPr>
                <w:rFonts w:cs="Times New Roman"/>
                <w:spacing w:val="0"/>
                <w:kern w:val="0"/>
                <w:szCs w:val="21"/>
                <w:lang w:eastAsia="zh-CN" w:bidi="ar"/>
              </w:rPr>
              <w:t>m</w:t>
            </w:r>
            <w:r>
              <w:rPr>
                <w:rFonts w:cs="Times New Roman"/>
                <w:spacing w:val="0"/>
                <w:kern w:val="0"/>
                <w:szCs w:val="21"/>
                <w:vertAlign w:val="superscript"/>
                <w:lang w:eastAsia="zh-CN" w:bidi="ar"/>
              </w:rPr>
              <w:t>3</w:t>
            </w:r>
            <w:r>
              <w:rPr>
                <w:rFonts w:cs="Times New Roman"/>
                <w:spacing w:val="0"/>
                <w:lang w:eastAsia="zh-CN"/>
              </w:rPr>
              <w:t>/</w:t>
            </w:r>
            <w:r>
              <w:rPr>
                <w:rFonts w:hint="eastAsia" w:cs="Times New Roman"/>
                <w:spacing w:val="0"/>
                <w:lang w:eastAsia="zh-CN"/>
              </w:rPr>
              <w:t>d，污水经隔油池、化粪池预处理后</w:t>
            </w:r>
            <w:r>
              <w:rPr>
                <w:rFonts w:hint="eastAsia"/>
                <w:spacing w:val="0"/>
                <w:szCs w:val="21"/>
                <w:lang w:eastAsia="zh-CN"/>
              </w:rPr>
              <w:t>接入市政污水管网，最终进入羊街镇污水处理站处理。</w:t>
            </w:r>
          </w:p>
          <w:p w14:paraId="22712666">
            <w:pPr>
              <w:pStyle w:val="36"/>
              <w:ind w:firstLine="480"/>
              <w:rPr>
                <w:rFonts w:cs="Times New Roman"/>
                <w:spacing w:val="0"/>
                <w:lang w:eastAsia="zh-CN"/>
              </w:rPr>
            </w:pPr>
            <w:r>
              <w:rPr>
                <w:rFonts w:hint="eastAsia" w:cs="Times New Roman"/>
                <w:spacing w:val="0"/>
                <w:lang w:eastAsia="zh-CN"/>
              </w:rPr>
              <w:t>综上分析，生产废水经厂区现有生产废水处理站处理达标后在年内可实现厂区绿化、洒水降尘的综合利用，不外排。</w:t>
            </w:r>
            <w:bookmarkEnd w:id="12"/>
          </w:p>
          <w:p w14:paraId="6FA88714">
            <w:pPr>
              <w:pStyle w:val="36"/>
              <w:ind w:firstLine="0" w:firstLineChars="0"/>
              <w:jc w:val="center"/>
              <w:rPr>
                <w:rFonts w:cs="Times New Roman"/>
                <w:spacing w:val="0"/>
                <w:lang w:eastAsia="zh-CN"/>
              </w:rPr>
            </w:pPr>
            <w:r>
              <w:rPr>
                <w:rFonts w:hint="eastAsia"/>
              </w:rPr>
              <w:drawing>
                <wp:inline distT="0" distB="0" distL="114300" distR="114300">
                  <wp:extent cx="5280660" cy="3980815"/>
                  <wp:effectExtent l="0" t="0" r="0" b="0"/>
                  <wp:docPr id="1833151070" name="ECB019B1-382A-4266-B25C-5B523AA43C14-1" descr="C:/Users/Administrator/AppData/Local/Temp/wps.KRMXh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51070" name="ECB019B1-382A-4266-B25C-5B523AA43C14-1" descr="C:/Users/Administrator/AppData/Local/Temp/wps.KRMXhCwps"/>
                          <pic:cNvPicPr>
                            <a:picLocks noChangeAspect="1"/>
                          </pic:cNvPicPr>
                        </pic:nvPicPr>
                        <pic:blipFill>
                          <a:blip r:embed="rId20"/>
                          <a:stretch>
                            <a:fillRect/>
                          </a:stretch>
                        </pic:blipFill>
                        <pic:spPr>
                          <a:xfrm>
                            <a:off x="0" y="0"/>
                            <a:ext cx="5314745" cy="4006809"/>
                          </a:xfrm>
                          <a:prstGeom prst="rect">
                            <a:avLst/>
                          </a:prstGeom>
                        </pic:spPr>
                      </pic:pic>
                    </a:graphicData>
                  </a:graphic>
                </wp:inline>
              </w:drawing>
            </w:r>
          </w:p>
          <w:p w14:paraId="0D721596">
            <w:pPr>
              <w:pStyle w:val="29"/>
              <w:outlineLvl w:val="9"/>
              <w:rPr>
                <w:rFonts w:hint="default"/>
              </w:rPr>
            </w:pPr>
            <w:r>
              <w:t>图2-1 项目扩建达产后全厂水平衡图（单位：m</w:t>
            </w:r>
            <w:r>
              <w:rPr>
                <w:vertAlign w:val="superscript"/>
              </w:rPr>
              <w:t>3</w:t>
            </w:r>
            <w:r>
              <w:t>/d）</w:t>
            </w:r>
          </w:p>
          <w:p w14:paraId="65C50070">
            <w:pPr>
              <w:rPr>
                <w:sz w:val="24"/>
              </w:rPr>
            </w:pPr>
          </w:p>
          <w:p w14:paraId="34961CFF">
            <w:pPr>
              <w:pStyle w:val="36"/>
              <w:ind w:firstLine="482"/>
              <w:jc w:val="left"/>
              <w:rPr>
                <w:rFonts w:cs="Times New Roman"/>
                <w:b/>
                <w:bCs/>
                <w:color w:val="000000" w:themeColor="text1"/>
                <w:spacing w:val="0"/>
                <w:lang w:eastAsia="zh-CN"/>
                <w14:textFill>
                  <w14:solidFill>
                    <w14:schemeClr w14:val="tx1"/>
                  </w14:solidFill>
                </w14:textFill>
              </w:rPr>
            </w:pPr>
            <w:r>
              <w:rPr>
                <w:rFonts w:cs="Times New Roman"/>
                <w:b/>
                <w:bCs/>
                <w:color w:val="000000" w:themeColor="text1"/>
                <w:spacing w:val="0"/>
                <w:lang w:eastAsia="zh-CN"/>
                <w14:textFill>
                  <w14:solidFill>
                    <w14:schemeClr w14:val="tx1"/>
                  </w14:solidFill>
                </w14:textFill>
              </w:rPr>
              <w:t>（</w:t>
            </w:r>
            <w:r>
              <w:rPr>
                <w:rFonts w:hint="eastAsia" w:cs="Times New Roman"/>
                <w:b/>
                <w:bCs/>
                <w:color w:val="000000" w:themeColor="text1"/>
                <w:spacing w:val="0"/>
                <w:lang w:eastAsia="zh-CN"/>
                <w14:textFill>
                  <w14:solidFill>
                    <w14:schemeClr w14:val="tx1"/>
                  </w14:solidFill>
                </w14:textFill>
              </w:rPr>
              <w:t>9</w:t>
            </w:r>
            <w:r>
              <w:rPr>
                <w:rFonts w:cs="Times New Roman"/>
                <w:b/>
                <w:bCs/>
                <w:color w:val="000000" w:themeColor="text1"/>
                <w:spacing w:val="0"/>
                <w:lang w:eastAsia="zh-CN"/>
                <w14:textFill>
                  <w14:solidFill>
                    <w14:schemeClr w14:val="tx1"/>
                  </w14:solidFill>
                </w14:textFill>
              </w:rPr>
              <w:t>）</w:t>
            </w:r>
            <w:r>
              <w:rPr>
                <w:rFonts w:hint="eastAsia" w:cs="Times New Roman"/>
                <w:b/>
                <w:bCs/>
                <w:color w:val="000000" w:themeColor="text1"/>
                <w:spacing w:val="0"/>
                <w:lang w:eastAsia="zh-CN"/>
                <w14:textFill>
                  <w14:solidFill>
                    <w14:schemeClr w14:val="tx1"/>
                  </w14:solidFill>
                </w14:textFill>
              </w:rPr>
              <w:t>总平面布置</w:t>
            </w:r>
          </w:p>
          <w:p w14:paraId="150CF845">
            <w:pPr>
              <w:pStyle w:val="52"/>
              <w:spacing w:line="360" w:lineRule="auto"/>
              <w:ind w:firstLine="480" w:firstLineChars="200"/>
              <w:rPr>
                <w:rFonts w:hint="eastAsia"/>
                <w:color w:val="000000" w:themeColor="text1"/>
                <w:kern w:val="0"/>
                <w:lang w:eastAsia="zh-CN" w:bidi="ar"/>
                <w14:textFill>
                  <w14:solidFill>
                    <w14:schemeClr w14:val="tx1"/>
                  </w14:solidFill>
                </w14:textFill>
              </w:rPr>
            </w:pPr>
            <w:r>
              <w:rPr>
                <w:rFonts w:hint="eastAsia"/>
                <w:color w:val="000000" w:themeColor="text1"/>
                <w:lang w:eastAsia="zh-CN"/>
                <w14:textFill>
                  <w14:solidFill>
                    <w14:schemeClr w14:val="tx1"/>
                  </w14:solidFill>
                </w14:textFill>
              </w:rPr>
              <w:t>项目在原</w:t>
            </w:r>
            <w:r>
              <w:rPr>
                <w:rFonts w:cs="Times New Roman"/>
                <w:lang w:eastAsia="zh-CN"/>
              </w:rPr>
              <w:t>听牧肉牛屠宰及优质</w:t>
            </w:r>
            <w:r>
              <w:rPr>
                <w:rFonts w:hint="eastAsia" w:cs="Times New Roman"/>
                <w:lang w:eastAsia="zh-CN"/>
              </w:rPr>
              <w:t>牛肉</w:t>
            </w:r>
            <w:r>
              <w:rPr>
                <w:rFonts w:cs="Times New Roman"/>
                <w:lang w:eastAsia="zh-CN"/>
              </w:rPr>
              <w:t>精深加工厂区</w:t>
            </w:r>
            <w:r>
              <w:rPr>
                <w:rFonts w:hint="eastAsia"/>
                <w:lang w:eastAsia="zh-CN"/>
              </w:rPr>
              <w:t>用地范围</w:t>
            </w:r>
            <w:r>
              <w:rPr>
                <w:rFonts w:cs="Times New Roman"/>
                <w:lang w:eastAsia="zh-CN"/>
              </w:rPr>
              <w:t>内</w:t>
            </w:r>
            <w:r>
              <w:rPr>
                <w:rFonts w:hint="eastAsia"/>
                <w:color w:val="000000" w:themeColor="text1"/>
                <w:lang w:eastAsia="zh-CN"/>
                <w14:textFill>
                  <w14:solidFill>
                    <w14:schemeClr w14:val="tx1"/>
                  </w14:solidFill>
                </w14:textFill>
              </w:rPr>
              <w:t>，将原料青储池改建为肉羊待宰圈，</w:t>
            </w:r>
            <w:r>
              <w:rPr>
                <w:rFonts w:hint="eastAsia" w:cs="Times New Roman"/>
                <w:lang w:eastAsia="zh-CN"/>
              </w:rPr>
              <w:t>肉牛急宰间改建为</w:t>
            </w:r>
            <w:r>
              <w:rPr>
                <w:rFonts w:cs="Times New Roman"/>
                <w:color w:val="000000" w:themeColor="text1"/>
                <w:lang w:eastAsia="zh-CN"/>
                <w14:textFill>
                  <w14:solidFill>
                    <w14:schemeClr w14:val="tx1"/>
                  </w14:solidFill>
                </w14:textFill>
              </w:rPr>
              <w:t>肉羊屠宰加工</w:t>
            </w:r>
            <w:r>
              <w:rPr>
                <w:rFonts w:hint="eastAsia" w:cs="Times New Roman"/>
                <w:color w:val="000000" w:themeColor="text1"/>
                <w:lang w:eastAsia="zh-CN"/>
                <w14:textFill>
                  <w14:solidFill>
                    <w14:schemeClr w14:val="tx1"/>
                  </w14:solidFill>
                </w14:textFill>
              </w:rPr>
              <w:t>生产线</w:t>
            </w:r>
            <w:r>
              <w:rPr>
                <w:rFonts w:hint="eastAsia"/>
                <w:color w:val="000000" w:themeColor="text1"/>
                <w:lang w:eastAsia="zh-CN"/>
                <w14:textFill>
                  <w14:solidFill>
                    <w14:schemeClr w14:val="tx1"/>
                  </w14:solidFill>
                </w14:textFill>
              </w:rPr>
              <w:t>，</w:t>
            </w:r>
            <w:r>
              <w:rPr>
                <w:rFonts w:hint="eastAsia"/>
                <w:color w:val="000000" w:themeColor="text1"/>
                <w:kern w:val="0"/>
                <w:lang w:eastAsia="zh-CN" w:bidi="ar"/>
                <w14:textFill>
                  <w14:solidFill>
                    <w14:schemeClr w14:val="tx1"/>
                  </w14:solidFill>
                </w14:textFill>
              </w:rPr>
              <w:t>无新增占地，不改变项目其他总平面布置。</w:t>
            </w:r>
          </w:p>
          <w:p w14:paraId="38765D04">
            <w:pPr>
              <w:pStyle w:val="52"/>
              <w:spacing w:line="360" w:lineRule="auto"/>
              <w:ind w:firstLine="48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项目扩建完成后，原</w:t>
            </w:r>
            <w:r>
              <w:rPr>
                <w:rFonts w:hint="eastAsia"/>
                <w:color w:val="000000"/>
                <w:kern w:val="0"/>
                <w:szCs w:val="21"/>
                <w:lang w:eastAsia="zh-CN" w:bidi="ar"/>
              </w:rPr>
              <w:t>肉牛急宰间仓库、速冻库、排酸库、成品库保持不变，</w:t>
            </w:r>
            <w:r>
              <w:rPr>
                <w:rFonts w:hint="eastAsia"/>
                <w:color w:val="000000" w:themeColor="text1"/>
                <w:lang w:eastAsia="zh-CN"/>
                <w14:textFill>
                  <w14:solidFill>
                    <w14:schemeClr w14:val="tx1"/>
                  </w14:solidFill>
                </w14:textFill>
              </w:rPr>
              <w:t>厂区各单元功能分区明确，办公区与屠宰加工区分开，避免屠宰加工对办公环境的干扰和影响。</w:t>
            </w:r>
          </w:p>
          <w:p w14:paraId="03147FB6">
            <w:pPr>
              <w:pStyle w:val="8"/>
              <w:spacing w:before="0" w:after="0" w:line="240" w:lineRule="auto"/>
              <w:ind w:right="0"/>
            </w:pPr>
            <w:r>
              <w:drawing>
                <wp:inline distT="0" distB="0" distL="0" distR="0">
                  <wp:extent cx="5256530" cy="3240405"/>
                  <wp:effectExtent l="0" t="0" r="1270" b="0"/>
                  <wp:docPr id="19373781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78177" name="图片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6530" cy="3240405"/>
                          </a:xfrm>
                          <a:prstGeom prst="rect">
                            <a:avLst/>
                          </a:prstGeom>
                        </pic:spPr>
                      </pic:pic>
                    </a:graphicData>
                  </a:graphic>
                </wp:inline>
              </w:drawing>
            </w:r>
          </w:p>
          <w:p w14:paraId="2C258A2F">
            <w:pPr>
              <w:pStyle w:val="8"/>
              <w:spacing w:before="0" w:after="0" w:line="240" w:lineRule="auto"/>
              <w:ind w:right="0"/>
              <w:jc w:val="center"/>
              <w:rPr>
                <w:b/>
                <w:bCs/>
                <w:sz w:val="21"/>
                <w:szCs w:val="21"/>
              </w:rPr>
            </w:pPr>
            <w:r>
              <w:rPr>
                <w:rFonts w:hint="eastAsia"/>
                <w:b/>
                <w:bCs/>
                <w:sz w:val="21"/>
                <w:szCs w:val="21"/>
              </w:rPr>
              <w:t>图</w:t>
            </w:r>
            <w:r>
              <w:rPr>
                <w:b/>
                <w:bCs/>
                <w:sz w:val="21"/>
                <w:szCs w:val="21"/>
              </w:rPr>
              <w:t>2-</w:t>
            </w:r>
            <w:r>
              <w:rPr>
                <w:rFonts w:hint="eastAsia"/>
                <w:b/>
                <w:bCs/>
                <w:sz w:val="21"/>
                <w:szCs w:val="21"/>
              </w:rPr>
              <w:t xml:space="preserve">2 </w:t>
            </w:r>
            <w:r>
              <w:rPr>
                <w:b/>
                <w:bCs/>
                <w:sz w:val="21"/>
                <w:szCs w:val="21"/>
              </w:rPr>
              <w:t>项目扩建</w:t>
            </w:r>
            <w:r>
              <w:rPr>
                <w:rFonts w:hint="eastAsia"/>
                <w:b/>
                <w:bCs/>
                <w:sz w:val="21"/>
                <w:szCs w:val="21"/>
              </w:rPr>
              <w:t>后</w:t>
            </w:r>
            <w:r>
              <w:rPr>
                <w:b/>
                <w:bCs/>
                <w:sz w:val="21"/>
                <w:szCs w:val="21"/>
              </w:rPr>
              <w:t>厂区平面</w:t>
            </w:r>
            <w:r>
              <w:rPr>
                <w:rFonts w:hint="eastAsia"/>
                <w:b/>
                <w:bCs/>
                <w:sz w:val="21"/>
                <w:szCs w:val="21"/>
              </w:rPr>
              <w:t>布置</w:t>
            </w:r>
            <w:r>
              <w:rPr>
                <w:b/>
                <w:bCs/>
                <w:sz w:val="21"/>
                <w:szCs w:val="21"/>
              </w:rPr>
              <w:t>图</w:t>
            </w:r>
          </w:p>
          <w:p w14:paraId="190A44F4"/>
          <w:p w14:paraId="6CE0ECDF">
            <w:r>
              <w:drawing>
                <wp:inline distT="0" distB="0" distL="0" distR="0">
                  <wp:extent cx="5256530" cy="3165475"/>
                  <wp:effectExtent l="0" t="0" r="1270" b="0"/>
                  <wp:docPr id="9855634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63472" name="图片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6530" cy="3165475"/>
                          </a:xfrm>
                          <a:prstGeom prst="rect">
                            <a:avLst/>
                          </a:prstGeom>
                        </pic:spPr>
                      </pic:pic>
                    </a:graphicData>
                  </a:graphic>
                </wp:inline>
              </w:drawing>
            </w:r>
          </w:p>
          <w:p w14:paraId="6C0C81DC">
            <w:pPr>
              <w:pStyle w:val="8"/>
              <w:spacing w:before="0" w:after="0" w:line="240" w:lineRule="auto"/>
              <w:ind w:right="0"/>
              <w:jc w:val="center"/>
              <w:rPr>
                <w:b/>
                <w:bCs/>
                <w:sz w:val="21"/>
                <w:szCs w:val="21"/>
              </w:rPr>
            </w:pPr>
            <w:r>
              <w:rPr>
                <w:rFonts w:hint="eastAsia"/>
                <w:b/>
                <w:bCs/>
                <w:sz w:val="21"/>
                <w:szCs w:val="21"/>
              </w:rPr>
              <w:t>图</w:t>
            </w:r>
            <w:r>
              <w:rPr>
                <w:b/>
                <w:bCs/>
                <w:sz w:val="21"/>
                <w:szCs w:val="21"/>
              </w:rPr>
              <w:t>2-</w:t>
            </w:r>
            <w:r>
              <w:rPr>
                <w:rFonts w:hint="eastAsia"/>
                <w:b/>
                <w:bCs/>
                <w:sz w:val="21"/>
                <w:szCs w:val="21"/>
              </w:rPr>
              <w:t>3 项目</w:t>
            </w:r>
            <w:r>
              <w:rPr>
                <w:b/>
                <w:bCs/>
                <w:sz w:val="21"/>
                <w:szCs w:val="21"/>
              </w:rPr>
              <w:t>肉羊屠宰</w:t>
            </w:r>
            <w:r>
              <w:rPr>
                <w:rFonts w:hint="eastAsia"/>
                <w:b/>
                <w:bCs/>
                <w:sz w:val="21"/>
                <w:szCs w:val="21"/>
              </w:rPr>
              <w:t>间平面布置图</w:t>
            </w:r>
          </w:p>
          <w:p w14:paraId="03159D24">
            <w:pPr>
              <w:pStyle w:val="36"/>
              <w:spacing w:line="240" w:lineRule="auto"/>
              <w:ind w:firstLine="0" w:firstLineChars="0"/>
              <w:rPr>
                <w:color w:val="000000" w:themeColor="text1"/>
                <w:spacing w:val="0"/>
                <w:lang w:eastAsia="zh-CN"/>
                <w14:textFill>
                  <w14:solidFill>
                    <w14:schemeClr w14:val="tx1"/>
                  </w14:solidFill>
                </w14:textFill>
              </w:rPr>
            </w:pPr>
          </w:p>
          <w:p w14:paraId="7AEBDA48">
            <w:pPr>
              <w:pStyle w:val="36"/>
              <w:spacing w:line="240" w:lineRule="auto"/>
              <w:ind w:firstLine="0" w:firstLineChars="0"/>
              <w:rPr>
                <w:color w:val="000000" w:themeColor="text1"/>
                <w:spacing w:val="0"/>
                <w:lang w:eastAsia="zh-CN"/>
                <w14:textFill>
                  <w14:solidFill>
                    <w14:schemeClr w14:val="tx1"/>
                  </w14:solidFill>
                </w14:textFill>
              </w:rPr>
            </w:pPr>
          </w:p>
        </w:tc>
      </w:tr>
      <w:tr w14:paraId="0440A7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3" w:type="dxa"/>
            <w:vAlign w:val="center"/>
          </w:tcPr>
          <w:p w14:paraId="404BF03D">
            <w:pPr>
              <w:pStyle w:val="18"/>
              <w:adjustRightInd w:val="0"/>
              <w:snapToGrid w:val="0"/>
              <w:spacing w:before="0" w:beforeAutospacing="0" w:after="0" w:afterAutospacing="0"/>
              <w:jc w:val="center"/>
              <w:rPr>
                <w:rFonts w:ascii="Times New Roman" w:hAnsi="Times New Roman" w:cs="宋体"/>
                <w:color w:val="000000" w:themeColor="text1"/>
                <w:szCs w:val="24"/>
                <w14:textFill>
                  <w14:solidFill>
                    <w14:schemeClr w14:val="tx1"/>
                  </w14:solidFill>
                </w14:textFill>
              </w:rPr>
            </w:pPr>
            <w:r>
              <w:rPr>
                <w:rFonts w:hint="eastAsia" w:ascii="Times New Roman" w:hAnsi="Times New Roman" w:cs="宋体"/>
                <w:color w:val="000000" w:themeColor="text1"/>
                <w:szCs w:val="24"/>
                <w14:textFill>
                  <w14:solidFill>
                    <w14:schemeClr w14:val="tx1"/>
                  </w14:solidFill>
                </w14:textFill>
              </w:rPr>
              <w:t>工艺流程和产排污环节</w:t>
            </w:r>
          </w:p>
        </w:tc>
        <w:tc>
          <w:tcPr>
            <w:tcW w:w="8494" w:type="dxa"/>
          </w:tcPr>
          <w:p w14:paraId="688A4A3D">
            <w:pPr>
              <w:widowControl/>
              <w:spacing w:line="360" w:lineRule="auto"/>
              <w:jc w:val="left"/>
              <w:rPr>
                <w:b/>
                <w:bCs/>
                <w:color w:val="000000" w:themeColor="text1"/>
                <w:kern w:val="0"/>
                <w:sz w:val="28"/>
                <w:szCs w:val="28"/>
                <w:lang w:bidi="ar"/>
                <w14:textFill>
                  <w14:solidFill>
                    <w14:schemeClr w14:val="tx1"/>
                  </w14:solidFill>
                </w14:textFill>
              </w:rPr>
            </w:pPr>
            <w:r>
              <w:rPr>
                <w:b/>
                <w:bCs/>
                <w:color w:val="000000" w:themeColor="text1"/>
                <w:kern w:val="0"/>
                <w:sz w:val="28"/>
                <w:szCs w:val="28"/>
                <w:lang w:bidi="ar"/>
                <w14:textFill>
                  <w14:solidFill>
                    <w14:schemeClr w14:val="tx1"/>
                  </w14:solidFill>
                </w14:textFill>
              </w:rPr>
              <w:t>1</w:t>
            </w:r>
            <w:r>
              <w:rPr>
                <w:rFonts w:hint="eastAsia"/>
                <w:b/>
                <w:bCs/>
                <w:color w:val="000000" w:themeColor="text1"/>
                <w:kern w:val="0"/>
                <w:sz w:val="28"/>
                <w:szCs w:val="28"/>
                <w:lang w:bidi="ar"/>
                <w14:textFill>
                  <w14:solidFill>
                    <w14:schemeClr w14:val="tx1"/>
                  </w14:solidFill>
                </w14:textFill>
              </w:rPr>
              <w:t>、施工期工艺流程和产排污环节</w:t>
            </w:r>
          </w:p>
          <w:p w14:paraId="1C4EFB93">
            <w:pPr>
              <w:pStyle w:val="36"/>
              <w:ind w:firstLine="480"/>
              <w:rPr>
                <w:color w:val="000000" w:themeColor="text1"/>
                <w:spacing w:val="0"/>
                <w:lang w:eastAsia="zh-CN"/>
                <w14:textFill>
                  <w14:solidFill>
                    <w14:schemeClr w14:val="tx1"/>
                  </w14:solidFill>
                </w14:textFill>
              </w:rPr>
            </w:pPr>
            <w:r>
              <w:rPr>
                <w:color w:val="000000" w:themeColor="text1"/>
                <w:spacing w:val="0"/>
                <w:lang w:eastAsia="zh-CN"/>
                <w14:textFill>
                  <w14:solidFill>
                    <w14:schemeClr w14:val="tx1"/>
                  </w14:solidFill>
                </w14:textFill>
              </w:rPr>
              <w:t>项目</w:t>
            </w:r>
            <w:r>
              <w:rPr>
                <w:rFonts w:hint="eastAsia"/>
                <w:color w:val="000000" w:themeColor="text1"/>
                <w:spacing w:val="0"/>
                <w:kern w:val="0"/>
                <w:lang w:eastAsia="zh-CN" w:bidi="ar"/>
                <w14:textFill>
                  <w14:solidFill>
                    <w14:schemeClr w14:val="tx1"/>
                  </w14:solidFill>
                </w14:textFill>
              </w:rPr>
              <w:t>施工期主要对肉羊待宰圈、屠宰加工车间进行改造、装修，以及屠宰设备、配送系统安装</w:t>
            </w:r>
            <w:r>
              <w:rPr>
                <w:color w:val="000000" w:themeColor="text1"/>
                <w:spacing w:val="0"/>
                <w:lang w:eastAsia="zh-CN"/>
                <w14:textFill>
                  <w14:solidFill>
                    <w14:schemeClr w14:val="tx1"/>
                  </w14:solidFill>
                </w14:textFill>
              </w:rPr>
              <w:t>，</w:t>
            </w:r>
            <w:r>
              <w:rPr>
                <w:rFonts w:hint="eastAsia"/>
                <w:color w:val="000000" w:themeColor="text1"/>
                <w:spacing w:val="0"/>
                <w:lang w:eastAsia="zh-CN"/>
                <w14:textFill>
                  <w14:solidFill>
                    <w14:schemeClr w14:val="tx1"/>
                  </w14:solidFill>
                </w14:textFill>
              </w:rPr>
              <w:t>主要</w:t>
            </w:r>
            <w:r>
              <w:rPr>
                <w:color w:val="000000" w:themeColor="text1"/>
                <w:spacing w:val="0"/>
                <w:lang w:eastAsia="zh-CN"/>
                <w14:textFill>
                  <w14:solidFill>
                    <w14:schemeClr w14:val="tx1"/>
                  </w14:solidFill>
                </w14:textFill>
              </w:rPr>
              <w:t>污染物为</w:t>
            </w:r>
            <w:r>
              <w:rPr>
                <w:rFonts w:hint="eastAsia"/>
                <w:color w:val="000000" w:themeColor="text1"/>
                <w:spacing w:val="0"/>
                <w:lang w:eastAsia="zh-CN"/>
                <w14:textFill>
                  <w14:solidFill>
                    <w14:schemeClr w14:val="tx1"/>
                  </w14:solidFill>
                </w14:textFill>
              </w:rPr>
              <w:t>施工</w:t>
            </w:r>
            <w:r>
              <w:rPr>
                <w:color w:val="000000" w:themeColor="text1"/>
                <w:spacing w:val="0"/>
                <w:lang w:eastAsia="zh-CN"/>
                <w14:textFill>
                  <w14:solidFill>
                    <w14:schemeClr w14:val="tx1"/>
                  </w14:solidFill>
                </w14:textFill>
              </w:rPr>
              <w:t>扬尘、</w:t>
            </w:r>
            <w:r>
              <w:rPr>
                <w:rFonts w:hint="eastAsia"/>
                <w:color w:val="000000" w:themeColor="text1"/>
                <w:spacing w:val="0"/>
                <w:lang w:eastAsia="zh-CN"/>
                <w14:textFill>
                  <w14:solidFill>
                    <w14:schemeClr w14:val="tx1"/>
                  </w14:solidFill>
                </w14:textFill>
              </w:rPr>
              <w:t>施工噪声、</w:t>
            </w:r>
            <w:r>
              <w:rPr>
                <w:color w:val="000000" w:themeColor="text1"/>
                <w:spacing w:val="0"/>
                <w:lang w:eastAsia="zh-CN"/>
                <w14:textFill>
                  <w14:solidFill>
                    <w14:schemeClr w14:val="tx1"/>
                  </w14:solidFill>
                </w14:textFill>
              </w:rPr>
              <w:t>施工</w:t>
            </w:r>
            <w:r>
              <w:rPr>
                <w:rFonts w:hint="eastAsia"/>
                <w:color w:val="000000" w:themeColor="text1"/>
                <w:spacing w:val="0"/>
                <w:lang w:eastAsia="zh-CN"/>
                <w14:textFill>
                  <w14:solidFill>
                    <w14:schemeClr w14:val="tx1"/>
                  </w14:solidFill>
                </w14:textFill>
              </w:rPr>
              <w:t>废污水</w:t>
            </w:r>
            <w:r>
              <w:rPr>
                <w:color w:val="000000" w:themeColor="text1"/>
                <w:spacing w:val="0"/>
                <w:lang w:eastAsia="zh-CN"/>
                <w14:textFill>
                  <w14:solidFill>
                    <w14:schemeClr w14:val="tx1"/>
                  </w14:solidFill>
                </w14:textFill>
              </w:rPr>
              <w:t>、生活垃圾</w:t>
            </w:r>
            <w:r>
              <w:rPr>
                <w:rFonts w:hint="eastAsia"/>
                <w:color w:val="000000" w:themeColor="text1"/>
                <w:spacing w:val="0"/>
                <w:lang w:eastAsia="zh-CN"/>
                <w14:textFill>
                  <w14:solidFill>
                    <w14:schemeClr w14:val="tx1"/>
                  </w14:solidFill>
                </w14:textFill>
              </w:rPr>
              <w:t>及</w:t>
            </w:r>
            <w:r>
              <w:rPr>
                <w:color w:val="000000" w:themeColor="text1"/>
                <w:spacing w:val="0"/>
                <w:lang w:eastAsia="zh-CN"/>
                <w14:textFill>
                  <w14:solidFill>
                    <w14:schemeClr w14:val="tx1"/>
                  </w14:solidFill>
                </w14:textFill>
              </w:rPr>
              <w:t>废包装袋、</w:t>
            </w:r>
            <w:r>
              <w:rPr>
                <w:rFonts w:hint="eastAsia"/>
                <w:color w:val="000000" w:themeColor="text1"/>
                <w:spacing w:val="0"/>
                <w:lang w:eastAsia="zh-CN"/>
                <w14:textFill>
                  <w14:solidFill>
                    <w14:schemeClr w14:val="tx1"/>
                  </w14:solidFill>
                </w14:textFill>
              </w:rPr>
              <w:t>材料等</w:t>
            </w:r>
            <w:r>
              <w:rPr>
                <w:color w:val="000000" w:themeColor="text1"/>
                <w:spacing w:val="0"/>
                <w:lang w:eastAsia="zh-CN"/>
                <w14:textFill>
                  <w14:solidFill>
                    <w14:schemeClr w14:val="tx1"/>
                  </w14:solidFill>
                </w14:textFill>
              </w:rPr>
              <w:t>。</w:t>
            </w:r>
          </w:p>
          <w:p w14:paraId="1D160215">
            <w:pPr>
              <w:pStyle w:val="32"/>
              <w:rPr>
                <w:rFonts w:hint="default"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drawing>
                <wp:inline distT="0" distB="0" distL="114300" distR="114300">
                  <wp:extent cx="5088255" cy="3079115"/>
                  <wp:effectExtent l="0" t="0" r="0" b="0"/>
                  <wp:docPr id="22"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B019B1-382A-4266-B25C-5B523AA43C14-2" descr="wps"/>
                          <pic:cNvPicPr>
                            <a:picLocks noChangeAspect="1"/>
                          </pic:cNvPicPr>
                        </pic:nvPicPr>
                        <pic:blipFill>
                          <a:blip r:embed="rId23"/>
                          <a:stretch>
                            <a:fillRect/>
                          </a:stretch>
                        </pic:blipFill>
                        <pic:spPr>
                          <a:xfrm>
                            <a:off x="0" y="0"/>
                            <a:ext cx="5109168" cy="3092152"/>
                          </a:xfrm>
                          <a:prstGeom prst="rect">
                            <a:avLst/>
                          </a:prstGeom>
                          <a:noFill/>
                          <a:ln>
                            <a:noFill/>
                          </a:ln>
                        </pic:spPr>
                      </pic:pic>
                    </a:graphicData>
                  </a:graphic>
                </wp:inline>
              </w:drawing>
            </w:r>
          </w:p>
          <w:p w14:paraId="78417AAF">
            <w:pPr>
              <w:pStyle w:val="29"/>
              <w:outlineLvl w:val="9"/>
              <w:rPr>
                <w:rFonts w:hint="default"/>
              </w:rPr>
            </w:pPr>
            <w:r>
              <w:t>图2-4 项目施工期工艺流程及产排污节点图</w:t>
            </w:r>
          </w:p>
          <w:p w14:paraId="75CAE632">
            <w:pPr>
              <w:rPr>
                <w:sz w:val="24"/>
              </w:rPr>
            </w:pPr>
          </w:p>
          <w:p w14:paraId="606AE637">
            <w:pPr>
              <w:pStyle w:val="36"/>
              <w:ind w:firstLine="480"/>
              <w:rPr>
                <w:color w:val="000000" w:themeColor="text1"/>
                <w:spacing w:val="0"/>
                <w:lang w:eastAsia="zh-CN"/>
                <w14:textFill>
                  <w14:solidFill>
                    <w14:schemeClr w14:val="tx1"/>
                  </w14:solidFill>
                </w14:textFill>
              </w:rPr>
            </w:pPr>
            <w:r>
              <w:rPr>
                <w:color w:val="000000" w:themeColor="text1"/>
                <w:spacing w:val="0"/>
                <w:lang w:eastAsia="zh-CN"/>
                <w14:textFill>
                  <w14:solidFill>
                    <w14:schemeClr w14:val="tx1"/>
                  </w14:solidFill>
                </w14:textFill>
              </w:rPr>
              <w:t>施工流程简述</w:t>
            </w:r>
            <w:r>
              <w:rPr>
                <w:rFonts w:hint="eastAsia"/>
                <w:color w:val="000000" w:themeColor="text1"/>
                <w:spacing w:val="0"/>
                <w:lang w:eastAsia="zh-CN"/>
                <w14:textFill>
                  <w14:solidFill>
                    <w14:schemeClr w14:val="tx1"/>
                  </w14:solidFill>
                </w14:textFill>
              </w:rPr>
              <w:t>如下</w:t>
            </w:r>
            <w:r>
              <w:rPr>
                <w:color w:val="000000" w:themeColor="text1"/>
                <w:spacing w:val="0"/>
                <w:lang w:eastAsia="zh-CN"/>
                <w14:textFill>
                  <w14:solidFill>
                    <w14:schemeClr w14:val="tx1"/>
                  </w14:solidFill>
                </w14:textFill>
              </w:rPr>
              <w:t>：</w:t>
            </w:r>
          </w:p>
          <w:p w14:paraId="000EC67E">
            <w:pPr>
              <w:pStyle w:val="36"/>
              <w:ind w:firstLine="480"/>
              <w:rPr>
                <w:color w:val="000000" w:themeColor="text1"/>
                <w:spacing w:val="0"/>
                <w:lang w:eastAsia="zh-CN"/>
                <w14:textFill>
                  <w14:solidFill>
                    <w14:schemeClr w14:val="tx1"/>
                  </w14:solidFill>
                </w14:textFill>
              </w:rPr>
            </w:pPr>
            <w:r>
              <w:rPr>
                <w:color w:val="000000" w:themeColor="text1"/>
                <w:spacing w:val="0"/>
                <w:lang w:eastAsia="zh-CN"/>
                <w14:textFill>
                  <w14:solidFill>
                    <w14:schemeClr w14:val="tx1"/>
                  </w14:solidFill>
                </w14:textFill>
              </w:rPr>
              <w:t>施工前准备：准备必要的</w:t>
            </w:r>
            <w:r>
              <w:rPr>
                <w:rFonts w:hint="eastAsia"/>
                <w:color w:val="000000" w:themeColor="text1"/>
                <w:spacing w:val="0"/>
                <w:lang w:eastAsia="zh-CN"/>
                <w14:textFill>
                  <w14:solidFill>
                    <w14:schemeClr w14:val="tx1"/>
                  </w14:solidFill>
                </w14:textFill>
              </w:rPr>
              <w:t>施工</w:t>
            </w:r>
            <w:r>
              <w:rPr>
                <w:color w:val="000000" w:themeColor="text1"/>
                <w:spacing w:val="0"/>
                <w:lang w:eastAsia="zh-CN"/>
                <w14:textFill>
                  <w14:solidFill>
                    <w14:schemeClr w14:val="tx1"/>
                  </w14:solidFill>
                </w14:textFill>
              </w:rPr>
              <w:t>机械</w:t>
            </w:r>
            <w:r>
              <w:rPr>
                <w:rFonts w:hint="eastAsia"/>
                <w:color w:val="000000" w:themeColor="text1"/>
                <w:spacing w:val="0"/>
                <w:lang w:eastAsia="zh-CN"/>
                <w14:textFill>
                  <w14:solidFill>
                    <w14:schemeClr w14:val="tx1"/>
                  </w14:solidFill>
                </w14:textFill>
              </w:rPr>
              <w:t>、</w:t>
            </w:r>
            <w:r>
              <w:rPr>
                <w:color w:val="000000" w:themeColor="text1"/>
                <w:spacing w:val="0"/>
                <w:lang w:eastAsia="zh-CN"/>
                <w14:textFill>
                  <w14:solidFill>
                    <w14:schemeClr w14:val="tx1"/>
                  </w14:solidFill>
                </w14:textFill>
              </w:rPr>
              <w:t>设备、建筑材料等。</w:t>
            </w:r>
          </w:p>
          <w:p w14:paraId="51E18293">
            <w:pPr>
              <w:pStyle w:val="36"/>
              <w:ind w:firstLine="480"/>
              <w:rPr>
                <w:color w:val="000000" w:themeColor="text1"/>
                <w:spacing w:val="0"/>
                <w:lang w:eastAsia="zh-CN"/>
                <w14:textFill>
                  <w14:solidFill>
                    <w14:schemeClr w14:val="tx1"/>
                  </w14:solidFill>
                </w14:textFill>
              </w:rPr>
            </w:pPr>
            <w:r>
              <w:rPr>
                <w:color w:val="000000" w:themeColor="text1"/>
                <w:spacing w:val="0"/>
                <w:lang w:eastAsia="zh-CN"/>
                <w14:textFill>
                  <w14:solidFill>
                    <w14:schemeClr w14:val="tx1"/>
                  </w14:solidFill>
                </w14:textFill>
              </w:rPr>
              <w:t>室内局部改造：对</w:t>
            </w:r>
            <w:r>
              <w:rPr>
                <w:rFonts w:hint="eastAsia"/>
                <w:color w:val="000000" w:themeColor="text1"/>
                <w:spacing w:val="0"/>
                <w:kern w:val="0"/>
                <w:lang w:eastAsia="zh-CN" w:bidi="ar"/>
                <w14:textFill>
                  <w14:solidFill>
                    <w14:schemeClr w14:val="tx1"/>
                  </w14:solidFill>
                </w14:textFill>
              </w:rPr>
              <w:t>肉羊待宰圈、屠宰加工车间</w:t>
            </w:r>
            <w:r>
              <w:rPr>
                <w:color w:val="000000" w:themeColor="text1"/>
                <w:spacing w:val="0"/>
                <w:lang w:eastAsia="zh-CN"/>
                <w14:textFill>
                  <w14:solidFill>
                    <w14:schemeClr w14:val="tx1"/>
                  </w14:solidFill>
                </w14:textFill>
              </w:rPr>
              <w:t>进行改造，</w:t>
            </w:r>
            <w:r>
              <w:rPr>
                <w:rFonts w:hint="eastAsia"/>
                <w:color w:val="000000" w:themeColor="text1"/>
                <w:spacing w:val="0"/>
                <w:lang w:eastAsia="zh-CN"/>
                <w14:textFill>
                  <w14:solidFill>
                    <w14:schemeClr w14:val="tx1"/>
                  </w14:solidFill>
                </w14:textFill>
              </w:rPr>
              <w:t>搬出原有肉牛急宰间生产设施</w:t>
            </w:r>
            <w:r>
              <w:rPr>
                <w:color w:val="000000" w:themeColor="text1"/>
                <w:spacing w:val="0"/>
                <w:lang w:eastAsia="zh-CN"/>
                <w14:textFill>
                  <w14:solidFill>
                    <w14:schemeClr w14:val="tx1"/>
                  </w14:solidFill>
                </w14:textFill>
              </w:rPr>
              <w:t>。</w:t>
            </w:r>
          </w:p>
          <w:p w14:paraId="535B2116">
            <w:pPr>
              <w:pStyle w:val="36"/>
              <w:ind w:firstLine="480"/>
              <w:rPr>
                <w:color w:val="000000" w:themeColor="text1"/>
                <w:spacing w:val="0"/>
                <w:lang w:eastAsia="zh-CN"/>
                <w14:textFill>
                  <w14:solidFill>
                    <w14:schemeClr w14:val="tx1"/>
                  </w14:solidFill>
                </w14:textFill>
              </w:rPr>
            </w:pPr>
            <w:r>
              <w:rPr>
                <w:color w:val="000000" w:themeColor="text1"/>
                <w:spacing w:val="0"/>
                <w:lang w:eastAsia="zh-CN"/>
                <w14:textFill>
                  <w14:solidFill>
                    <w14:schemeClr w14:val="tx1"/>
                  </w14:solidFill>
                </w14:textFill>
              </w:rPr>
              <w:t>室内装修：安装门</w:t>
            </w:r>
            <w:r>
              <w:rPr>
                <w:rFonts w:hint="eastAsia"/>
                <w:color w:val="000000" w:themeColor="text1"/>
                <w:spacing w:val="0"/>
                <w:lang w:eastAsia="zh-CN"/>
                <w14:textFill>
                  <w14:solidFill>
                    <w14:schemeClr w14:val="tx1"/>
                  </w14:solidFill>
                </w14:textFill>
              </w:rPr>
              <w:t>窗</w:t>
            </w:r>
            <w:r>
              <w:rPr>
                <w:color w:val="000000" w:themeColor="text1"/>
                <w:spacing w:val="0"/>
                <w:lang w:eastAsia="zh-CN"/>
                <w14:textFill>
                  <w14:solidFill>
                    <w14:schemeClr w14:val="tx1"/>
                  </w14:solidFill>
                </w14:textFill>
              </w:rPr>
              <w:t>，配套水电，墙面等外观粉刷，室内</w:t>
            </w:r>
            <w:r>
              <w:rPr>
                <w:rFonts w:hint="eastAsia"/>
                <w:color w:val="000000" w:themeColor="text1"/>
                <w:spacing w:val="0"/>
                <w:lang w:eastAsia="zh-CN"/>
                <w14:textFill>
                  <w14:solidFill>
                    <w14:schemeClr w14:val="tx1"/>
                  </w14:solidFill>
                </w14:textFill>
              </w:rPr>
              <w:t>墙面和地板打磨及其他</w:t>
            </w:r>
            <w:r>
              <w:rPr>
                <w:color w:val="000000" w:themeColor="text1"/>
                <w:spacing w:val="0"/>
                <w:lang w:eastAsia="zh-CN"/>
                <w14:textFill>
                  <w14:solidFill>
                    <w14:schemeClr w14:val="tx1"/>
                  </w14:solidFill>
                </w14:textFill>
              </w:rPr>
              <w:t>装修。</w:t>
            </w:r>
          </w:p>
          <w:p w14:paraId="6A112EBE">
            <w:pPr>
              <w:pStyle w:val="36"/>
              <w:ind w:firstLine="480"/>
              <w:rPr>
                <w:color w:val="000000" w:themeColor="text1"/>
                <w:spacing w:val="0"/>
                <w:lang w:eastAsia="zh-CN"/>
                <w14:textFill>
                  <w14:solidFill>
                    <w14:schemeClr w14:val="tx1"/>
                  </w14:solidFill>
                </w14:textFill>
              </w:rPr>
            </w:pPr>
            <w:r>
              <w:rPr>
                <w:color w:val="000000" w:themeColor="text1"/>
                <w:spacing w:val="0"/>
                <w:lang w:eastAsia="zh-CN"/>
                <w14:textFill>
                  <w14:solidFill>
                    <w14:schemeClr w14:val="tx1"/>
                  </w14:solidFill>
                </w14:textFill>
              </w:rPr>
              <w:t>设备安装：安装</w:t>
            </w:r>
            <w:r>
              <w:rPr>
                <w:rFonts w:hint="eastAsia"/>
                <w:color w:val="000000" w:themeColor="text1"/>
                <w:spacing w:val="0"/>
                <w:lang w:eastAsia="zh-CN"/>
                <w14:textFill>
                  <w14:solidFill>
                    <w14:schemeClr w14:val="tx1"/>
                  </w14:solidFill>
                </w14:textFill>
              </w:rPr>
              <w:t>屠宰加工</w:t>
            </w:r>
            <w:r>
              <w:rPr>
                <w:color w:val="000000" w:themeColor="text1"/>
                <w:spacing w:val="0"/>
                <w:lang w:eastAsia="zh-CN"/>
                <w14:textFill>
                  <w14:solidFill>
                    <w14:schemeClr w14:val="tx1"/>
                  </w14:solidFill>
                </w14:textFill>
              </w:rPr>
              <w:t>设备、</w:t>
            </w:r>
            <w:r>
              <w:rPr>
                <w:rFonts w:hint="eastAsia" w:cs="Times New Roman"/>
                <w:spacing w:val="0"/>
                <w:lang w:eastAsia="zh-CN"/>
              </w:rPr>
              <w:t>辅助轨道、配送系统</w:t>
            </w:r>
            <w:r>
              <w:rPr>
                <w:color w:val="000000" w:themeColor="text1"/>
                <w:spacing w:val="0"/>
                <w:lang w:eastAsia="zh-CN"/>
                <w14:textFill>
                  <w14:solidFill>
                    <w14:schemeClr w14:val="tx1"/>
                  </w14:solidFill>
                </w14:textFill>
              </w:rPr>
              <w:t>等</w:t>
            </w:r>
            <w:r>
              <w:rPr>
                <w:rFonts w:hint="eastAsia"/>
                <w:color w:val="000000" w:themeColor="text1"/>
                <w:spacing w:val="0"/>
                <w:lang w:eastAsia="zh-CN"/>
                <w14:textFill>
                  <w14:solidFill>
                    <w14:schemeClr w14:val="tx1"/>
                  </w14:solidFill>
                </w14:textFill>
              </w:rPr>
              <w:t>设施</w:t>
            </w:r>
            <w:r>
              <w:rPr>
                <w:color w:val="000000" w:themeColor="text1"/>
                <w:spacing w:val="0"/>
                <w:lang w:eastAsia="zh-CN"/>
                <w14:textFill>
                  <w14:solidFill>
                    <w14:schemeClr w14:val="tx1"/>
                  </w14:solidFill>
                </w14:textFill>
              </w:rPr>
              <w:t>。</w:t>
            </w:r>
          </w:p>
          <w:p w14:paraId="303B227D">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项目施工期短，工程量小，施工人员不在现场食宿，大部分工作量在室内完成，施工结束后其影响随之消失。</w:t>
            </w:r>
          </w:p>
          <w:p w14:paraId="67A6EBBA">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2、运行期工艺流程和产排污环节</w:t>
            </w:r>
          </w:p>
          <w:p w14:paraId="09AE2201">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项目运行期，主要进行肉羊屠宰加工，</w:t>
            </w:r>
            <w:r>
              <w:rPr>
                <w:rFonts w:hint="eastAsia"/>
                <w:color w:val="000000" w:themeColor="text1"/>
                <w:spacing w:val="0"/>
                <w:kern w:val="0"/>
                <w:lang w:eastAsia="zh-CN" w:bidi="ar"/>
                <w14:textFill>
                  <w14:solidFill>
                    <w14:schemeClr w14:val="tx1"/>
                  </w14:solidFill>
                </w14:textFill>
              </w:rPr>
              <w:t>工艺流程及产排污环节见图2-5</w:t>
            </w:r>
            <w:r>
              <w:rPr>
                <w:rFonts w:hint="eastAsia"/>
                <w:color w:val="000000" w:themeColor="text1"/>
                <w:spacing w:val="0"/>
                <w:lang w:eastAsia="zh-CN"/>
                <w14:textFill>
                  <w14:solidFill>
                    <w14:schemeClr w14:val="tx1"/>
                  </w14:solidFill>
                </w14:textFill>
              </w:rPr>
              <w:t>。</w:t>
            </w:r>
          </w:p>
          <w:p w14:paraId="785B3542">
            <w:pPr>
              <w:pStyle w:val="36"/>
              <w:ind w:firstLine="0" w:firstLineChars="0"/>
              <w:rPr>
                <w:color w:val="000000" w:themeColor="text1"/>
                <w:lang w:eastAsia="zh-CN"/>
                <w14:textFill>
                  <w14:solidFill>
                    <w14:schemeClr w14:val="tx1"/>
                  </w14:solidFill>
                </w14:textFill>
              </w:rPr>
            </w:pPr>
            <w:r>
              <w:rPr>
                <w:rFonts w:hint="eastAsia"/>
                <w:lang w:eastAsia="zh-CN"/>
              </w:rPr>
              <w:drawing>
                <wp:inline distT="0" distB="0" distL="114300" distR="114300">
                  <wp:extent cx="5262245" cy="3902710"/>
                  <wp:effectExtent l="0" t="0" r="0" b="0"/>
                  <wp:docPr id="37" name="ECB019B1-382A-4266-B25C-5B523AA43C14-3" descr="C:/Users/Administrator/AppData/Local/Temp/wps.hyhFq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CB019B1-382A-4266-B25C-5B523AA43C14-3" descr="C:/Users/Administrator/AppData/Local/Temp/wps.hyhFqdwps"/>
                          <pic:cNvPicPr>
                            <a:picLocks noChangeAspect="1"/>
                          </pic:cNvPicPr>
                        </pic:nvPicPr>
                        <pic:blipFill>
                          <a:blip r:embed="rId24"/>
                          <a:stretch>
                            <a:fillRect/>
                          </a:stretch>
                        </pic:blipFill>
                        <pic:spPr>
                          <a:xfrm>
                            <a:off x="0" y="0"/>
                            <a:ext cx="5262245" cy="3902710"/>
                          </a:xfrm>
                          <a:prstGeom prst="rect">
                            <a:avLst/>
                          </a:prstGeom>
                        </pic:spPr>
                      </pic:pic>
                    </a:graphicData>
                  </a:graphic>
                </wp:inline>
              </w:drawing>
            </w:r>
          </w:p>
          <w:p w14:paraId="7597768F">
            <w:pPr>
              <w:pStyle w:val="29"/>
              <w:outlineLvl w:val="9"/>
              <w:rPr>
                <w:rFonts w:hint="default"/>
              </w:rPr>
            </w:pPr>
            <w:r>
              <w:rPr>
                <w:rFonts w:hint="default"/>
              </w:rPr>
              <w:t>图2-</w:t>
            </w:r>
            <w:r>
              <w:t>5 项目肉羊屠宰</w:t>
            </w:r>
            <w:r>
              <w:rPr>
                <w:rFonts w:hint="default"/>
              </w:rPr>
              <w:t>工艺流程及产</w:t>
            </w:r>
            <w:r>
              <w:t>排</w:t>
            </w:r>
            <w:r>
              <w:rPr>
                <w:rFonts w:hint="default"/>
              </w:rPr>
              <w:t>污环节</w:t>
            </w:r>
            <w:r>
              <w:t>图</w:t>
            </w:r>
          </w:p>
          <w:p w14:paraId="44864CEB">
            <w:pPr>
              <w:rPr>
                <w:sz w:val="24"/>
              </w:rPr>
            </w:pPr>
          </w:p>
          <w:p w14:paraId="24F38CEA">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肉羊屠宰加工</w:t>
            </w:r>
            <w:r>
              <w:rPr>
                <w:color w:val="000000" w:themeColor="text1"/>
                <w:spacing w:val="0"/>
                <w:lang w:eastAsia="zh-CN"/>
                <w14:textFill>
                  <w14:solidFill>
                    <w14:schemeClr w14:val="tx1"/>
                  </w14:solidFill>
                </w14:textFill>
              </w:rPr>
              <w:t>流程简述</w:t>
            </w:r>
            <w:r>
              <w:rPr>
                <w:rFonts w:hint="eastAsia"/>
                <w:color w:val="000000" w:themeColor="text1"/>
                <w:spacing w:val="0"/>
                <w:lang w:eastAsia="zh-CN"/>
                <w14:textFill>
                  <w14:solidFill>
                    <w14:schemeClr w14:val="tx1"/>
                  </w14:solidFill>
                </w14:textFill>
              </w:rPr>
              <w:t>如下</w:t>
            </w:r>
            <w:r>
              <w:rPr>
                <w:color w:val="000000" w:themeColor="text1"/>
                <w:spacing w:val="0"/>
                <w:lang w:eastAsia="zh-CN"/>
                <w14:textFill>
                  <w14:solidFill>
                    <w14:schemeClr w14:val="tx1"/>
                  </w14:solidFill>
                </w14:textFill>
              </w:rPr>
              <w:t>：</w:t>
            </w:r>
          </w:p>
          <w:p w14:paraId="0F3B8821">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活羊收购进入待宰圈静养，静养期间出现伤残的羊急宰，活羊检疫合格后编号称重，做好记录。宰前24h停饲，充分给水，宰前3h停水。羊进入待宰区，严格按操作规程进行放血、烫毛、脱毛、清洗、去红白内脏、胴体修刮、分割等工序，卫生检验人员进行检验，对设备器具用热水消毒并保证消毒时间，操作人员用42℃水保持不少于5秒洗手消毒。严格进行内脏分类和修整处理，卫生检验人员同步检验。严格按照卫生要求进行消毒操作。对胴体进行冲洗、修整，待胴体自然冷却后出货或将胴体冷冻，待有客户后出售或对胴体进行分割、包装、冷冻、打包发货至客户。</w:t>
            </w:r>
          </w:p>
          <w:p w14:paraId="79E21E8B">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静养：在待宰圈内静养，期间羊发出声响，产生噪声</w:t>
            </w:r>
            <w:r>
              <w:rPr>
                <w:rFonts w:hint="eastAsia"/>
                <w:spacing w:val="0"/>
                <w:lang w:eastAsia="zh-CN"/>
              </w:rPr>
              <w:t>N1，粪便S1及尿液W1，粪便、尿液产生恶臭气体G1</w:t>
            </w:r>
            <w:r>
              <w:rPr>
                <w:rFonts w:hint="eastAsia"/>
                <w:color w:val="000000" w:themeColor="text1"/>
                <w:spacing w:val="0"/>
                <w:lang w:eastAsia="zh-CN"/>
                <w14:textFill>
                  <w14:solidFill>
                    <w14:schemeClr w14:val="tx1"/>
                  </w14:solidFill>
                </w14:textFill>
              </w:rPr>
              <w:t>。</w:t>
            </w:r>
          </w:p>
          <w:p w14:paraId="72BAC26A">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急宰：对伤残的羊急宰，防止死亡，</w:t>
            </w:r>
            <w:r>
              <w:rPr>
                <w:color w:val="000000" w:themeColor="text1"/>
                <w:spacing w:val="0"/>
                <w:lang w:eastAsia="zh-CN"/>
                <w14:textFill>
                  <w14:solidFill>
                    <w14:schemeClr w14:val="tx1"/>
                  </w14:solidFill>
                </w14:textFill>
              </w:rPr>
              <w:t>产</w:t>
            </w:r>
            <w:r>
              <w:rPr>
                <w:rFonts w:hint="eastAsia"/>
                <w:color w:val="000000" w:themeColor="text1"/>
                <w:spacing w:val="0"/>
                <w:lang w:eastAsia="zh-CN"/>
                <w14:textFill>
                  <w14:solidFill>
                    <w14:schemeClr w14:val="tx1"/>
                  </w14:solidFill>
                </w14:textFill>
              </w:rPr>
              <w:t>生急宰废水W2、设备噪声和羊叫声N2</w:t>
            </w:r>
            <w:r>
              <w:rPr>
                <w:color w:val="000000" w:themeColor="text1"/>
                <w:spacing w:val="0"/>
                <w:lang w:eastAsia="zh-CN"/>
                <w14:textFill>
                  <w14:solidFill>
                    <w14:schemeClr w14:val="tx1"/>
                  </w14:solidFill>
                </w14:textFill>
              </w:rPr>
              <w:t>。</w:t>
            </w:r>
          </w:p>
          <w:p w14:paraId="01C14988">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宰杀：在待宰区放血，以备下一环节使用，</w:t>
            </w:r>
            <w:r>
              <w:rPr>
                <w:color w:val="000000" w:themeColor="text1"/>
                <w:spacing w:val="0"/>
                <w:lang w:eastAsia="zh-CN"/>
                <w14:textFill>
                  <w14:solidFill>
                    <w14:schemeClr w14:val="tx1"/>
                  </w14:solidFill>
                </w14:textFill>
              </w:rPr>
              <w:t>产</w:t>
            </w:r>
            <w:r>
              <w:rPr>
                <w:rFonts w:hint="eastAsia"/>
                <w:color w:val="000000" w:themeColor="text1"/>
                <w:spacing w:val="0"/>
                <w:lang w:eastAsia="zh-CN"/>
                <w14:textFill>
                  <w14:solidFill>
                    <w14:schemeClr w14:val="tx1"/>
                  </w14:solidFill>
                </w14:textFill>
              </w:rPr>
              <w:t>生屠宰废水W3</w:t>
            </w:r>
            <w:r>
              <w:rPr>
                <w:color w:val="000000" w:themeColor="text1"/>
                <w:spacing w:val="0"/>
                <w:lang w:eastAsia="zh-CN"/>
                <w14:textFill>
                  <w14:solidFill>
                    <w14:schemeClr w14:val="tx1"/>
                  </w14:solidFill>
                </w14:textFill>
              </w:rPr>
              <w:t>。</w:t>
            </w:r>
          </w:p>
          <w:p w14:paraId="6F2EA4F8">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烫毛、脱毛：采用70</w:t>
            </w:r>
            <w:r>
              <w:rPr>
                <w:rFonts w:cs="Times New Roman"/>
                <w:color w:val="000000" w:themeColor="text1"/>
                <w:spacing w:val="0"/>
                <w:lang w:eastAsia="zh-CN"/>
                <w14:textFill>
                  <w14:solidFill>
                    <w14:schemeClr w14:val="tx1"/>
                  </w14:solidFill>
                </w14:textFill>
              </w:rPr>
              <w:t>°</w:t>
            </w:r>
            <w:r>
              <w:rPr>
                <w:rFonts w:hint="eastAsia"/>
                <w:color w:val="000000" w:themeColor="text1"/>
                <w:spacing w:val="0"/>
                <w:lang w:eastAsia="zh-CN"/>
                <w14:textFill>
                  <w14:solidFill>
                    <w14:schemeClr w14:val="tx1"/>
                  </w14:solidFill>
                </w14:textFill>
              </w:rPr>
              <w:t>C热水进行烫毛处理，脱毛机对烫毛后的羊进行脱毛，脱毛后剥皮待用，</w:t>
            </w:r>
            <w:r>
              <w:rPr>
                <w:color w:val="000000" w:themeColor="text1"/>
                <w:spacing w:val="0"/>
                <w:lang w:eastAsia="zh-CN"/>
                <w14:textFill>
                  <w14:solidFill>
                    <w14:schemeClr w14:val="tx1"/>
                  </w14:solidFill>
                </w14:textFill>
              </w:rPr>
              <w:t>产</w:t>
            </w:r>
            <w:r>
              <w:rPr>
                <w:rFonts w:hint="eastAsia"/>
                <w:color w:val="000000" w:themeColor="text1"/>
                <w:spacing w:val="0"/>
                <w:lang w:eastAsia="zh-CN"/>
                <w14:textFill>
                  <w14:solidFill>
                    <w14:schemeClr w14:val="tx1"/>
                  </w14:solidFill>
                </w14:textFill>
              </w:rPr>
              <w:t>生屠宰废水</w:t>
            </w:r>
            <w:r>
              <w:rPr>
                <w:rFonts w:hint="eastAsia"/>
                <w:spacing w:val="0"/>
                <w:lang w:eastAsia="zh-CN"/>
              </w:rPr>
              <w:t>W4、废气G2、</w:t>
            </w:r>
            <w:r>
              <w:rPr>
                <w:rFonts w:hint="eastAsia"/>
                <w:color w:val="000000" w:themeColor="text1"/>
                <w:spacing w:val="0"/>
                <w:lang w:eastAsia="zh-CN"/>
                <w14:textFill>
                  <w14:solidFill>
                    <w14:schemeClr w14:val="tx1"/>
                  </w14:solidFill>
                </w14:textFill>
              </w:rPr>
              <w:t>固体废物</w:t>
            </w:r>
            <w:r>
              <w:rPr>
                <w:rFonts w:hint="eastAsia"/>
                <w:spacing w:val="0"/>
                <w:lang w:eastAsia="zh-CN"/>
              </w:rPr>
              <w:t>S2及脱毛噪声N3</w:t>
            </w:r>
            <w:r>
              <w:rPr>
                <w:color w:val="000000" w:themeColor="text1"/>
                <w:spacing w:val="0"/>
                <w:lang w:eastAsia="zh-CN"/>
                <w14:textFill>
                  <w14:solidFill>
                    <w14:schemeClr w14:val="tx1"/>
                  </w14:solidFill>
                </w14:textFill>
              </w:rPr>
              <w:t>。</w:t>
            </w:r>
          </w:p>
          <w:p w14:paraId="6B7BB1A2">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去红白内脏：对清洗后的羊进行处理，去除红白内脏。内脏检验异常的进行无害化处理，</w:t>
            </w:r>
            <w:r>
              <w:rPr>
                <w:color w:val="000000" w:themeColor="text1"/>
                <w:spacing w:val="0"/>
                <w:lang w:eastAsia="zh-CN"/>
                <w14:textFill>
                  <w14:solidFill>
                    <w14:schemeClr w14:val="tx1"/>
                  </w14:solidFill>
                </w14:textFill>
              </w:rPr>
              <w:t>产生</w:t>
            </w:r>
            <w:r>
              <w:rPr>
                <w:rFonts w:hint="eastAsia"/>
                <w:color w:val="000000" w:themeColor="text1"/>
                <w:spacing w:val="0"/>
                <w:lang w:eastAsia="zh-CN"/>
                <w14:textFill>
                  <w14:solidFill>
                    <w14:schemeClr w14:val="tx1"/>
                  </w14:solidFill>
                </w14:textFill>
              </w:rPr>
              <w:t>屠宰废水W5、固体废物S3及废气G3</w:t>
            </w:r>
            <w:r>
              <w:rPr>
                <w:color w:val="000000" w:themeColor="text1"/>
                <w:spacing w:val="0"/>
                <w:lang w:eastAsia="zh-CN"/>
                <w14:textFill>
                  <w14:solidFill>
                    <w14:schemeClr w14:val="tx1"/>
                  </w14:solidFill>
                </w14:textFill>
              </w:rPr>
              <w:t>。</w:t>
            </w:r>
          </w:p>
          <w:p w14:paraId="035A8838">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胴体修刮：对羊胴体进行检查，修刮残毛、血污、瘀斑及伤痕等，保证胴体整洁卫生，符合商品要求，</w:t>
            </w:r>
            <w:r>
              <w:rPr>
                <w:color w:val="000000" w:themeColor="text1"/>
                <w:spacing w:val="0"/>
                <w:lang w:eastAsia="zh-CN"/>
                <w14:textFill>
                  <w14:solidFill>
                    <w14:schemeClr w14:val="tx1"/>
                  </w14:solidFill>
                </w14:textFill>
              </w:rPr>
              <w:t>产生</w:t>
            </w:r>
            <w:r>
              <w:rPr>
                <w:rFonts w:hint="eastAsia"/>
                <w:color w:val="000000" w:themeColor="text1"/>
                <w:spacing w:val="0"/>
                <w:lang w:eastAsia="zh-CN"/>
                <w14:textFill>
                  <w14:solidFill>
                    <w14:schemeClr w14:val="tx1"/>
                  </w14:solidFill>
                </w14:textFill>
              </w:rPr>
              <w:t>清洗废水W6及固体废物S4</w:t>
            </w:r>
            <w:r>
              <w:rPr>
                <w:color w:val="000000" w:themeColor="text1"/>
                <w:spacing w:val="0"/>
                <w:lang w:eastAsia="zh-CN"/>
                <w14:textFill>
                  <w14:solidFill>
                    <w14:schemeClr w14:val="tx1"/>
                  </w14:solidFill>
                </w14:textFill>
              </w:rPr>
              <w:t>。</w:t>
            </w:r>
          </w:p>
          <w:p w14:paraId="43288344">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出货：整只出货，宰后检疫待自然冷却后直接装车出货或通过冷链物流运输车辆运至冷库，后续从冷库出货。分割包装冷冻出货，对清洁胴体进行分割后内包装，包装好放至冷库进行速冻，根据客户要求打包发货。</w:t>
            </w:r>
          </w:p>
        </w:tc>
      </w:tr>
      <w:tr w14:paraId="590CA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3" w:type="dxa"/>
            <w:vAlign w:val="center"/>
          </w:tcPr>
          <w:p w14:paraId="3F53F9BA">
            <w:pPr>
              <w:pStyle w:val="18"/>
              <w:adjustRightInd w:val="0"/>
              <w:snapToGrid w:val="0"/>
              <w:spacing w:before="0" w:beforeAutospacing="0" w:after="0" w:afterAutospacing="0"/>
              <w:jc w:val="center"/>
              <w:rPr>
                <w:rFonts w:ascii="Times New Roman" w:hAnsi="Times New Roman" w:cs="宋体"/>
                <w:color w:val="000000" w:themeColor="text1"/>
                <w:szCs w:val="24"/>
                <w14:textFill>
                  <w14:solidFill>
                    <w14:schemeClr w14:val="tx1"/>
                  </w14:solidFill>
                </w14:textFill>
              </w:rPr>
            </w:pPr>
            <w:r>
              <w:rPr>
                <w:rFonts w:hint="eastAsia" w:ascii="Times New Roman" w:hAnsi="Times New Roman" w:cs="宋体"/>
                <w:bCs/>
                <w:color w:val="000000" w:themeColor="text1"/>
                <w:kern w:val="2"/>
                <w:szCs w:val="24"/>
                <w14:textFill>
                  <w14:solidFill>
                    <w14:schemeClr w14:val="tx1"/>
                  </w14:solidFill>
                </w14:textFill>
              </w:rPr>
              <w:t>与项目有关的原有环境污染问题</w:t>
            </w:r>
          </w:p>
        </w:tc>
        <w:tc>
          <w:tcPr>
            <w:tcW w:w="8494" w:type="dxa"/>
          </w:tcPr>
          <w:p w14:paraId="03F8DA1F">
            <w:pPr>
              <w:pStyle w:val="36"/>
              <w:ind w:firstLine="0" w:firstLineChars="0"/>
              <w:jc w:val="left"/>
              <w:rPr>
                <w:b/>
                <w:bCs/>
                <w:color w:val="000000" w:themeColor="text1"/>
                <w:spacing w:val="0"/>
                <w:sz w:val="28"/>
                <w:szCs w:val="28"/>
                <w:lang w:eastAsia="zh-CN"/>
                <w14:textFill>
                  <w14:solidFill>
                    <w14:schemeClr w14:val="tx1"/>
                  </w14:solidFill>
                </w14:textFill>
              </w:rPr>
            </w:pPr>
            <w:r>
              <w:rPr>
                <w:rFonts w:hint="eastAsia"/>
                <w:b/>
                <w:bCs/>
                <w:color w:val="000000" w:themeColor="text1"/>
                <w:spacing w:val="0"/>
                <w:sz w:val="28"/>
                <w:szCs w:val="28"/>
                <w:lang w:eastAsia="zh-CN"/>
                <w14:textFill>
                  <w14:solidFill>
                    <w14:schemeClr w14:val="tx1"/>
                  </w14:solidFill>
                </w14:textFill>
              </w:rPr>
              <w:t>1、现有项目环保手续情况</w:t>
            </w:r>
          </w:p>
          <w:p w14:paraId="7BB67B64">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目前，</w:t>
            </w:r>
            <w:r>
              <w:rPr>
                <w:rFonts w:hint="eastAsia"/>
                <w:spacing w:val="0"/>
                <w:lang w:eastAsia="zh-CN"/>
              </w:rPr>
              <w:t>云南海潮集团听牧肉牛产业股份有限公司建有</w:t>
            </w:r>
            <w:r>
              <w:rPr>
                <w:rFonts w:hint="eastAsia"/>
                <w:color w:val="000000" w:themeColor="text1"/>
                <w:spacing w:val="0"/>
                <w:lang w:eastAsia="zh-CN"/>
                <w14:textFill>
                  <w14:solidFill>
                    <w14:schemeClr w14:val="tx1"/>
                  </w14:solidFill>
                </w14:textFill>
              </w:rPr>
              <w:t>羊街牛市大型畜产品综合交易市场、30000头/年肉牛屠宰、10000吨/年优质牛肉精深加工配送系统改扩建3个项目。现有项目环保手续情况简述如下。</w:t>
            </w:r>
          </w:p>
          <w:p w14:paraId="6895B5AB">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（1）环评及竣工环保验收</w:t>
            </w:r>
          </w:p>
          <w:p w14:paraId="0076AADD">
            <w:pPr>
              <w:pStyle w:val="29"/>
              <w:outlineLvl w:val="9"/>
              <w:rPr>
                <w:rFonts w:hint="default"/>
                <w:lang w:val="zh-CN"/>
              </w:rPr>
            </w:pPr>
            <w:r>
              <w:rPr>
                <w:rFonts w:hint="default"/>
                <w:lang w:val="zh-CN"/>
              </w:rPr>
              <w:t>表2-</w:t>
            </w:r>
            <w:r>
              <w:t>7 现有</w:t>
            </w:r>
            <w:r>
              <w:rPr>
                <w:rFonts w:hint="default"/>
                <w:lang w:val="zh-CN"/>
              </w:rPr>
              <w:t>项目</w:t>
            </w:r>
            <w:r>
              <w:rPr>
                <w:lang w:val="zh-CN"/>
              </w:rPr>
              <w:t>环评及竣工环保验收</w:t>
            </w:r>
            <w:r>
              <w:rPr>
                <w:rFonts w:hint="default"/>
                <w:lang w:val="zh-CN"/>
              </w:rPr>
              <w:t>情况表</w:t>
            </w:r>
          </w:p>
          <w:tbl>
            <w:tblPr>
              <w:tblStyle w:val="23"/>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1559"/>
              <w:gridCol w:w="1560"/>
              <w:gridCol w:w="1275"/>
              <w:gridCol w:w="1680"/>
            </w:tblGrid>
            <w:tr w14:paraId="4F8D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37" w:type="pct"/>
                  <w:vMerge w:val="restart"/>
                  <w:vAlign w:val="center"/>
                </w:tcPr>
                <w:p w14:paraId="63858A2B">
                  <w:pPr>
                    <w:spacing w:line="300" w:lineRule="auto"/>
                    <w:jc w:val="center"/>
                    <w:rPr>
                      <w:b/>
                      <w:bCs/>
                      <w:szCs w:val="21"/>
                    </w:rPr>
                  </w:pPr>
                  <w:r>
                    <w:rPr>
                      <w:rFonts w:hint="eastAsia"/>
                      <w:b/>
                      <w:bCs/>
                      <w:szCs w:val="21"/>
                    </w:rPr>
                    <w:t>项目名称</w:t>
                  </w:r>
                </w:p>
              </w:tc>
              <w:tc>
                <w:tcPr>
                  <w:tcW w:w="1881" w:type="pct"/>
                  <w:gridSpan w:val="2"/>
                  <w:vAlign w:val="center"/>
                </w:tcPr>
                <w:p w14:paraId="0214A171">
                  <w:pPr>
                    <w:spacing w:line="300" w:lineRule="auto"/>
                    <w:jc w:val="center"/>
                    <w:rPr>
                      <w:b/>
                      <w:bCs/>
                      <w:szCs w:val="21"/>
                    </w:rPr>
                  </w:pPr>
                  <w:r>
                    <w:rPr>
                      <w:rFonts w:hint="eastAsia"/>
                      <w:b/>
                      <w:bCs/>
                      <w:szCs w:val="21"/>
                    </w:rPr>
                    <w:t>环评审批</w:t>
                  </w:r>
                </w:p>
              </w:tc>
              <w:tc>
                <w:tcPr>
                  <w:tcW w:w="1782" w:type="pct"/>
                  <w:gridSpan w:val="2"/>
                  <w:vAlign w:val="center"/>
                </w:tcPr>
                <w:p w14:paraId="585EFFF0">
                  <w:pPr>
                    <w:spacing w:line="300" w:lineRule="auto"/>
                    <w:jc w:val="center"/>
                    <w:rPr>
                      <w:b/>
                      <w:bCs/>
                      <w:szCs w:val="21"/>
                    </w:rPr>
                  </w:pPr>
                  <w:r>
                    <w:rPr>
                      <w:rFonts w:hint="eastAsia"/>
                      <w:b/>
                      <w:bCs/>
                      <w:szCs w:val="21"/>
                    </w:rPr>
                    <w:t>竣工环保验收</w:t>
                  </w:r>
                </w:p>
              </w:tc>
            </w:tr>
            <w:tr w14:paraId="168F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37" w:type="pct"/>
                  <w:vMerge w:val="continue"/>
                  <w:vAlign w:val="center"/>
                </w:tcPr>
                <w:p w14:paraId="4006AC65">
                  <w:pPr>
                    <w:spacing w:line="300" w:lineRule="auto"/>
                    <w:jc w:val="center"/>
                    <w:rPr>
                      <w:szCs w:val="21"/>
                    </w:rPr>
                  </w:pPr>
                </w:p>
              </w:tc>
              <w:tc>
                <w:tcPr>
                  <w:tcW w:w="940" w:type="pct"/>
                  <w:vAlign w:val="center"/>
                </w:tcPr>
                <w:p w14:paraId="5B106858">
                  <w:pPr>
                    <w:spacing w:line="300" w:lineRule="auto"/>
                    <w:jc w:val="center"/>
                    <w:rPr>
                      <w:b/>
                      <w:bCs/>
                      <w:szCs w:val="21"/>
                      <w:lang w:val="zh-CN"/>
                    </w:rPr>
                  </w:pPr>
                  <w:r>
                    <w:rPr>
                      <w:rFonts w:hint="eastAsia"/>
                      <w:b/>
                      <w:bCs/>
                      <w:szCs w:val="21"/>
                      <w:lang w:val="zh-CN"/>
                    </w:rPr>
                    <w:t>审批部门</w:t>
                  </w:r>
                </w:p>
              </w:tc>
              <w:tc>
                <w:tcPr>
                  <w:tcW w:w="941" w:type="pct"/>
                  <w:vAlign w:val="center"/>
                </w:tcPr>
                <w:p w14:paraId="1F7FE704">
                  <w:pPr>
                    <w:spacing w:line="300" w:lineRule="auto"/>
                    <w:jc w:val="center"/>
                    <w:rPr>
                      <w:b/>
                      <w:bCs/>
                      <w:szCs w:val="21"/>
                    </w:rPr>
                  </w:pPr>
                  <w:r>
                    <w:rPr>
                      <w:rFonts w:hint="eastAsia"/>
                      <w:b/>
                      <w:bCs/>
                      <w:szCs w:val="21"/>
                    </w:rPr>
                    <w:t>审批文号</w:t>
                  </w:r>
                </w:p>
              </w:tc>
              <w:tc>
                <w:tcPr>
                  <w:tcW w:w="769" w:type="pct"/>
                  <w:vAlign w:val="center"/>
                </w:tcPr>
                <w:p w14:paraId="08CE3F47">
                  <w:pPr>
                    <w:spacing w:line="300" w:lineRule="auto"/>
                    <w:jc w:val="center"/>
                    <w:rPr>
                      <w:b/>
                      <w:bCs/>
                      <w:szCs w:val="21"/>
                    </w:rPr>
                  </w:pPr>
                  <w:r>
                    <w:rPr>
                      <w:rFonts w:hint="eastAsia"/>
                      <w:b/>
                      <w:bCs/>
                      <w:szCs w:val="21"/>
                    </w:rPr>
                    <w:t>验收部门</w:t>
                  </w:r>
                </w:p>
              </w:tc>
              <w:tc>
                <w:tcPr>
                  <w:tcW w:w="1013" w:type="pct"/>
                  <w:vAlign w:val="center"/>
                </w:tcPr>
                <w:p w14:paraId="6B5E2A75">
                  <w:pPr>
                    <w:spacing w:line="300" w:lineRule="auto"/>
                    <w:jc w:val="center"/>
                    <w:rPr>
                      <w:b/>
                      <w:bCs/>
                      <w:szCs w:val="21"/>
                    </w:rPr>
                  </w:pPr>
                  <w:r>
                    <w:rPr>
                      <w:rFonts w:hint="eastAsia"/>
                      <w:b/>
                      <w:bCs/>
                      <w:szCs w:val="21"/>
                    </w:rPr>
                    <w:t>验收文号</w:t>
                  </w:r>
                </w:p>
              </w:tc>
            </w:tr>
            <w:tr w14:paraId="267E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37" w:type="pct"/>
                  <w:vAlign w:val="center"/>
                </w:tcPr>
                <w:p w14:paraId="11B88891">
                  <w:pPr>
                    <w:spacing w:line="300" w:lineRule="auto"/>
                    <w:jc w:val="center"/>
                    <w:rPr>
                      <w:szCs w:val="21"/>
                    </w:rPr>
                  </w:pPr>
                  <w:r>
                    <w:rPr>
                      <w:rFonts w:hint="eastAsia"/>
                      <w:color w:val="000000" w:themeColor="text1"/>
                      <w14:textFill>
                        <w14:solidFill>
                          <w14:schemeClr w14:val="tx1"/>
                        </w14:solidFill>
                      </w14:textFill>
                    </w:rPr>
                    <w:t>羊街牛市大型畜产品综合交易市场项目</w:t>
                  </w:r>
                </w:p>
              </w:tc>
              <w:tc>
                <w:tcPr>
                  <w:tcW w:w="940" w:type="pct"/>
                  <w:vAlign w:val="center"/>
                </w:tcPr>
                <w:p w14:paraId="6F5BDF4A">
                  <w:pPr>
                    <w:spacing w:line="300" w:lineRule="auto"/>
                    <w:jc w:val="center"/>
                    <w:rPr>
                      <w:szCs w:val="21"/>
                      <w:lang w:val="zh-CN"/>
                    </w:rPr>
                  </w:pPr>
                  <w:r>
                    <w:rPr>
                      <w:rFonts w:hint="eastAsia"/>
                      <w:szCs w:val="21"/>
                      <w:lang w:val="zh-CN"/>
                    </w:rPr>
                    <w:t>昆明市环保局</w:t>
                  </w:r>
                </w:p>
              </w:tc>
              <w:tc>
                <w:tcPr>
                  <w:tcW w:w="941" w:type="pct"/>
                  <w:vAlign w:val="center"/>
                </w:tcPr>
                <w:p w14:paraId="32921810">
                  <w:pPr>
                    <w:spacing w:line="300" w:lineRule="auto"/>
                    <w:jc w:val="center"/>
                    <w:rPr>
                      <w:szCs w:val="21"/>
                    </w:rPr>
                  </w:pPr>
                  <w:r>
                    <w:rPr>
                      <w:rFonts w:hint="eastAsia"/>
                      <w:szCs w:val="21"/>
                    </w:rPr>
                    <w:t>昆环保复〔2006〕134号</w:t>
                  </w:r>
                </w:p>
              </w:tc>
              <w:tc>
                <w:tcPr>
                  <w:tcW w:w="769" w:type="pct"/>
                  <w:vAlign w:val="center"/>
                </w:tcPr>
                <w:p w14:paraId="29B1F328">
                  <w:pPr>
                    <w:spacing w:line="300" w:lineRule="auto"/>
                    <w:jc w:val="center"/>
                    <w:rPr>
                      <w:szCs w:val="21"/>
                    </w:rPr>
                  </w:pPr>
                  <w:r>
                    <w:rPr>
                      <w:rFonts w:hint="eastAsia"/>
                      <w:szCs w:val="21"/>
                    </w:rPr>
                    <w:t>—</w:t>
                  </w:r>
                </w:p>
              </w:tc>
              <w:tc>
                <w:tcPr>
                  <w:tcW w:w="1013" w:type="pct"/>
                  <w:vAlign w:val="center"/>
                </w:tcPr>
                <w:p w14:paraId="2ACA1B1A">
                  <w:pPr>
                    <w:spacing w:line="300" w:lineRule="auto"/>
                    <w:jc w:val="center"/>
                    <w:rPr>
                      <w:szCs w:val="21"/>
                    </w:rPr>
                  </w:pPr>
                  <w:r>
                    <w:rPr>
                      <w:rFonts w:hint="eastAsia"/>
                      <w:szCs w:val="21"/>
                    </w:rPr>
                    <w:t>—</w:t>
                  </w:r>
                </w:p>
              </w:tc>
            </w:tr>
            <w:tr w14:paraId="76A6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37" w:type="pct"/>
                  <w:vAlign w:val="center"/>
                </w:tcPr>
                <w:p w14:paraId="4A367E2E">
                  <w:pPr>
                    <w:spacing w:line="300" w:lineRule="auto"/>
                    <w:jc w:val="center"/>
                    <w:rPr>
                      <w:szCs w:val="21"/>
                    </w:rPr>
                  </w:pPr>
                  <w:r>
                    <w:rPr>
                      <w:szCs w:val="21"/>
                    </w:rPr>
                    <w:t>30000头/年肉牛</w:t>
                  </w:r>
                </w:p>
                <w:p w14:paraId="0371E225">
                  <w:pPr>
                    <w:spacing w:line="300" w:lineRule="auto"/>
                    <w:jc w:val="center"/>
                    <w:rPr>
                      <w:szCs w:val="21"/>
                    </w:rPr>
                  </w:pPr>
                  <w:r>
                    <w:rPr>
                      <w:szCs w:val="21"/>
                    </w:rPr>
                    <w:t>屠宰项目</w:t>
                  </w:r>
                </w:p>
              </w:tc>
              <w:tc>
                <w:tcPr>
                  <w:tcW w:w="940" w:type="pct"/>
                  <w:vAlign w:val="center"/>
                </w:tcPr>
                <w:p w14:paraId="42FD6641">
                  <w:pPr>
                    <w:spacing w:line="300" w:lineRule="auto"/>
                    <w:jc w:val="center"/>
                    <w:rPr>
                      <w:szCs w:val="21"/>
                    </w:rPr>
                  </w:pPr>
                  <w:r>
                    <w:rPr>
                      <w:rFonts w:hint="eastAsia"/>
                      <w:szCs w:val="21"/>
                    </w:rPr>
                    <w:t>寻甸县环保局</w:t>
                  </w:r>
                </w:p>
              </w:tc>
              <w:tc>
                <w:tcPr>
                  <w:tcW w:w="941" w:type="pct"/>
                  <w:vAlign w:val="center"/>
                </w:tcPr>
                <w:p w14:paraId="43CD3B51">
                  <w:pPr>
                    <w:spacing w:line="300" w:lineRule="auto"/>
                    <w:jc w:val="center"/>
                    <w:rPr>
                      <w:szCs w:val="21"/>
                    </w:rPr>
                  </w:pPr>
                  <w:r>
                    <w:rPr>
                      <w:szCs w:val="21"/>
                    </w:rPr>
                    <w:t>寻环</w:t>
                  </w:r>
                </w:p>
                <w:p w14:paraId="0E48AA07">
                  <w:pPr>
                    <w:spacing w:line="300" w:lineRule="auto"/>
                    <w:jc w:val="center"/>
                    <w:rPr>
                      <w:szCs w:val="21"/>
                    </w:rPr>
                  </w:pPr>
                  <w:r>
                    <w:rPr>
                      <w:rFonts w:hint="eastAsia"/>
                      <w:szCs w:val="21"/>
                    </w:rPr>
                    <w:t>〔2009〕121号</w:t>
                  </w:r>
                </w:p>
              </w:tc>
              <w:tc>
                <w:tcPr>
                  <w:tcW w:w="769" w:type="pct"/>
                  <w:vAlign w:val="center"/>
                </w:tcPr>
                <w:p w14:paraId="7DBA3B74">
                  <w:pPr>
                    <w:spacing w:line="300" w:lineRule="auto"/>
                    <w:jc w:val="center"/>
                    <w:rPr>
                      <w:szCs w:val="21"/>
                    </w:rPr>
                  </w:pPr>
                  <w:r>
                    <w:rPr>
                      <w:rFonts w:hint="eastAsia"/>
                      <w:szCs w:val="21"/>
                    </w:rPr>
                    <w:t>寻甸县</w:t>
                  </w:r>
                </w:p>
                <w:p w14:paraId="14AF7CED">
                  <w:pPr>
                    <w:spacing w:line="300" w:lineRule="auto"/>
                    <w:jc w:val="center"/>
                    <w:rPr>
                      <w:szCs w:val="21"/>
                    </w:rPr>
                  </w:pPr>
                  <w:r>
                    <w:rPr>
                      <w:rFonts w:hint="eastAsia"/>
                      <w:szCs w:val="21"/>
                    </w:rPr>
                    <w:t>环保局</w:t>
                  </w:r>
                </w:p>
              </w:tc>
              <w:tc>
                <w:tcPr>
                  <w:tcW w:w="1013" w:type="pct"/>
                  <w:vAlign w:val="center"/>
                </w:tcPr>
                <w:p w14:paraId="43ADA583">
                  <w:pPr>
                    <w:spacing w:line="300" w:lineRule="auto"/>
                    <w:jc w:val="center"/>
                    <w:rPr>
                      <w:szCs w:val="21"/>
                    </w:rPr>
                  </w:pPr>
                  <w:r>
                    <w:rPr>
                      <w:szCs w:val="21"/>
                    </w:rPr>
                    <w:t>寻环</w:t>
                  </w:r>
                  <w:r>
                    <w:rPr>
                      <w:rFonts w:hint="eastAsia"/>
                      <w:szCs w:val="21"/>
                    </w:rPr>
                    <w:t>验</w:t>
                  </w:r>
                </w:p>
                <w:p w14:paraId="2B585449">
                  <w:pPr>
                    <w:spacing w:line="300" w:lineRule="auto"/>
                    <w:jc w:val="center"/>
                    <w:rPr>
                      <w:szCs w:val="21"/>
                    </w:rPr>
                  </w:pPr>
                  <w:r>
                    <w:rPr>
                      <w:rFonts w:hint="eastAsia"/>
                      <w:szCs w:val="21"/>
                    </w:rPr>
                    <w:t>〔2011〕003号</w:t>
                  </w:r>
                </w:p>
              </w:tc>
            </w:tr>
            <w:tr w14:paraId="0A53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337" w:type="pct"/>
                  <w:vAlign w:val="center"/>
                </w:tcPr>
                <w:p w14:paraId="60795098">
                  <w:pPr>
                    <w:spacing w:line="30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10000吨/年优质牛肉精深加工配送系统</w:t>
                  </w:r>
                </w:p>
                <w:p w14:paraId="2D9878CA">
                  <w:pPr>
                    <w:spacing w:line="30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改扩建项目</w:t>
                  </w:r>
                </w:p>
              </w:tc>
              <w:tc>
                <w:tcPr>
                  <w:tcW w:w="940" w:type="pct"/>
                  <w:vAlign w:val="center"/>
                </w:tcPr>
                <w:p w14:paraId="4D5EB978">
                  <w:pPr>
                    <w:spacing w:line="300" w:lineRule="auto"/>
                    <w:jc w:val="center"/>
                    <w:rPr>
                      <w:szCs w:val="21"/>
                    </w:rPr>
                  </w:pPr>
                  <w:r>
                    <w:rPr>
                      <w:rFonts w:hint="eastAsia"/>
                      <w:szCs w:val="21"/>
                    </w:rPr>
                    <w:t>云南省环保厅</w:t>
                  </w:r>
                </w:p>
              </w:tc>
              <w:tc>
                <w:tcPr>
                  <w:tcW w:w="941" w:type="pct"/>
                  <w:vAlign w:val="center"/>
                </w:tcPr>
                <w:p w14:paraId="6C26987F">
                  <w:pPr>
                    <w:spacing w:line="300" w:lineRule="auto"/>
                    <w:jc w:val="center"/>
                    <w:rPr>
                      <w:szCs w:val="21"/>
                    </w:rPr>
                  </w:pPr>
                  <w:r>
                    <w:rPr>
                      <w:szCs w:val="21"/>
                    </w:rPr>
                    <w:t>云环审</w:t>
                  </w:r>
                </w:p>
                <w:p w14:paraId="45FE1380">
                  <w:pPr>
                    <w:spacing w:line="300" w:lineRule="auto"/>
                    <w:jc w:val="center"/>
                    <w:rPr>
                      <w:szCs w:val="21"/>
                    </w:rPr>
                  </w:pPr>
                  <w:r>
                    <w:rPr>
                      <w:rFonts w:hint="eastAsia"/>
                      <w:szCs w:val="21"/>
                    </w:rPr>
                    <w:t>〔2013〕254号</w:t>
                  </w:r>
                </w:p>
              </w:tc>
              <w:tc>
                <w:tcPr>
                  <w:tcW w:w="1782" w:type="pct"/>
                  <w:gridSpan w:val="2"/>
                  <w:vAlign w:val="center"/>
                </w:tcPr>
                <w:p w14:paraId="421E0127">
                  <w:pPr>
                    <w:spacing w:line="30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2020年9月，通过建设单位</w:t>
                  </w:r>
                </w:p>
                <w:p w14:paraId="08D9104E">
                  <w:pPr>
                    <w:spacing w:line="30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组织的自主验收</w:t>
                  </w:r>
                </w:p>
              </w:tc>
            </w:tr>
          </w:tbl>
          <w:p w14:paraId="030DCC56">
            <w:pPr>
              <w:pStyle w:val="36"/>
              <w:spacing w:line="240" w:lineRule="auto"/>
              <w:ind w:firstLine="0" w:firstLineChars="0"/>
              <w:rPr>
                <w:color w:val="000000" w:themeColor="text1"/>
                <w:spacing w:val="0"/>
                <w:lang w:eastAsia="zh-CN"/>
                <w14:textFill>
                  <w14:solidFill>
                    <w14:schemeClr w14:val="tx1"/>
                  </w14:solidFill>
                </w14:textFill>
              </w:rPr>
            </w:pPr>
          </w:p>
          <w:p w14:paraId="190CC3FA">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（2）排污许可证</w:t>
            </w:r>
          </w:p>
          <w:p w14:paraId="3BE04F43">
            <w:pPr>
              <w:pStyle w:val="36"/>
              <w:ind w:firstLine="480"/>
              <w:rPr>
                <w:rFonts w:cs="Times New Roman"/>
                <w:color w:val="000000" w:themeColor="text1"/>
                <w:spacing w:val="0"/>
                <w:lang w:eastAsia="zh-CN"/>
                <w14:textFill>
                  <w14:solidFill>
                    <w14:schemeClr w14:val="tx1"/>
                  </w14:solidFill>
                </w14:textFill>
              </w:rPr>
            </w:pPr>
            <w:r>
              <w:rPr>
                <w:rFonts w:hint="eastAsia" w:cs="Times New Roman"/>
                <w:color w:val="000000" w:themeColor="text1"/>
                <w:spacing w:val="0"/>
                <w:lang w:eastAsia="zh-CN"/>
                <w14:textFill>
                  <w14:solidFill>
                    <w14:schemeClr w14:val="tx1"/>
                  </w14:solidFill>
                </w14:textFill>
              </w:rPr>
              <w:t>2018年11月26日，云南海潮集团听牧肉牛产业股份有限公司申领排污许可证（证号91530100775514867E001U），有效期2018年11月28日-2021年11月27日。</w:t>
            </w:r>
          </w:p>
          <w:p w14:paraId="4F796DC4">
            <w:pPr>
              <w:pStyle w:val="36"/>
              <w:ind w:firstLine="480"/>
              <w:rPr>
                <w:rFonts w:cs="Times New Roman"/>
                <w:color w:val="000000" w:themeColor="text1"/>
                <w:spacing w:val="0"/>
                <w:lang w:eastAsia="zh-CN"/>
                <w14:textFill>
                  <w14:solidFill>
                    <w14:schemeClr w14:val="tx1"/>
                  </w14:solidFill>
                </w14:textFill>
              </w:rPr>
            </w:pPr>
            <w:r>
              <w:rPr>
                <w:rFonts w:hint="eastAsia" w:cs="Times New Roman"/>
                <w:color w:val="000000" w:themeColor="text1"/>
                <w:spacing w:val="0"/>
                <w:lang w:eastAsia="zh-CN"/>
                <w14:textFill>
                  <w14:solidFill>
                    <w14:schemeClr w14:val="tx1"/>
                  </w14:solidFill>
                </w14:textFill>
              </w:rPr>
              <w:t>2021年12月7</w:t>
            </w:r>
            <w:r>
              <w:rPr>
                <w:rFonts w:hint="eastAsia"/>
                <w:spacing w:val="0"/>
                <w:lang w:eastAsia="zh-CN"/>
              </w:rPr>
              <w:t>日，</w:t>
            </w:r>
            <w:r>
              <w:rPr>
                <w:rFonts w:hint="eastAsia" w:cs="Times New Roman"/>
                <w:color w:val="000000" w:themeColor="text1"/>
                <w:spacing w:val="0"/>
                <w:lang w:eastAsia="zh-CN"/>
                <w14:textFill>
                  <w14:solidFill>
                    <w14:schemeClr w14:val="tx1"/>
                  </w14:solidFill>
                </w14:textFill>
              </w:rPr>
              <w:t>云南海潮集团听牧肉牛产业股份有限公司延续排污许可证，有效期2021年11月28日-2026年11月27日。</w:t>
            </w:r>
          </w:p>
          <w:p w14:paraId="5C849C67">
            <w:pPr>
              <w:pStyle w:val="36"/>
              <w:ind w:firstLine="482"/>
              <w:jc w:val="left"/>
              <w:rPr>
                <w:rFonts w:cs="Times New Roman"/>
                <w:b/>
                <w:bCs/>
                <w:color w:val="000000" w:themeColor="text1"/>
                <w:spacing w:val="0"/>
                <w:lang w:eastAsia="zh-CN"/>
                <w14:textFill>
                  <w14:solidFill>
                    <w14:schemeClr w14:val="tx1"/>
                  </w14:solidFill>
                </w14:textFill>
              </w:rPr>
            </w:pPr>
            <w:r>
              <w:rPr>
                <w:rFonts w:hint="eastAsia" w:cs="Times New Roman"/>
                <w:b/>
                <w:bCs/>
                <w:color w:val="000000" w:themeColor="text1"/>
                <w:spacing w:val="0"/>
                <w:lang w:eastAsia="zh-CN"/>
                <w14:textFill>
                  <w14:solidFill>
                    <w14:schemeClr w14:val="tx1"/>
                  </w14:solidFill>
                </w14:textFill>
              </w:rPr>
              <w:t>（3）突发环境事件应急预案</w:t>
            </w:r>
          </w:p>
          <w:p w14:paraId="1C4368D4">
            <w:pPr>
              <w:pStyle w:val="36"/>
              <w:ind w:firstLine="480"/>
              <w:rPr>
                <w:rFonts w:cs="Times New Roman"/>
                <w:color w:val="000000" w:themeColor="text1"/>
                <w:spacing w:val="0"/>
                <w:lang w:eastAsia="zh-CN"/>
                <w14:textFill>
                  <w14:solidFill>
                    <w14:schemeClr w14:val="tx1"/>
                  </w14:solidFill>
                </w14:textFill>
              </w:rPr>
            </w:pPr>
            <w:r>
              <w:rPr>
                <w:rFonts w:hint="eastAsia" w:cs="Times New Roman"/>
                <w:color w:val="000000" w:themeColor="text1"/>
                <w:spacing w:val="0"/>
                <w:lang w:eastAsia="zh-CN"/>
                <w14:textFill>
                  <w14:solidFill>
                    <w14:schemeClr w14:val="tx1"/>
                  </w14:solidFill>
                </w14:textFill>
              </w:rPr>
              <w:t>2024年8月20</w:t>
            </w:r>
            <w:r>
              <w:rPr>
                <w:rFonts w:hint="eastAsia"/>
                <w:spacing w:val="0"/>
                <w:lang w:eastAsia="zh-CN"/>
              </w:rPr>
              <w:t>日，</w:t>
            </w:r>
            <w:r>
              <w:rPr>
                <w:rFonts w:hint="eastAsia" w:cs="Times New Roman"/>
                <w:color w:val="000000" w:themeColor="text1"/>
                <w:spacing w:val="0"/>
                <w:lang w:eastAsia="zh-CN"/>
                <w14:textFill>
                  <w14:solidFill>
                    <w14:schemeClr w14:val="tx1"/>
                  </w14:solidFill>
                </w14:textFill>
              </w:rPr>
              <w:t>云南海潮集团听牧肉牛产业股份有限公司签署发布《突发环境事件应急预案（第二版）》。</w:t>
            </w:r>
          </w:p>
          <w:p w14:paraId="0EE77847">
            <w:pPr>
              <w:pStyle w:val="36"/>
              <w:ind w:firstLine="480"/>
              <w:rPr>
                <w:rFonts w:cs="Times New Roman"/>
                <w:color w:val="000000" w:themeColor="text1"/>
                <w:spacing w:val="0"/>
                <w:lang w:eastAsia="zh-CN"/>
                <w14:textFill>
                  <w14:solidFill>
                    <w14:schemeClr w14:val="tx1"/>
                  </w14:solidFill>
                </w14:textFill>
              </w:rPr>
            </w:pPr>
            <w:r>
              <w:rPr>
                <w:rFonts w:hint="eastAsia" w:cs="Times New Roman"/>
                <w:color w:val="000000" w:themeColor="text1"/>
                <w:spacing w:val="0"/>
                <w:lang w:eastAsia="zh-CN"/>
                <w14:textFill>
                  <w14:solidFill>
                    <w14:schemeClr w14:val="tx1"/>
                  </w14:solidFill>
                </w14:textFill>
              </w:rPr>
              <w:t>2024年9月3日，《突发环境事件应急预案（第二版）》于昆明市生态环境局寻甸分局完成备案（编号530-129-2024-068-L）。</w:t>
            </w:r>
          </w:p>
          <w:p w14:paraId="6DB155BD">
            <w:pPr>
              <w:pStyle w:val="36"/>
              <w:ind w:firstLine="0" w:firstLineChars="0"/>
              <w:jc w:val="left"/>
              <w:rPr>
                <w:b/>
                <w:bCs/>
                <w:color w:val="000000" w:themeColor="text1"/>
                <w:spacing w:val="0"/>
                <w:sz w:val="28"/>
                <w:szCs w:val="28"/>
                <w:lang w:eastAsia="zh-CN"/>
                <w14:textFill>
                  <w14:solidFill>
                    <w14:schemeClr w14:val="tx1"/>
                  </w14:solidFill>
                </w14:textFill>
              </w:rPr>
            </w:pPr>
            <w:r>
              <w:rPr>
                <w:rFonts w:hint="eastAsia"/>
                <w:b/>
                <w:bCs/>
                <w:color w:val="000000" w:themeColor="text1"/>
                <w:spacing w:val="0"/>
                <w:sz w:val="28"/>
                <w:szCs w:val="28"/>
                <w:lang w:eastAsia="zh-CN"/>
                <w14:textFill>
                  <w14:solidFill>
                    <w14:schemeClr w14:val="tx1"/>
                  </w14:solidFill>
                </w14:textFill>
              </w:rPr>
              <w:t>2、现有项目污染物排放情况</w:t>
            </w:r>
          </w:p>
          <w:p w14:paraId="4EE02497">
            <w:pPr>
              <w:pStyle w:val="36"/>
              <w:ind w:firstLine="482"/>
              <w:jc w:val="left"/>
              <w:rPr>
                <w:rFonts w:cs="Times New Roman"/>
                <w:b/>
                <w:bCs/>
                <w:color w:val="000000" w:themeColor="text1"/>
                <w:spacing w:val="0"/>
                <w:lang w:eastAsia="zh-CN"/>
                <w14:textFill>
                  <w14:solidFill>
                    <w14:schemeClr w14:val="tx1"/>
                  </w14:solidFill>
                </w14:textFill>
              </w:rPr>
            </w:pPr>
            <w:r>
              <w:rPr>
                <w:rFonts w:hint="eastAsia" w:cs="Times New Roman"/>
                <w:b/>
                <w:bCs/>
                <w:color w:val="000000" w:themeColor="text1"/>
                <w:spacing w:val="0"/>
                <w:lang w:eastAsia="zh-CN"/>
                <w14:textFill>
                  <w14:solidFill>
                    <w14:schemeClr w14:val="tx1"/>
                  </w14:solidFill>
                </w14:textFill>
              </w:rPr>
              <w:t>（1）废水</w:t>
            </w:r>
          </w:p>
          <w:p w14:paraId="5441F706">
            <w:pPr>
              <w:pStyle w:val="36"/>
              <w:ind w:firstLine="480"/>
              <w:rPr>
                <w:color w:val="000000" w:themeColor="text1"/>
                <w:spacing w:val="0"/>
                <w:kern w:val="0"/>
                <w:szCs w:val="21"/>
                <w:lang w:eastAsia="zh-CN" w:bidi="ar"/>
                <w14:textFill>
                  <w14:solidFill>
                    <w14:schemeClr w14:val="tx1"/>
                  </w14:solidFill>
                </w14:textFill>
              </w:rPr>
            </w:pPr>
            <w:r>
              <w:rPr>
                <w:rFonts w:hint="eastAsia"/>
                <w:color w:val="000000" w:themeColor="text1"/>
                <w:spacing w:val="0"/>
                <w:lang w:eastAsia="zh-CN"/>
                <w14:textFill>
                  <w14:solidFill>
                    <w14:schemeClr w14:val="tx1"/>
                  </w14:solidFill>
                </w14:textFill>
              </w:rPr>
              <w:t>根据</w:t>
            </w:r>
            <w:r>
              <w:rPr>
                <w:rFonts w:hint="eastAsia" w:cs="Times New Roman"/>
                <w:color w:val="000000" w:themeColor="text1"/>
                <w:spacing w:val="0"/>
                <w:lang w:eastAsia="zh-CN"/>
                <w14:textFill>
                  <w14:solidFill>
                    <w14:schemeClr w14:val="tx1"/>
                  </w14:solidFill>
                </w14:textFill>
              </w:rPr>
              <w:t>云南海潮集团听牧肉牛产业股份有限公司提供的资料，</w:t>
            </w:r>
            <w:r>
              <w:rPr>
                <w:rFonts w:hint="eastAsia"/>
                <w:color w:val="000000" w:themeColor="text1"/>
                <w:spacing w:val="0"/>
                <w:lang w:eastAsia="zh-CN"/>
                <w14:textFill>
                  <w14:solidFill>
                    <w14:schemeClr w14:val="tx1"/>
                  </w14:solidFill>
                </w14:textFill>
              </w:rPr>
              <w:t>30000头/年肉牛屠宰项目实际屠宰量约15000头/年。目前，全厂</w:t>
            </w:r>
            <w:r>
              <w:rPr>
                <w:rFonts w:hint="eastAsia"/>
                <w:color w:val="000000" w:themeColor="text1"/>
                <w:spacing w:val="0"/>
                <w:kern w:val="0"/>
                <w:szCs w:val="21"/>
                <w:lang w:eastAsia="zh-CN" w:bidi="ar"/>
                <w14:textFill>
                  <w14:solidFill>
                    <w14:schemeClr w14:val="tx1"/>
                  </w14:solidFill>
                </w14:textFill>
              </w:rPr>
              <w:t>生产废水、生活污水量约38080</w:t>
            </w:r>
            <w:r>
              <w:rPr>
                <w:color w:val="000000" w:themeColor="text1"/>
                <w:spacing w:val="0"/>
                <w:kern w:val="0"/>
                <w:szCs w:val="21"/>
                <w:lang w:eastAsia="zh-CN" w:bidi="ar"/>
                <w14:textFill>
                  <w14:solidFill>
                    <w14:schemeClr w14:val="tx1"/>
                  </w14:solidFill>
                </w14:textFill>
              </w:rPr>
              <w:t>m</w:t>
            </w:r>
            <w:r>
              <w:rPr>
                <w:color w:val="000000" w:themeColor="text1"/>
                <w:spacing w:val="0"/>
                <w:kern w:val="0"/>
                <w:szCs w:val="21"/>
                <w:vertAlign w:val="superscript"/>
                <w:lang w:eastAsia="zh-CN" w:bidi="ar"/>
                <w14:textFill>
                  <w14:solidFill>
                    <w14:schemeClr w14:val="tx1"/>
                  </w14:solidFill>
                </w14:textFill>
              </w:rPr>
              <w:t>3</w:t>
            </w:r>
            <w:r>
              <w:rPr>
                <w:rFonts w:hint="eastAsia"/>
                <w:spacing w:val="0"/>
                <w:lang w:eastAsia="zh-CN"/>
              </w:rPr>
              <w:t>/a（</w:t>
            </w:r>
            <w:r>
              <w:rPr>
                <w:rFonts w:hint="eastAsia"/>
                <w:color w:val="000000" w:themeColor="text1"/>
                <w:spacing w:val="0"/>
                <w:kern w:val="0"/>
                <w:szCs w:val="21"/>
                <w:lang w:eastAsia="zh-CN" w:bidi="ar"/>
                <w14:textFill>
                  <w14:solidFill>
                    <w14:schemeClr w14:val="tx1"/>
                  </w14:solidFill>
                </w14:textFill>
              </w:rPr>
              <w:t>108.8</w:t>
            </w:r>
            <w:r>
              <w:rPr>
                <w:color w:val="000000" w:themeColor="text1"/>
                <w:spacing w:val="0"/>
                <w:kern w:val="0"/>
                <w:szCs w:val="21"/>
                <w:lang w:eastAsia="zh-CN" w:bidi="ar"/>
                <w14:textFill>
                  <w14:solidFill>
                    <w14:schemeClr w14:val="tx1"/>
                  </w14:solidFill>
                </w14:textFill>
              </w:rPr>
              <w:t>m</w:t>
            </w:r>
            <w:r>
              <w:rPr>
                <w:color w:val="000000" w:themeColor="text1"/>
                <w:spacing w:val="0"/>
                <w:kern w:val="0"/>
                <w:szCs w:val="21"/>
                <w:vertAlign w:val="superscript"/>
                <w:lang w:eastAsia="zh-CN" w:bidi="ar"/>
                <w14:textFill>
                  <w14:solidFill>
                    <w14:schemeClr w14:val="tx1"/>
                  </w14:solidFill>
                </w14:textFill>
              </w:rPr>
              <w:t>3</w:t>
            </w:r>
            <w:r>
              <w:rPr>
                <w:rFonts w:hint="eastAsia"/>
                <w:spacing w:val="0"/>
                <w:lang w:eastAsia="zh-CN"/>
              </w:rPr>
              <w:t>/d），生产废水为高浓度有机废水，主要污染物为COD、BOD</w:t>
            </w:r>
            <w:r>
              <w:rPr>
                <w:rFonts w:hint="eastAsia"/>
                <w:spacing w:val="0"/>
                <w:vertAlign w:val="subscript"/>
                <w:lang w:eastAsia="zh-CN"/>
              </w:rPr>
              <w:t>5</w:t>
            </w:r>
            <w:r>
              <w:rPr>
                <w:rFonts w:hint="eastAsia"/>
                <w:spacing w:val="0"/>
                <w:lang w:eastAsia="zh-CN"/>
              </w:rPr>
              <w:t>、TP、TN、NH</w:t>
            </w:r>
            <w:r>
              <w:rPr>
                <w:rFonts w:hint="eastAsia"/>
                <w:spacing w:val="0"/>
                <w:vertAlign w:val="subscript"/>
                <w:lang w:eastAsia="zh-CN"/>
              </w:rPr>
              <w:t>3</w:t>
            </w:r>
            <w:r>
              <w:rPr>
                <w:rFonts w:hint="eastAsia"/>
                <w:spacing w:val="0"/>
                <w:lang w:eastAsia="zh-CN"/>
              </w:rPr>
              <w:t>-N、动植物油等。生产废水、生活污水收集后</w:t>
            </w:r>
            <w:r>
              <w:rPr>
                <w:rFonts w:hint="eastAsia"/>
                <w:color w:val="000000" w:themeColor="text1"/>
                <w:spacing w:val="0"/>
                <w:kern w:val="0"/>
                <w:szCs w:val="21"/>
                <w:lang w:eastAsia="zh-CN" w:bidi="ar"/>
                <w14:textFill>
                  <w14:solidFill>
                    <w14:schemeClr w14:val="tx1"/>
                  </w14:solidFill>
                </w14:textFill>
              </w:rPr>
              <w:t>经厂区现有处理规模250</w:t>
            </w:r>
            <w:r>
              <w:rPr>
                <w:color w:val="000000" w:themeColor="text1"/>
                <w:spacing w:val="0"/>
                <w:kern w:val="0"/>
                <w:szCs w:val="21"/>
                <w:lang w:eastAsia="zh-CN" w:bidi="ar"/>
                <w14:textFill>
                  <w14:solidFill>
                    <w14:schemeClr w14:val="tx1"/>
                  </w14:solidFill>
                </w14:textFill>
              </w:rPr>
              <w:t>m</w:t>
            </w:r>
            <w:r>
              <w:rPr>
                <w:color w:val="000000" w:themeColor="text1"/>
                <w:spacing w:val="0"/>
                <w:kern w:val="0"/>
                <w:szCs w:val="21"/>
                <w:vertAlign w:val="superscript"/>
                <w:lang w:eastAsia="zh-CN" w:bidi="ar"/>
                <w14:textFill>
                  <w14:solidFill>
                    <w14:schemeClr w14:val="tx1"/>
                  </w14:solidFill>
                </w14:textFill>
              </w:rPr>
              <w:t>3</w:t>
            </w:r>
            <w:r>
              <w:rPr>
                <w:rFonts w:hint="eastAsia"/>
                <w:spacing w:val="0"/>
                <w:lang w:eastAsia="zh-CN"/>
              </w:rPr>
              <w:t>/d的</w:t>
            </w:r>
            <w:r>
              <w:rPr>
                <w:rFonts w:hint="eastAsia"/>
                <w:color w:val="000000" w:themeColor="text1"/>
                <w:spacing w:val="0"/>
                <w:kern w:val="0"/>
                <w:szCs w:val="21"/>
                <w:lang w:eastAsia="zh-CN" w:bidi="ar"/>
                <w14:textFill>
                  <w14:solidFill>
                    <w14:schemeClr w14:val="tx1"/>
                  </w14:solidFill>
                </w14:textFill>
              </w:rPr>
              <w:t>废水处理站处理达标后用于厂区绿化、洒水降尘，不外排。</w:t>
            </w:r>
            <w:r>
              <w:rPr>
                <w:rFonts w:hint="eastAsia" w:cs="Times New Roman"/>
                <w:color w:val="000000"/>
                <w:spacing w:val="0"/>
                <w:kern w:val="0"/>
                <w:szCs w:val="21"/>
                <w:lang w:eastAsia="zh-CN" w:bidi="ar"/>
              </w:rPr>
              <w:t>雨天情况下，废水处理站处理达标后水量暂存至4700m</w:t>
            </w:r>
            <w:r>
              <w:rPr>
                <w:rFonts w:hint="eastAsia" w:cs="Times New Roman"/>
                <w:color w:val="000000"/>
                <w:spacing w:val="0"/>
                <w:kern w:val="0"/>
                <w:szCs w:val="21"/>
                <w:vertAlign w:val="superscript"/>
                <w:lang w:eastAsia="zh-CN" w:bidi="ar"/>
              </w:rPr>
              <w:t>3</w:t>
            </w:r>
            <w:r>
              <w:rPr>
                <w:rFonts w:hint="eastAsia" w:cs="Times New Roman"/>
                <w:color w:val="000000"/>
                <w:spacing w:val="0"/>
                <w:kern w:val="0"/>
                <w:szCs w:val="21"/>
                <w:lang w:eastAsia="zh-CN" w:bidi="ar"/>
              </w:rPr>
              <w:t>蓄水池，待晴天用作厂区绿化、洒水降尘。</w:t>
            </w:r>
            <w:r>
              <w:rPr>
                <w:rFonts w:hint="eastAsia"/>
                <w:color w:val="000000" w:themeColor="text1"/>
                <w:spacing w:val="0"/>
                <w:kern w:val="0"/>
                <w:szCs w:val="21"/>
                <w:lang w:eastAsia="zh-CN" w:bidi="ar"/>
                <w14:textFill>
                  <w14:solidFill>
                    <w14:schemeClr w14:val="tx1"/>
                  </w14:solidFill>
                </w14:textFill>
              </w:rPr>
              <w:t>废水处理工艺为：</w:t>
            </w:r>
            <w:r>
              <w:rPr>
                <w:rFonts w:hint="eastAsia"/>
                <w:spacing w:val="0"/>
                <w:lang w:eastAsia="zh-CN"/>
              </w:rPr>
              <w:t>机械格栅+微滤机+气浮+强化厌氧+接触氧化+过滤吸附+消毒。</w:t>
            </w:r>
          </w:p>
          <w:p w14:paraId="08A9CB88">
            <w:pPr>
              <w:pStyle w:val="36"/>
              <w:ind w:firstLine="480"/>
              <w:rPr>
                <w:color w:val="000000"/>
                <w:spacing w:val="0"/>
                <w:lang w:eastAsia="zh-CN"/>
              </w:rPr>
            </w:pPr>
            <w:r>
              <w:rPr>
                <w:rFonts w:hint="eastAsia"/>
                <w:color w:val="000000"/>
                <w:spacing w:val="0"/>
                <w:lang w:eastAsia="zh-CN"/>
              </w:rPr>
              <w:t>根据2024年11月，云南海潮集团听牧肉牛产业股份有限公司排污许可自行监测：废水处理站回用水监测口水质达到《城市污水再生利用 城市杂用水水质》（GB/T 18920-2020）表1“城市绿化、道路清扫”标准。</w:t>
            </w:r>
          </w:p>
          <w:p w14:paraId="74F1DA19">
            <w:pPr>
              <w:pStyle w:val="29"/>
              <w:outlineLvl w:val="9"/>
              <w:rPr>
                <w:rFonts w:hint="default"/>
              </w:rPr>
            </w:pPr>
            <w:r>
              <w:rPr>
                <w:rFonts w:hint="default"/>
              </w:rPr>
              <w:t xml:space="preserve">表2-8 </w:t>
            </w:r>
            <w:r>
              <w:t>项目废水</w:t>
            </w:r>
            <w:r>
              <w:rPr>
                <w:rFonts w:hint="default"/>
              </w:rPr>
              <w:t>处理站出水检测结果表</w:t>
            </w:r>
          </w:p>
          <w:tbl>
            <w:tblPr>
              <w:tblStyle w:val="23"/>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1134"/>
              <w:gridCol w:w="852"/>
              <w:gridCol w:w="852"/>
              <w:gridCol w:w="854"/>
              <w:gridCol w:w="915"/>
              <w:gridCol w:w="915"/>
              <w:gridCol w:w="836"/>
            </w:tblGrid>
            <w:tr w14:paraId="3CB4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65" w:type="pct"/>
                  <w:vAlign w:val="center"/>
                </w:tcPr>
                <w:p w14:paraId="7D48EC09">
                  <w:pPr>
                    <w:pStyle w:val="31"/>
                    <w:rPr>
                      <w:b/>
                      <w:bCs/>
                    </w:rPr>
                  </w:pPr>
                  <w:r>
                    <w:rPr>
                      <w:rFonts w:hint="eastAsia"/>
                      <w:b/>
                      <w:bCs/>
                    </w:rPr>
                    <w:t>项目</w:t>
                  </w:r>
                </w:p>
              </w:tc>
              <w:tc>
                <w:tcPr>
                  <w:tcW w:w="684" w:type="pct"/>
                  <w:vAlign w:val="center"/>
                </w:tcPr>
                <w:p w14:paraId="71941851">
                  <w:pPr>
                    <w:pStyle w:val="31"/>
                    <w:rPr>
                      <w:b/>
                      <w:bCs/>
                    </w:rPr>
                  </w:pPr>
                  <w:r>
                    <w:rPr>
                      <w:rFonts w:hint="eastAsia"/>
                      <w:b/>
                      <w:bCs/>
                    </w:rPr>
                    <w:t>单位</w:t>
                  </w:r>
                </w:p>
              </w:tc>
              <w:tc>
                <w:tcPr>
                  <w:tcW w:w="1543" w:type="pct"/>
                  <w:gridSpan w:val="3"/>
                  <w:vAlign w:val="center"/>
                </w:tcPr>
                <w:p w14:paraId="5975CFCA">
                  <w:pPr>
                    <w:pStyle w:val="31"/>
                    <w:rPr>
                      <w:b/>
                      <w:bCs/>
                    </w:rPr>
                  </w:pPr>
                  <w:r>
                    <w:rPr>
                      <w:rFonts w:hint="eastAsia"/>
                      <w:b/>
                      <w:bCs/>
                    </w:rPr>
                    <w:t>回用水监测口</w:t>
                  </w:r>
                </w:p>
              </w:tc>
              <w:tc>
                <w:tcPr>
                  <w:tcW w:w="552" w:type="pct"/>
                  <w:vAlign w:val="center"/>
                </w:tcPr>
                <w:p w14:paraId="0930606F">
                  <w:pPr>
                    <w:pStyle w:val="31"/>
                    <w:rPr>
                      <w:b/>
                      <w:bCs/>
                    </w:rPr>
                  </w:pPr>
                  <w:r>
                    <w:rPr>
                      <w:rFonts w:hint="eastAsia"/>
                      <w:b/>
                      <w:bCs/>
                    </w:rPr>
                    <w:t>平均值</w:t>
                  </w:r>
                </w:p>
              </w:tc>
              <w:tc>
                <w:tcPr>
                  <w:tcW w:w="552" w:type="pct"/>
                  <w:vAlign w:val="center"/>
                </w:tcPr>
                <w:p w14:paraId="1FF0379A">
                  <w:pPr>
                    <w:pStyle w:val="31"/>
                    <w:rPr>
                      <w:b/>
                      <w:bCs/>
                    </w:rPr>
                  </w:pPr>
                  <w:r>
                    <w:rPr>
                      <w:rFonts w:hint="eastAsia"/>
                      <w:b/>
                      <w:bCs/>
                    </w:rPr>
                    <w:t>标准值</w:t>
                  </w:r>
                </w:p>
              </w:tc>
              <w:tc>
                <w:tcPr>
                  <w:tcW w:w="504" w:type="pct"/>
                  <w:vAlign w:val="center"/>
                </w:tcPr>
                <w:p w14:paraId="5D91C80A">
                  <w:pPr>
                    <w:pStyle w:val="31"/>
                    <w:rPr>
                      <w:b/>
                      <w:bCs/>
                    </w:rPr>
                  </w:pPr>
                  <w:r>
                    <w:rPr>
                      <w:rFonts w:hint="eastAsia"/>
                      <w:b/>
                      <w:bCs/>
                    </w:rPr>
                    <w:t>达标情况</w:t>
                  </w:r>
                </w:p>
              </w:tc>
            </w:tr>
            <w:tr w14:paraId="6C18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65" w:type="pct"/>
                  <w:vAlign w:val="center"/>
                </w:tcPr>
                <w:p w14:paraId="288DFFE8">
                  <w:pPr>
                    <w:pStyle w:val="31"/>
                  </w:pPr>
                  <w:r>
                    <w:rPr>
                      <w:rFonts w:hint="eastAsia"/>
                    </w:rPr>
                    <w:t>pH</w:t>
                  </w:r>
                </w:p>
              </w:tc>
              <w:tc>
                <w:tcPr>
                  <w:tcW w:w="684" w:type="pct"/>
                  <w:vAlign w:val="center"/>
                </w:tcPr>
                <w:p w14:paraId="6A9F27B8">
                  <w:pPr>
                    <w:pStyle w:val="31"/>
                  </w:pPr>
                  <w:r>
                    <w:rPr>
                      <w:rFonts w:hint="eastAsia"/>
                    </w:rPr>
                    <w:t>无量纲</w:t>
                  </w:r>
                </w:p>
              </w:tc>
              <w:tc>
                <w:tcPr>
                  <w:tcW w:w="514" w:type="pct"/>
                  <w:vAlign w:val="center"/>
                </w:tcPr>
                <w:p w14:paraId="76C39FC6">
                  <w:pPr>
                    <w:pStyle w:val="31"/>
                  </w:pPr>
                  <w:r>
                    <w:rPr>
                      <w:rFonts w:hint="eastAsia"/>
                    </w:rPr>
                    <w:t>8.12</w:t>
                  </w:r>
                </w:p>
              </w:tc>
              <w:tc>
                <w:tcPr>
                  <w:tcW w:w="514" w:type="pct"/>
                  <w:vAlign w:val="center"/>
                </w:tcPr>
                <w:p w14:paraId="49D55847">
                  <w:pPr>
                    <w:pStyle w:val="31"/>
                  </w:pPr>
                  <w:r>
                    <w:rPr>
                      <w:rFonts w:hint="eastAsia"/>
                    </w:rPr>
                    <w:t>8.09</w:t>
                  </w:r>
                </w:p>
              </w:tc>
              <w:tc>
                <w:tcPr>
                  <w:tcW w:w="515" w:type="pct"/>
                  <w:vAlign w:val="center"/>
                </w:tcPr>
                <w:p w14:paraId="18A8849F">
                  <w:pPr>
                    <w:pStyle w:val="31"/>
                  </w:pPr>
                  <w:r>
                    <w:rPr>
                      <w:rFonts w:hint="eastAsia"/>
                    </w:rPr>
                    <w:t>8.11</w:t>
                  </w:r>
                </w:p>
              </w:tc>
              <w:tc>
                <w:tcPr>
                  <w:tcW w:w="552" w:type="pct"/>
                  <w:vAlign w:val="center"/>
                </w:tcPr>
                <w:p w14:paraId="13F47FA9">
                  <w:pPr>
                    <w:pStyle w:val="31"/>
                  </w:pPr>
                  <w:r>
                    <w:rPr>
                      <w:rFonts w:hint="eastAsia"/>
                    </w:rPr>
                    <w:t>—</w:t>
                  </w:r>
                </w:p>
              </w:tc>
              <w:tc>
                <w:tcPr>
                  <w:tcW w:w="552" w:type="pct"/>
                  <w:vAlign w:val="center"/>
                </w:tcPr>
                <w:p w14:paraId="25D23D34">
                  <w:pPr>
                    <w:pStyle w:val="31"/>
                  </w:pPr>
                  <w:r>
                    <w:rPr>
                      <w:rFonts w:hint="eastAsia"/>
                    </w:rPr>
                    <w:t>6.0-9.0</w:t>
                  </w:r>
                </w:p>
              </w:tc>
              <w:tc>
                <w:tcPr>
                  <w:tcW w:w="504" w:type="pct"/>
                  <w:vAlign w:val="center"/>
                </w:tcPr>
                <w:p w14:paraId="0D82C052">
                  <w:pPr>
                    <w:pStyle w:val="31"/>
                  </w:pPr>
                  <w:r>
                    <w:rPr>
                      <w:rFonts w:hint="eastAsia"/>
                    </w:rPr>
                    <w:t>达标</w:t>
                  </w:r>
                </w:p>
              </w:tc>
            </w:tr>
            <w:tr w14:paraId="11D2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65" w:type="pct"/>
                  <w:vAlign w:val="center"/>
                </w:tcPr>
                <w:p w14:paraId="0DB41946">
                  <w:pPr>
                    <w:pStyle w:val="31"/>
                  </w:pPr>
                  <w:r>
                    <w:rPr>
                      <w:rFonts w:hint="eastAsia"/>
                    </w:rPr>
                    <w:t>色度</w:t>
                  </w:r>
                </w:p>
              </w:tc>
              <w:tc>
                <w:tcPr>
                  <w:tcW w:w="684" w:type="pct"/>
                  <w:vAlign w:val="center"/>
                </w:tcPr>
                <w:p w14:paraId="513A441B">
                  <w:pPr>
                    <w:pStyle w:val="31"/>
                  </w:pPr>
                  <w:r>
                    <w:rPr>
                      <w:rFonts w:hint="eastAsia"/>
                    </w:rPr>
                    <w:t>度</w:t>
                  </w:r>
                </w:p>
              </w:tc>
              <w:tc>
                <w:tcPr>
                  <w:tcW w:w="514" w:type="pct"/>
                  <w:vAlign w:val="center"/>
                </w:tcPr>
                <w:p w14:paraId="4353AA0F">
                  <w:pPr>
                    <w:pStyle w:val="31"/>
                  </w:pPr>
                  <w:r>
                    <w:rPr>
                      <w:rFonts w:hint="eastAsia"/>
                    </w:rPr>
                    <w:t>5L</w:t>
                  </w:r>
                </w:p>
              </w:tc>
              <w:tc>
                <w:tcPr>
                  <w:tcW w:w="514" w:type="pct"/>
                  <w:vAlign w:val="center"/>
                </w:tcPr>
                <w:p w14:paraId="7BAFCAA7">
                  <w:pPr>
                    <w:pStyle w:val="31"/>
                  </w:pPr>
                  <w:r>
                    <w:rPr>
                      <w:rFonts w:hint="eastAsia"/>
                    </w:rPr>
                    <w:t>5L</w:t>
                  </w:r>
                </w:p>
              </w:tc>
              <w:tc>
                <w:tcPr>
                  <w:tcW w:w="515" w:type="pct"/>
                  <w:vAlign w:val="center"/>
                </w:tcPr>
                <w:p w14:paraId="21FE5444">
                  <w:pPr>
                    <w:pStyle w:val="31"/>
                  </w:pPr>
                  <w:r>
                    <w:rPr>
                      <w:rFonts w:hint="eastAsia"/>
                    </w:rPr>
                    <w:t>5L</w:t>
                  </w:r>
                </w:p>
              </w:tc>
              <w:tc>
                <w:tcPr>
                  <w:tcW w:w="552" w:type="pct"/>
                  <w:vAlign w:val="center"/>
                </w:tcPr>
                <w:p w14:paraId="34F38840">
                  <w:pPr>
                    <w:pStyle w:val="31"/>
                  </w:pPr>
                  <w:r>
                    <w:rPr>
                      <w:rFonts w:hint="eastAsia"/>
                    </w:rPr>
                    <w:t>5L</w:t>
                  </w:r>
                </w:p>
              </w:tc>
              <w:tc>
                <w:tcPr>
                  <w:tcW w:w="552" w:type="pct"/>
                  <w:vAlign w:val="center"/>
                </w:tcPr>
                <w:p w14:paraId="7DBEC707">
                  <w:pPr>
                    <w:pStyle w:val="31"/>
                  </w:pPr>
                  <w:r>
                    <w:rPr>
                      <w:rFonts w:hint="eastAsia"/>
                    </w:rPr>
                    <w:t>30</w:t>
                  </w:r>
                </w:p>
              </w:tc>
              <w:tc>
                <w:tcPr>
                  <w:tcW w:w="504" w:type="pct"/>
                  <w:vAlign w:val="center"/>
                </w:tcPr>
                <w:p w14:paraId="1AE65833">
                  <w:pPr>
                    <w:pStyle w:val="31"/>
                  </w:pPr>
                  <w:r>
                    <w:rPr>
                      <w:rFonts w:hint="eastAsia"/>
                    </w:rPr>
                    <w:t>达标</w:t>
                  </w:r>
                </w:p>
              </w:tc>
            </w:tr>
            <w:tr w14:paraId="271E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65" w:type="pct"/>
                  <w:vAlign w:val="center"/>
                </w:tcPr>
                <w:p w14:paraId="06FF7FDF">
                  <w:pPr>
                    <w:pStyle w:val="31"/>
                  </w:pPr>
                  <w:r>
                    <w:rPr>
                      <w:rFonts w:hint="eastAsia"/>
                    </w:rPr>
                    <w:t>浊度</w:t>
                  </w:r>
                </w:p>
              </w:tc>
              <w:tc>
                <w:tcPr>
                  <w:tcW w:w="684" w:type="pct"/>
                  <w:vAlign w:val="center"/>
                </w:tcPr>
                <w:p w14:paraId="12D934D4">
                  <w:pPr>
                    <w:pStyle w:val="31"/>
                  </w:pPr>
                  <w:r>
                    <w:rPr>
                      <w:rFonts w:hint="eastAsia"/>
                    </w:rPr>
                    <w:t>NTU</w:t>
                  </w:r>
                </w:p>
              </w:tc>
              <w:tc>
                <w:tcPr>
                  <w:tcW w:w="514" w:type="pct"/>
                  <w:vAlign w:val="center"/>
                </w:tcPr>
                <w:p w14:paraId="31CC5FF0">
                  <w:pPr>
                    <w:pStyle w:val="31"/>
                  </w:pPr>
                  <w:r>
                    <w:rPr>
                      <w:rFonts w:hint="eastAsia"/>
                    </w:rPr>
                    <w:t>1L</w:t>
                  </w:r>
                </w:p>
              </w:tc>
              <w:tc>
                <w:tcPr>
                  <w:tcW w:w="514" w:type="pct"/>
                  <w:vAlign w:val="center"/>
                </w:tcPr>
                <w:p w14:paraId="08895980">
                  <w:pPr>
                    <w:pStyle w:val="31"/>
                  </w:pPr>
                  <w:r>
                    <w:rPr>
                      <w:rFonts w:hint="eastAsia"/>
                    </w:rPr>
                    <w:t>1L</w:t>
                  </w:r>
                </w:p>
              </w:tc>
              <w:tc>
                <w:tcPr>
                  <w:tcW w:w="515" w:type="pct"/>
                  <w:vAlign w:val="center"/>
                </w:tcPr>
                <w:p w14:paraId="183B38C7">
                  <w:pPr>
                    <w:pStyle w:val="31"/>
                  </w:pPr>
                  <w:r>
                    <w:rPr>
                      <w:rFonts w:hint="eastAsia"/>
                    </w:rPr>
                    <w:t>1L</w:t>
                  </w:r>
                </w:p>
              </w:tc>
              <w:tc>
                <w:tcPr>
                  <w:tcW w:w="552" w:type="pct"/>
                  <w:vAlign w:val="center"/>
                </w:tcPr>
                <w:p w14:paraId="32FDE364">
                  <w:pPr>
                    <w:pStyle w:val="31"/>
                  </w:pPr>
                  <w:r>
                    <w:rPr>
                      <w:rFonts w:hint="eastAsia"/>
                    </w:rPr>
                    <w:t>1L</w:t>
                  </w:r>
                </w:p>
              </w:tc>
              <w:tc>
                <w:tcPr>
                  <w:tcW w:w="552" w:type="pct"/>
                  <w:vAlign w:val="center"/>
                </w:tcPr>
                <w:p w14:paraId="5109368A">
                  <w:pPr>
                    <w:pStyle w:val="31"/>
                  </w:pPr>
                  <w:r>
                    <w:rPr>
                      <w:rFonts w:hint="eastAsia"/>
                    </w:rPr>
                    <w:t>10</w:t>
                  </w:r>
                </w:p>
              </w:tc>
              <w:tc>
                <w:tcPr>
                  <w:tcW w:w="504" w:type="pct"/>
                  <w:vAlign w:val="center"/>
                </w:tcPr>
                <w:p w14:paraId="697E2359">
                  <w:pPr>
                    <w:pStyle w:val="31"/>
                  </w:pPr>
                  <w:r>
                    <w:rPr>
                      <w:rFonts w:hint="eastAsia"/>
                    </w:rPr>
                    <w:t>达标</w:t>
                  </w:r>
                </w:p>
              </w:tc>
            </w:tr>
            <w:tr w14:paraId="0E3F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65" w:type="pct"/>
                  <w:vAlign w:val="center"/>
                </w:tcPr>
                <w:p w14:paraId="6A0FB834">
                  <w:pPr>
                    <w:pStyle w:val="31"/>
                  </w:pPr>
                  <w:r>
                    <w:rPr>
                      <w:rFonts w:hint="eastAsia"/>
                    </w:rPr>
                    <w:t>DO</w:t>
                  </w:r>
                </w:p>
              </w:tc>
              <w:tc>
                <w:tcPr>
                  <w:tcW w:w="684" w:type="pct"/>
                  <w:vAlign w:val="center"/>
                </w:tcPr>
                <w:p w14:paraId="781A8A5D">
                  <w:pPr>
                    <w:pStyle w:val="31"/>
                  </w:pPr>
                  <w:r>
                    <w:rPr>
                      <w:rFonts w:hint="eastAsia"/>
                    </w:rPr>
                    <w:t>mg/L</w:t>
                  </w:r>
                </w:p>
              </w:tc>
              <w:tc>
                <w:tcPr>
                  <w:tcW w:w="514" w:type="pct"/>
                  <w:vAlign w:val="center"/>
                </w:tcPr>
                <w:p w14:paraId="2D3B0C12">
                  <w:pPr>
                    <w:pStyle w:val="31"/>
                  </w:pPr>
                  <w:r>
                    <w:rPr>
                      <w:rFonts w:hint="eastAsia"/>
                    </w:rPr>
                    <w:t>3.2</w:t>
                  </w:r>
                </w:p>
              </w:tc>
              <w:tc>
                <w:tcPr>
                  <w:tcW w:w="514" w:type="pct"/>
                  <w:vAlign w:val="center"/>
                </w:tcPr>
                <w:p w14:paraId="4D4AD2CC">
                  <w:pPr>
                    <w:pStyle w:val="31"/>
                  </w:pPr>
                  <w:r>
                    <w:rPr>
                      <w:rFonts w:hint="eastAsia"/>
                    </w:rPr>
                    <w:t>3.3</w:t>
                  </w:r>
                </w:p>
              </w:tc>
              <w:tc>
                <w:tcPr>
                  <w:tcW w:w="515" w:type="pct"/>
                  <w:vAlign w:val="center"/>
                </w:tcPr>
                <w:p w14:paraId="4A85C828">
                  <w:pPr>
                    <w:pStyle w:val="31"/>
                  </w:pPr>
                  <w:r>
                    <w:rPr>
                      <w:rFonts w:hint="eastAsia"/>
                    </w:rPr>
                    <w:t>3.2</w:t>
                  </w:r>
                </w:p>
              </w:tc>
              <w:tc>
                <w:tcPr>
                  <w:tcW w:w="552" w:type="pct"/>
                  <w:vAlign w:val="center"/>
                </w:tcPr>
                <w:p w14:paraId="095C7D87">
                  <w:pPr>
                    <w:pStyle w:val="31"/>
                  </w:pPr>
                  <w:r>
                    <w:rPr>
                      <w:rFonts w:hint="eastAsia"/>
                    </w:rPr>
                    <w:t>3.2</w:t>
                  </w:r>
                </w:p>
              </w:tc>
              <w:tc>
                <w:tcPr>
                  <w:tcW w:w="552" w:type="pct"/>
                  <w:vAlign w:val="center"/>
                </w:tcPr>
                <w:p w14:paraId="3C485319">
                  <w:pPr>
                    <w:pStyle w:val="31"/>
                  </w:pPr>
                  <w:r>
                    <w:rPr>
                      <w:rFonts w:hint="eastAsia"/>
                    </w:rPr>
                    <w:t>2.0</w:t>
                  </w:r>
                </w:p>
              </w:tc>
              <w:tc>
                <w:tcPr>
                  <w:tcW w:w="504" w:type="pct"/>
                  <w:vAlign w:val="center"/>
                </w:tcPr>
                <w:p w14:paraId="3DA8C29E">
                  <w:pPr>
                    <w:pStyle w:val="31"/>
                  </w:pPr>
                  <w:r>
                    <w:rPr>
                      <w:rFonts w:hint="eastAsia"/>
                    </w:rPr>
                    <w:t>达标</w:t>
                  </w:r>
                </w:p>
              </w:tc>
            </w:tr>
            <w:tr w14:paraId="03AB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65" w:type="pct"/>
                  <w:vAlign w:val="center"/>
                </w:tcPr>
                <w:p w14:paraId="23FF5D3D">
                  <w:pPr>
                    <w:pStyle w:val="31"/>
                  </w:pPr>
                  <w:r>
                    <w:rPr>
                      <w:rFonts w:hint="eastAsia"/>
                    </w:rPr>
                    <w:t>BOD</w:t>
                  </w:r>
                  <w:r>
                    <w:rPr>
                      <w:rFonts w:hint="eastAsia"/>
                      <w:vertAlign w:val="subscript"/>
                    </w:rPr>
                    <w:t>5</w:t>
                  </w:r>
                </w:p>
              </w:tc>
              <w:tc>
                <w:tcPr>
                  <w:tcW w:w="684" w:type="pct"/>
                  <w:vAlign w:val="center"/>
                </w:tcPr>
                <w:p w14:paraId="16A8A283">
                  <w:pPr>
                    <w:pStyle w:val="31"/>
                  </w:pPr>
                  <w:r>
                    <w:rPr>
                      <w:rFonts w:hint="eastAsia"/>
                    </w:rPr>
                    <w:t>mg/L</w:t>
                  </w:r>
                </w:p>
              </w:tc>
              <w:tc>
                <w:tcPr>
                  <w:tcW w:w="514" w:type="pct"/>
                  <w:vAlign w:val="center"/>
                </w:tcPr>
                <w:p w14:paraId="5E6F3BA7">
                  <w:pPr>
                    <w:pStyle w:val="31"/>
                  </w:pPr>
                  <w:r>
                    <w:rPr>
                      <w:rFonts w:hint="eastAsia"/>
                    </w:rPr>
                    <w:t>9.0</w:t>
                  </w:r>
                </w:p>
              </w:tc>
              <w:tc>
                <w:tcPr>
                  <w:tcW w:w="514" w:type="pct"/>
                  <w:vAlign w:val="center"/>
                </w:tcPr>
                <w:p w14:paraId="6C505B1E">
                  <w:pPr>
                    <w:pStyle w:val="31"/>
                  </w:pPr>
                  <w:r>
                    <w:rPr>
                      <w:rFonts w:hint="eastAsia"/>
                    </w:rPr>
                    <w:t>9.0</w:t>
                  </w:r>
                </w:p>
              </w:tc>
              <w:tc>
                <w:tcPr>
                  <w:tcW w:w="515" w:type="pct"/>
                  <w:vAlign w:val="center"/>
                </w:tcPr>
                <w:p w14:paraId="61C48BDA">
                  <w:pPr>
                    <w:pStyle w:val="31"/>
                  </w:pPr>
                  <w:r>
                    <w:rPr>
                      <w:rFonts w:hint="eastAsia"/>
                    </w:rPr>
                    <w:t>9.8</w:t>
                  </w:r>
                </w:p>
              </w:tc>
              <w:tc>
                <w:tcPr>
                  <w:tcW w:w="552" w:type="pct"/>
                  <w:vAlign w:val="center"/>
                </w:tcPr>
                <w:p w14:paraId="4C361112">
                  <w:pPr>
                    <w:pStyle w:val="31"/>
                  </w:pPr>
                  <w:r>
                    <w:rPr>
                      <w:rFonts w:hint="eastAsia"/>
                    </w:rPr>
                    <w:t>9.3</w:t>
                  </w:r>
                </w:p>
              </w:tc>
              <w:tc>
                <w:tcPr>
                  <w:tcW w:w="552" w:type="pct"/>
                  <w:vAlign w:val="center"/>
                </w:tcPr>
                <w:p w14:paraId="5139C870">
                  <w:pPr>
                    <w:pStyle w:val="31"/>
                  </w:pPr>
                  <w:r>
                    <w:rPr>
                      <w:rFonts w:hint="eastAsia"/>
                    </w:rPr>
                    <w:t>10</w:t>
                  </w:r>
                </w:p>
              </w:tc>
              <w:tc>
                <w:tcPr>
                  <w:tcW w:w="504" w:type="pct"/>
                  <w:vAlign w:val="center"/>
                </w:tcPr>
                <w:p w14:paraId="30CB55EB">
                  <w:pPr>
                    <w:pStyle w:val="31"/>
                  </w:pPr>
                  <w:r>
                    <w:rPr>
                      <w:rFonts w:hint="eastAsia"/>
                    </w:rPr>
                    <w:t>达标</w:t>
                  </w:r>
                </w:p>
              </w:tc>
            </w:tr>
            <w:tr w14:paraId="4936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65" w:type="pct"/>
                  <w:vAlign w:val="center"/>
                </w:tcPr>
                <w:p w14:paraId="72FF9B3F">
                  <w:pPr>
                    <w:pStyle w:val="31"/>
                  </w:pPr>
                  <w:r>
                    <w:rPr>
                      <w:rFonts w:hint="eastAsia"/>
                    </w:rPr>
                    <w:t>NH</w:t>
                  </w:r>
                  <w:r>
                    <w:rPr>
                      <w:rFonts w:hint="eastAsia"/>
                      <w:vertAlign w:val="subscript"/>
                    </w:rPr>
                    <w:t>3</w:t>
                  </w:r>
                  <w:r>
                    <w:rPr>
                      <w:rFonts w:hint="eastAsia"/>
                    </w:rPr>
                    <w:t>（以N计）</w:t>
                  </w:r>
                </w:p>
              </w:tc>
              <w:tc>
                <w:tcPr>
                  <w:tcW w:w="684" w:type="pct"/>
                  <w:vAlign w:val="center"/>
                </w:tcPr>
                <w:p w14:paraId="52F3C70E">
                  <w:pPr>
                    <w:pStyle w:val="31"/>
                  </w:pPr>
                  <w:r>
                    <w:rPr>
                      <w:rFonts w:hint="eastAsia"/>
                    </w:rPr>
                    <w:t>mg/L</w:t>
                  </w:r>
                </w:p>
              </w:tc>
              <w:tc>
                <w:tcPr>
                  <w:tcW w:w="514" w:type="pct"/>
                  <w:vAlign w:val="center"/>
                </w:tcPr>
                <w:p w14:paraId="6D2857FF">
                  <w:pPr>
                    <w:pStyle w:val="31"/>
                  </w:pPr>
                  <w:r>
                    <w:rPr>
                      <w:rFonts w:hint="eastAsia"/>
                    </w:rPr>
                    <w:t>7.13</w:t>
                  </w:r>
                </w:p>
              </w:tc>
              <w:tc>
                <w:tcPr>
                  <w:tcW w:w="514" w:type="pct"/>
                  <w:vAlign w:val="center"/>
                </w:tcPr>
                <w:p w14:paraId="3FC4D1C4">
                  <w:pPr>
                    <w:pStyle w:val="31"/>
                  </w:pPr>
                  <w:r>
                    <w:rPr>
                      <w:rFonts w:hint="eastAsia"/>
                    </w:rPr>
                    <w:t>7.38</w:t>
                  </w:r>
                </w:p>
              </w:tc>
              <w:tc>
                <w:tcPr>
                  <w:tcW w:w="515" w:type="pct"/>
                  <w:vAlign w:val="center"/>
                </w:tcPr>
                <w:p w14:paraId="7CB0170E">
                  <w:pPr>
                    <w:pStyle w:val="31"/>
                  </w:pPr>
                  <w:r>
                    <w:rPr>
                      <w:rFonts w:hint="eastAsia"/>
                    </w:rPr>
                    <w:t>7.52</w:t>
                  </w:r>
                </w:p>
              </w:tc>
              <w:tc>
                <w:tcPr>
                  <w:tcW w:w="552" w:type="pct"/>
                  <w:vAlign w:val="center"/>
                </w:tcPr>
                <w:p w14:paraId="0A715F89">
                  <w:pPr>
                    <w:pStyle w:val="31"/>
                  </w:pPr>
                  <w:r>
                    <w:rPr>
                      <w:rFonts w:hint="eastAsia"/>
                    </w:rPr>
                    <w:t>7.34</w:t>
                  </w:r>
                </w:p>
              </w:tc>
              <w:tc>
                <w:tcPr>
                  <w:tcW w:w="552" w:type="pct"/>
                  <w:vAlign w:val="center"/>
                </w:tcPr>
                <w:p w14:paraId="3A6AD087">
                  <w:pPr>
                    <w:pStyle w:val="31"/>
                  </w:pPr>
                  <w:r>
                    <w:rPr>
                      <w:rFonts w:hint="eastAsia"/>
                    </w:rPr>
                    <w:t>8</w:t>
                  </w:r>
                </w:p>
              </w:tc>
              <w:tc>
                <w:tcPr>
                  <w:tcW w:w="504" w:type="pct"/>
                  <w:vAlign w:val="center"/>
                </w:tcPr>
                <w:p w14:paraId="2ECEA901">
                  <w:pPr>
                    <w:pStyle w:val="31"/>
                  </w:pPr>
                  <w:r>
                    <w:rPr>
                      <w:rFonts w:hint="eastAsia"/>
                    </w:rPr>
                    <w:t>达标</w:t>
                  </w:r>
                </w:p>
              </w:tc>
            </w:tr>
            <w:tr w14:paraId="161F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65" w:type="pct"/>
                  <w:vAlign w:val="center"/>
                </w:tcPr>
                <w:p w14:paraId="458D9C4E">
                  <w:pPr>
                    <w:pStyle w:val="31"/>
                  </w:pPr>
                  <w:r>
                    <w:rPr>
                      <w:rFonts w:hint="eastAsia"/>
                    </w:rPr>
                    <w:t>阴离子表面活性剂</w:t>
                  </w:r>
                </w:p>
              </w:tc>
              <w:tc>
                <w:tcPr>
                  <w:tcW w:w="684" w:type="pct"/>
                  <w:vAlign w:val="center"/>
                </w:tcPr>
                <w:p w14:paraId="64B23F2A">
                  <w:pPr>
                    <w:pStyle w:val="31"/>
                  </w:pPr>
                  <w:r>
                    <w:rPr>
                      <w:rFonts w:hint="eastAsia"/>
                    </w:rPr>
                    <w:t>mg/L</w:t>
                  </w:r>
                </w:p>
              </w:tc>
              <w:tc>
                <w:tcPr>
                  <w:tcW w:w="514" w:type="pct"/>
                  <w:vAlign w:val="center"/>
                </w:tcPr>
                <w:p w14:paraId="252E1E81">
                  <w:pPr>
                    <w:pStyle w:val="31"/>
                  </w:pPr>
                  <w:r>
                    <w:rPr>
                      <w:rFonts w:hint="eastAsia"/>
                    </w:rPr>
                    <w:t>0.114</w:t>
                  </w:r>
                </w:p>
              </w:tc>
              <w:tc>
                <w:tcPr>
                  <w:tcW w:w="514" w:type="pct"/>
                  <w:vAlign w:val="center"/>
                </w:tcPr>
                <w:p w14:paraId="7554F215">
                  <w:pPr>
                    <w:pStyle w:val="31"/>
                  </w:pPr>
                  <w:r>
                    <w:rPr>
                      <w:rFonts w:hint="eastAsia"/>
                    </w:rPr>
                    <w:t>0.100</w:t>
                  </w:r>
                </w:p>
              </w:tc>
              <w:tc>
                <w:tcPr>
                  <w:tcW w:w="515" w:type="pct"/>
                  <w:vAlign w:val="center"/>
                </w:tcPr>
                <w:p w14:paraId="56D80ACF">
                  <w:pPr>
                    <w:pStyle w:val="31"/>
                  </w:pPr>
                  <w:r>
                    <w:rPr>
                      <w:rFonts w:hint="eastAsia"/>
                    </w:rPr>
                    <w:t>0.105</w:t>
                  </w:r>
                </w:p>
              </w:tc>
              <w:tc>
                <w:tcPr>
                  <w:tcW w:w="552" w:type="pct"/>
                  <w:vAlign w:val="center"/>
                </w:tcPr>
                <w:p w14:paraId="392398B7">
                  <w:pPr>
                    <w:pStyle w:val="31"/>
                  </w:pPr>
                  <w:r>
                    <w:rPr>
                      <w:rFonts w:hint="eastAsia"/>
                    </w:rPr>
                    <w:t>0.106</w:t>
                  </w:r>
                </w:p>
              </w:tc>
              <w:tc>
                <w:tcPr>
                  <w:tcW w:w="552" w:type="pct"/>
                  <w:vAlign w:val="center"/>
                </w:tcPr>
                <w:p w14:paraId="25A68571">
                  <w:pPr>
                    <w:pStyle w:val="31"/>
                  </w:pPr>
                  <w:r>
                    <w:rPr>
                      <w:rFonts w:hint="eastAsia"/>
                    </w:rPr>
                    <w:t>0.5</w:t>
                  </w:r>
                </w:p>
              </w:tc>
              <w:tc>
                <w:tcPr>
                  <w:tcW w:w="504" w:type="pct"/>
                  <w:vAlign w:val="center"/>
                </w:tcPr>
                <w:p w14:paraId="0059F52E">
                  <w:pPr>
                    <w:pStyle w:val="31"/>
                  </w:pPr>
                  <w:r>
                    <w:rPr>
                      <w:rFonts w:hint="eastAsia"/>
                    </w:rPr>
                    <w:t>达标</w:t>
                  </w:r>
                </w:p>
              </w:tc>
            </w:tr>
            <w:tr w14:paraId="50C5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65" w:type="pct"/>
                  <w:vAlign w:val="center"/>
                </w:tcPr>
                <w:p w14:paraId="4EDF57E5">
                  <w:pPr>
                    <w:pStyle w:val="31"/>
                  </w:pPr>
                  <w:r>
                    <w:rPr>
                      <w:rFonts w:hint="eastAsia"/>
                    </w:rPr>
                    <w:t>总氯</w:t>
                  </w:r>
                </w:p>
              </w:tc>
              <w:tc>
                <w:tcPr>
                  <w:tcW w:w="684" w:type="pct"/>
                  <w:vAlign w:val="center"/>
                </w:tcPr>
                <w:p w14:paraId="693BD47D">
                  <w:pPr>
                    <w:pStyle w:val="31"/>
                  </w:pPr>
                  <w:r>
                    <w:rPr>
                      <w:rFonts w:hint="eastAsia"/>
                    </w:rPr>
                    <w:t>mg/L</w:t>
                  </w:r>
                </w:p>
              </w:tc>
              <w:tc>
                <w:tcPr>
                  <w:tcW w:w="514" w:type="pct"/>
                  <w:vAlign w:val="center"/>
                </w:tcPr>
                <w:p w14:paraId="3753B99E">
                  <w:pPr>
                    <w:pStyle w:val="31"/>
                  </w:pPr>
                  <w:r>
                    <w:rPr>
                      <w:rFonts w:hint="eastAsia"/>
                    </w:rPr>
                    <w:t>0.37</w:t>
                  </w:r>
                </w:p>
              </w:tc>
              <w:tc>
                <w:tcPr>
                  <w:tcW w:w="514" w:type="pct"/>
                  <w:vAlign w:val="center"/>
                </w:tcPr>
                <w:p w14:paraId="2204C60E">
                  <w:pPr>
                    <w:pStyle w:val="31"/>
                  </w:pPr>
                  <w:r>
                    <w:rPr>
                      <w:rFonts w:hint="eastAsia"/>
                    </w:rPr>
                    <w:t>0.47</w:t>
                  </w:r>
                </w:p>
              </w:tc>
              <w:tc>
                <w:tcPr>
                  <w:tcW w:w="515" w:type="pct"/>
                  <w:vAlign w:val="center"/>
                </w:tcPr>
                <w:p w14:paraId="2C2ED0E4">
                  <w:pPr>
                    <w:pStyle w:val="31"/>
                  </w:pPr>
                  <w:r>
                    <w:rPr>
                      <w:rFonts w:hint="eastAsia"/>
                    </w:rPr>
                    <w:t>0.37</w:t>
                  </w:r>
                </w:p>
              </w:tc>
              <w:tc>
                <w:tcPr>
                  <w:tcW w:w="552" w:type="pct"/>
                  <w:vAlign w:val="center"/>
                </w:tcPr>
                <w:p w14:paraId="1B109173">
                  <w:pPr>
                    <w:pStyle w:val="31"/>
                  </w:pPr>
                  <w:r>
                    <w:rPr>
                      <w:rFonts w:hint="eastAsia"/>
                    </w:rPr>
                    <w:t>0.40</w:t>
                  </w:r>
                </w:p>
              </w:tc>
              <w:tc>
                <w:tcPr>
                  <w:tcW w:w="552" w:type="pct"/>
                  <w:vAlign w:val="center"/>
                </w:tcPr>
                <w:p w14:paraId="65A89B5A">
                  <w:pPr>
                    <w:pStyle w:val="31"/>
                  </w:pPr>
                  <w:r>
                    <w:rPr>
                      <w:rFonts w:hint="eastAsia"/>
                    </w:rPr>
                    <w:t>0.2</w:t>
                  </w:r>
                </w:p>
              </w:tc>
              <w:tc>
                <w:tcPr>
                  <w:tcW w:w="504" w:type="pct"/>
                  <w:vAlign w:val="center"/>
                </w:tcPr>
                <w:p w14:paraId="105CBCD7">
                  <w:pPr>
                    <w:pStyle w:val="31"/>
                  </w:pPr>
                  <w:r>
                    <w:rPr>
                      <w:rFonts w:hint="eastAsia"/>
                    </w:rPr>
                    <w:t>达标</w:t>
                  </w:r>
                </w:p>
              </w:tc>
            </w:tr>
            <w:tr w14:paraId="5B7D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65" w:type="pct"/>
                  <w:vAlign w:val="center"/>
                </w:tcPr>
                <w:p w14:paraId="3A8A4E70">
                  <w:pPr>
                    <w:pStyle w:val="31"/>
                  </w:pPr>
                  <w:r>
                    <w:rPr>
                      <w:rFonts w:hint="eastAsia"/>
                    </w:rPr>
                    <w:t>溶解性总固体</w:t>
                  </w:r>
                </w:p>
              </w:tc>
              <w:tc>
                <w:tcPr>
                  <w:tcW w:w="684" w:type="pct"/>
                  <w:vAlign w:val="center"/>
                </w:tcPr>
                <w:p w14:paraId="66EFEE56">
                  <w:pPr>
                    <w:pStyle w:val="31"/>
                  </w:pPr>
                  <w:r>
                    <w:rPr>
                      <w:rFonts w:hint="eastAsia"/>
                    </w:rPr>
                    <w:t>mg/L</w:t>
                  </w:r>
                </w:p>
              </w:tc>
              <w:tc>
                <w:tcPr>
                  <w:tcW w:w="514" w:type="pct"/>
                  <w:vAlign w:val="center"/>
                </w:tcPr>
                <w:p w14:paraId="1D97364E">
                  <w:pPr>
                    <w:pStyle w:val="31"/>
                  </w:pPr>
                  <w:r>
                    <w:rPr>
                      <w:rFonts w:hint="eastAsia"/>
                    </w:rPr>
                    <w:t>740</w:t>
                  </w:r>
                </w:p>
              </w:tc>
              <w:tc>
                <w:tcPr>
                  <w:tcW w:w="514" w:type="pct"/>
                  <w:vAlign w:val="center"/>
                </w:tcPr>
                <w:p w14:paraId="4D0B18BD">
                  <w:pPr>
                    <w:pStyle w:val="31"/>
                  </w:pPr>
                  <w:r>
                    <w:rPr>
                      <w:rFonts w:hint="eastAsia"/>
                    </w:rPr>
                    <w:t>732</w:t>
                  </w:r>
                </w:p>
              </w:tc>
              <w:tc>
                <w:tcPr>
                  <w:tcW w:w="515" w:type="pct"/>
                  <w:vAlign w:val="center"/>
                </w:tcPr>
                <w:p w14:paraId="3DC0F2A9">
                  <w:pPr>
                    <w:pStyle w:val="31"/>
                  </w:pPr>
                  <w:r>
                    <w:rPr>
                      <w:rFonts w:hint="eastAsia"/>
                    </w:rPr>
                    <w:t>738</w:t>
                  </w:r>
                </w:p>
              </w:tc>
              <w:tc>
                <w:tcPr>
                  <w:tcW w:w="552" w:type="pct"/>
                  <w:vAlign w:val="center"/>
                </w:tcPr>
                <w:p w14:paraId="2E2A1BBB">
                  <w:pPr>
                    <w:pStyle w:val="31"/>
                  </w:pPr>
                  <w:r>
                    <w:rPr>
                      <w:rFonts w:hint="eastAsia"/>
                    </w:rPr>
                    <w:t>737</w:t>
                  </w:r>
                </w:p>
              </w:tc>
              <w:tc>
                <w:tcPr>
                  <w:tcW w:w="552" w:type="pct"/>
                  <w:vAlign w:val="center"/>
                </w:tcPr>
                <w:p w14:paraId="2076A2B6">
                  <w:pPr>
                    <w:pStyle w:val="31"/>
                  </w:pPr>
                  <w:r>
                    <w:rPr>
                      <w:rFonts w:hint="eastAsia"/>
                    </w:rPr>
                    <w:t>1000</w:t>
                  </w:r>
                </w:p>
              </w:tc>
              <w:tc>
                <w:tcPr>
                  <w:tcW w:w="504" w:type="pct"/>
                  <w:vAlign w:val="center"/>
                </w:tcPr>
                <w:p w14:paraId="024CE86D">
                  <w:pPr>
                    <w:pStyle w:val="31"/>
                  </w:pPr>
                  <w:r>
                    <w:rPr>
                      <w:rFonts w:hint="eastAsia"/>
                    </w:rPr>
                    <w:t>达标</w:t>
                  </w:r>
                </w:p>
              </w:tc>
            </w:tr>
            <w:tr w14:paraId="1F4B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5000" w:type="pct"/>
                  <w:gridSpan w:val="8"/>
                  <w:vAlign w:val="center"/>
                </w:tcPr>
                <w:p w14:paraId="02234CF2">
                  <w:pPr>
                    <w:pStyle w:val="31"/>
                    <w:jc w:val="left"/>
                  </w:pPr>
                  <w:r>
                    <w:rPr>
                      <w:rFonts w:hint="eastAsia"/>
                    </w:rPr>
                    <w:t>检测结果后加L表示检测结果小于方法检出限；</w:t>
                  </w:r>
                </w:p>
              </w:tc>
            </w:tr>
          </w:tbl>
          <w:p w14:paraId="4725D43E">
            <w:pPr>
              <w:rPr>
                <w:rFonts w:cs="宋体"/>
                <w:color w:val="000000"/>
                <w:sz w:val="24"/>
              </w:rPr>
            </w:pPr>
          </w:p>
          <w:p w14:paraId="1B49FCBB">
            <w:pPr>
              <w:spacing w:line="360" w:lineRule="auto"/>
              <w:ind w:firstLine="480" w:firstLineChars="200"/>
              <w:rPr>
                <w:color w:val="000000"/>
                <w:sz w:val="24"/>
              </w:rPr>
            </w:pPr>
            <w:r>
              <w:rPr>
                <w:rFonts w:hint="eastAsia" w:cs="宋体"/>
                <w:color w:val="000000"/>
                <w:sz w:val="24"/>
              </w:rPr>
              <w:t>根据云南省环保厅对原项目的环评批复意见（</w:t>
            </w:r>
            <w:r>
              <w:rPr>
                <w:rFonts w:cs="宋体"/>
                <w:color w:val="000000"/>
                <w:sz w:val="24"/>
              </w:rPr>
              <w:t>云环审</w:t>
            </w:r>
            <w:r>
              <w:rPr>
                <w:rFonts w:hint="eastAsia"/>
                <w:color w:val="000000"/>
                <w:sz w:val="24"/>
              </w:rPr>
              <w:t>〔2013〕254号），“项目位于牛栏江流域重点污染控制区，根据《云南省牛栏江保护条例》相关规定，项目生产废水不得外排。”因此，项目不设废水总量控制指标。</w:t>
            </w:r>
          </w:p>
          <w:p w14:paraId="20B2C0BF">
            <w:pPr>
              <w:pStyle w:val="36"/>
              <w:ind w:firstLine="482"/>
              <w:jc w:val="left"/>
              <w:rPr>
                <w:rFonts w:cs="Times New Roman"/>
                <w:b/>
                <w:bCs/>
                <w:color w:val="000000" w:themeColor="text1"/>
                <w:spacing w:val="0"/>
                <w:lang w:eastAsia="zh-CN"/>
                <w14:textFill>
                  <w14:solidFill>
                    <w14:schemeClr w14:val="tx1"/>
                  </w14:solidFill>
                </w14:textFill>
              </w:rPr>
            </w:pPr>
            <w:r>
              <w:rPr>
                <w:rFonts w:hint="eastAsia" w:cs="Times New Roman"/>
                <w:b/>
                <w:bCs/>
                <w:color w:val="000000" w:themeColor="text1"/>
                <w:spacing w:val="0"/>
                <w:lang w:eastAsia="zh-CN"/>
                <w14:textFill>
                  <w14:solidFill>
                    <w14:schemeClr w14:val="tx1"/>
                  </w14:solidFill>
                </w14:textFill>
              </w:rPr>
              <w:t>（2）废气</w:t>
            </w:r>
          </w:p>
          <w:p w14:paraId="5448D2A2">
            <w:pPr>
              <w:pStyle w:val="36"/>
              <w:ind w:firstLine="480"/>
              <w:rPr>
                <w:color w:val="000000"/>
                <w:spacing w:val="0"/>
                <w:lang w:eastAsia="zh-CN"/>
              </w:rPr>
            </w:pPr>
            <w:r>
              <w:rPr>
                <w:rFonts w:hint="eastAsia"/>
                <w:color w:val="000000"/>
                <w:spacing w:val="0"/>
                <w:lang w:eastAsia="zh-CN"/>
              </w:rPr>
              <w:t>项目运营期废气主要为待宰圈、屠宰车间粪便，屠宰过程血液、内脏等有机废弃组织，粪便临时堆场，废水处理站调节池、厌氧池、污泥池等生化处理产生的恶臭，以及精深加工车间牛肉分割、蒸煮产生的异味，主要污染物为NH</w:t>
            </w:r>
            <w:r>
              <w:rPr>
                <w:rFonts w:hint="eastAsia"/>
                <w:color w:val="000000"/>
                <w:spacing w:val="0"/>
                <w:vertAlign w:val="subscript"/>
                <w:lang w:eastAsia="zh-CN"/>
              </w:rPr>
              <w:t>3</w:t>
            </w:r>
            <w:r>
              <w:rPr>
                <w:rFonts w:hint="eastAsia"/>
                <w:color w:val="000000"/>
                <w:spacing w:val="0"/>
                <w:lang w:eastAsia="zh-CN"/>
              </w:rPr>
              <w:t>、H</w:t>
            </w:r>
            <w:r>
              <w:rPr>
                <w:rFonts w:hint="eastAsia"/>
                <w:color w:val="000000"/>
                <w:spacing w:val="0"/>
                <w:vertAlign w:val="subscript"/>
                <w:lang w:eastAsia="zh-CN"/>
              </w:rPr>
              <w:t>2</w:t>
            </w:r>
            <w:r>
              <w:rPr>
                <w:rFonts w:hint="eastAsia"/>
                <w:color w:val="000000"/>
                <w:spacing w:val="0"/>
                <w:lang w:eastAsia="zh-CN"/>
              </w:rPr>
              <w:t>S、臭气浓度，呈无组织间歇排放。</w:t>
            </w:r>
          </w:p>
          <w:p w14:paraId="18757BA8">
            <w:pPr>
              <w:pStyle w:val="36"/>
              <w:ind w:firstLine="480"/>
              <w:rPr>
                <w:color w:val="000000"/>
                <w:spacing w:val="0"/>
                <w:lang w:eastAsia="zh-CN"/>
              </w:rPr>
            </w:pPr>
            <w:r>
              <w:rPr>
                <w:rFonts w:hint="eastAsia"/>
                <w:color w:val="000000"/>
                <w:spacing w:val="0"/>
                <w:lang w:eastAsia="zh-CN"/>
              </w:rPr>
              <w:t>项目通过及时清理待宰圈、屠宰车间粪便、内脏，冲洗屠宰车间地面，加强屠宰车间机械通风，粪便临时堆场远离生产车间、办公区，废水处理站设备加罩、加盖，</w:t>
            </w:r>
            <w:r>
              <w:rPr>
                <w:rFonts w:hint="eastAsia"/>
                <w:bCs/>
                <w:spacing w:val="0"/>
                <w:szCs w:val="21"/>
                <w:lang w:eastAsia="zh-CN"/>
              </w:rPr>
              <w:t>废水臭氧催化氧化塔内密闭处理</w:t>
            </w:r>
            <w:r>
              <w:rPr>
                <w:rFonts w:hint="eastAsia"/>
                <w:color w:val="000000"/>
                <w:spacing w:val="0"/>
                <w:lang w:eastAsia="zh-CN"/>
              </w:rPr>
              <w:t>，厂界设置绿化带等措施，减缓恶臭、异味对环境的影响。</w:t>
            </w:r>
          </w:p>
          <w:p w14:paraId="3DF4A5D9">
            <w:pPr>
              <w:pStyle w:val="36"/>
              <w:ind w:firstLine="480"/>
              <w:rPr>
                <w:color w:val="000000"/>
                <w:spacing w:val="0"/>
                <w:lang w:eastAsia="zh-CN"/>
              </w:rPr>
            </w:pPr>
            <w:r>
              <w:rPr>
                <w:rFonts w:hint="eastAsia"/>
                <w:bCs/>
                <w:spacing w:val="0"/>
                <w:kern w:val="0"/>
                <w:lang w:eastAsia="zh-CN"/>
              </w:rPr>
              <w:t>根据2025年2月，环评阶段对项目厂界上风向2m，下风向2m（1#-3#）4个点位</w:t>
            </w:r>
            <w:r>
              <w:rPr>
                <w:rFonts w:hint="eastAsia"/>
                <w:color w:val="000000"/>
                <w:spacing w:val="0"/>
                <w:lang w:eastAsia="zh-CN"/>
              </w:rPr>
              <w:t>NH</w:t>
            </w:r>
            <w:r>
              <w:rPr>
                <w:rFonts w:hint="eastAsia"/>
                <w:color w:val="000000"/>
                <w:spacing w:val="0"/>
                <w:vertAlign w:val="subscript"/>
                <w:lang w:eastAsia="zh-CN"/>
              </w:rPr>
              <w:t>3</w:t>
            </w:r>
            <w:r>
              <w:rPr>
                <w:rFonts w:hint="eastAsia"/>
                <w:color w:val="000000"/>
                <w:spacing w:val="0"/>
                <w:lang w:eastAsia="zh-CN"/>
              </w:rPr>
              <w:t>、H</w:t>
            </w:r>
            <w:r>
              <w:rPr>
                <w:rFonts w:hint="eastAsia"/>
                <w:color w:val="000000"/>
                <w:spacing w:val="0"/>
                <w:vertAlign w:val="subscript"/>
                <w:lang w:eastAsia="zh-CN"/>
              </w:rPr>
              <w:t>2</w:t>
            </w:r>
            <w:r>
              <w:rPr>
                <w:rFonts w:hint="eastAsia"/>
                <w:color w:val="000000"/>
                <w:spacing w:val="0"/>
                <w:lang w:eastAsia="zh-CN"/>
              </w:rPr>
              <w:t>S、</w:t>
            </w:r>
            <w:r>
              <w:rPr>
                <w:rFonts w:hint="eastAsia"/>
                <w:bCs/>
                <w:spacing w:val="0"/>
                <w:kern w:val="0"/>
                <w:lang w:eastAsia="zh-CN"/>
              </w:rPr>
              <w:t>臭气浓度的监测：监测值均达到</w:t>
            </w:r>
            <w:r>
              <w:rPr>
                <w:rFonts w:hint="eastAsia"/>
                <w:color w:val="000000"/>
                <w:spacing w:val="0"/>
                <w:lang w:eastAsia="zh-CN"/>
              </w:rPr>
              <w:t>《恶臭污染物排放标准》（GB14554-93）。</w:t>
            </w:r>
          </w:p>
          <w:p w14:paraId="1EFE0C22">
            <w:pPr>
              <w:pStyle w:val="29"/>
              <w:outlineLvl w:val="9"/>
              <w:rPr>
                <w:rFonts w:hint="default"/>
              </w:rPr>
            </w:pPr>
            <w:r>
              <w:rPr>
                <w:rFonts w:hint="default"/>
              </w:rPr>
              <w:t>表2-</w:t>
            </w:r>
            <w:r>
              <w:t>9</w:t>
            </w:r>
            <w:r>
              <w:rPr>
                <w:rFonts w:hint="default"/>
              </w:rPr>
              <w:t xml:space="preserve"> </w:t>
            </w:r>
            <w:r>
              <w:t>项目厂界废气</w:t>
            </w:r>
            <w:r>
              <w:rPr>
                <w:rFonts w:hint="default"/>
              </w:rPr>
              <w:t>检测结果表</w:t>
            </w:r>
          </w:p>
          <w:tbl>
            <w:tblPr>
              <w:tblStyle w:val="23"/>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703"/>
              <w:gridCol w:w="1557"/>
              <w:gridCol w:w="2268"/>
              <w:gridCol w:w="1398"/>
            </w:tblGrid>
            <w:tr w14:paraId="0F27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50" w:type="pct"/>
                  <w:gridSpan w:val="2"/>
                  <w:vAlign w:val="center"/>
                </w:tcPr>
                <w:p w14:paraId="132427D5">
                  <w:pPr>
                    <w:pStyle w:val="31"/>
                    <w:rPr>
                      <w:b/>
                      <w:bCs/>
                    </w:rPr>
                  </w:pPr>
                  <w:r>
                    <w:rPr>
                      <w:b/>
                      <w:bCs/>
                    </w:rPr>
                    <w:t>点位</w:t>
                  </w:r>
                </w:p>
              </w:tc>
              <w:tc>
                <w:tcPr>
                  <w:tcW w:w="939" w:type="pct"/>
                  <w:vAlign w:val="center"/>
                </w:tcPr>
                <w:p w14:paraId="521B30CA">
                  <w:pPr>
                    <w:pStyle w:val="31"/>
                    <w:rPr>
                      <w:b/>
                      <w:bCs/>
                    </w:rPr>
                  </w:pPr>
                  <w:r>
                    <w:rPr>
                      <w:rFonts w:hint="eastAsia"/>
                      <w:b/>
                      <w:bCs/>
                    </w:rPr>
                    <w:t>NH</w:t>
                  </w:r>
                  <w:r>
                    <w:rPr>
                      <w:rFonts w:hint="eastAsia"/>
                      <w:b/>
                      <w:bCs/>
                      <w:vertAlign w:val="subscript"/>
                    </w:rPr>
                    <w:t>3</w:t>
                  </w:r>
                </w:p>
                <w:p w14:paraId="6D18C1AF">
                  <w:pPr>
                    <w:pStyle w:val="31"/>
                    <w:rPr>
                      <w:b/>
                      <w:bCs/>
                    </w:rPr>
                  </w:pPr>
                  <w:r>
                    <w:rPr>
                      <w:rFonts w:hint="eastAsia"/>
                      <w:b/>
                      <w:bCs/>
                    </w:rPr>
                    <w:t>（mg/m</w:t>
                  </w:r>
                  <w:r>
                    <w:rPr>
                      <w:rFonts w:hint="eastAsia"/>
                      <w:b/>
                      <w:bCs/>
                      <w:vertAlign w:val="superscript"/>
                    </w:rPr>
                    <w:t>3</w:t>
                  </w:r>
                  <w:r>
                    <w:rPr>
                      <w:rFonts w:hint="eastAsia"/>
                      <w:b/>
                      <w:bCs/>
                    </w:rPr>
                    <w:t>）</w:t>
                  </w:r>
                </w:p>
              </w:tc>
              <w:tc>
                <w:tcPr>
                  <w:tcW w:w="1368" w:type="pct"/>
                  <w:vAlign w:val="center"/>
                </w:tcPr>
                <w:p w14:paraId="39E8D1F7">
                  <w:pPr>
                    <w:pStyle w:val="31"/>
                    <w:rPr>
                      <w:b/>
                      <w:bCs/>
                    </w:rPr>
                  </w:pPr>
                  <w:r>
                    <w:rPr>
                      <w:rFonts w:hint="eastAsia"/>
                      <w:b/>
                      <w:bCs/>
                    </w:rPr>
                    <w:t>H</w:t>
                  </w:r>
                  <w:r>
                    <w:rPr>
                      <w:rFonts w:hint="eastAsia"/>
                      <w:b/>
                      <w:bCs/>
                      <w:vertAlign w:val="subscript"/>
                    </w:rPr>
                    <w:t>2</w:t>
                  </w:r>
                  <w:r>
                    <w:rPr>
                      <w:rFonts w:hint="eastAsia"/>
                      <w:b/>
                      <w:bCs/>
                    </w:rPr>
                    <w:t>S</w:t>
                  </w:r>
                </w:p>
                <w:p w14:paraId="38BBA2D1">
                  <w:pPr>
                    <w:pStyle w:val="31"/>
                    <w:rPr>
                      <w:b/>
                      <w:bCs/>
                    </w:rPr>
                  </w:pPr>
                  <w:r>
                    <w:rPr>
                      <w:rFonts w:hint="eastAsia"/>
                      <w:b/>
                      <w:bCs/>
                    </w:rPr>
                    <w:t>（mg/m</w:t>
                  </w:r>
                  <w:r>
                    <w:rPr>
                      <w:rFonts w:hint="eastAsia"/>
                      <w:b/>
                      <w:bCs/>
                      <w:vertAlign w:val="superscript"/>
                    </w:rPr>
                    <w:t>3</w:t>
                  </w:r>
                  <w:r>
                    <w:rPr>
                      <w:rFonts w:hint="eastAsia"/>
                      <w:b/>
                      <w:bCs/>
                    </w:rPr>
                    <w:t>）</w:t>
                  </w:r>
                </w:p>
              </w:tc>
              <w:tc>
                <w:tcPr>
                  <w:tcW w:w="843" w:type="pct"/>
                  <w:vAlign w:val="center"/>
                </w:tcPr>
                <w:p w14:paraId="69EEB6FB">
                  <w:pPr>
                    <w:pStyle w:val="31"/>
                    <w:rPr>
                      <w:b/>
                      <w:bCs/>
                    </w:rPr>
                  </w:pPr>
                  <w:r>
                    <w:rPr>
                      <w:b/>
                      <w:bCs/>
                    </w:rPr>
                    <w:t>臭气浓度</w:t>
                  </w:r>
                </w:p>
                <w:p w14:paraId="1161FEA6">
                  <w:pPr>
                    <w:pStyle w:val="31"/>
                    <w:rPr>
                      <w:b/>
                      <w:bCs/>
                    </w:rPr>
                  </w:pPr>
                  <w:r>
                    <w:rPr>
                      <w:rFonts w:hint="eastAsia"/>
                      <w:b/>
                      <w:bCs/>
                    </w:rPr>
                    <w:t>（无量纲）</w:t>
                  </w:r>
                </w:p>
              </w:tc>
            </w:tr>
            <w:tr w14:paraId="73A9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restart"/>
                  <w:vAlign w:val="center"/>
                </w:tcPr>
                <w:p w14:paraId="78D2B550">
                  <w:pPr>
                    <w:pStyle w:val="31"/>
                  </w:pPr>
                  <w:r>
                    <w:t>厂界上风向2m</w:t>
                  </w:r>
                </w:p>
              </w:tc>
              <w:tc>
                <w:tcPr>
                  <w:tcW w:w="1027" w:type="pct"/>
                  <w:vAlign w:val="center"/>
                </w:tcPr>
                <w:p w14:paraId="63CB1FB5">
                  <w:pPr>
                    <w:pStyle w:val="31"/>
                  </w:pPr>
                  <w:r>
                    <w:rPr>
                      <w:rFonts w:hint="eastAsia"/>
                    </w:rPr>
                    <w:t>检测</w:t>
                  </w:r>
                  <w:r>
                    <w:t>值范围</w:t>
                  </w:r>
                </w:p>
              </w:tc>
              <w:tc>
                <w:tcPr>
                  <w:tcW w:w="939" w:type="pct"/>
                  <w:vAlign w:val="center"/>
                </w:tcPr>
                <w:p w14:paraId="4682B366">
                  <w:pPr>
                    <w:pStyle w:val="31"/>
                  </w:pPr>
                  <w:r>
                    <w:rPr>
                      <w:rFonts w:hint="eastAsia"/>
                    </w:rPr>
                    <w:t>0.09-0.11</w:t>
                  </w:r>
                </w:p>
              </w:tc>
              <w:tc>
                <w:tcPr>
                  <w:tcW w:w="1368" w:type="pct"/>
                  <w:vAlign w:val="center"/>
                </w:tcPr>
                <w:p w14:paraId="5B9DA41D">
                  <w:pPr>
                    <w:pStyle w:val="31"/>
                  </w:pPr>
                  <w:r>
                    <w:rPr>
                      <w:rFonts w:hint="eastAsia"/>
                    </w:rPr>
                    <w:t>4.15</w:t>
                  </w:r>
                  <w:r>
                    <w:rPr>
                      <w:rFonts w:hint="eastAsia"/>
                      <w:sz w:val="15"/>
                      <w:szCs w:val="15"/>
                    </w:rPr>
                    <w:t>×</w:t>
                  </w:r>
                  <w:r>
                    <w:rPr>
                      <w:rFonts w:hint="eastAsia"/>
                    </w:rPr>
                    <w:t>10</w:t>
                  </w:r>
                  <w:r>
                    <w:rPr>
                      <w:rFonts w:hint="eastAsia"/>
                      <w:vertAlign w:val="superscript"/>
                    </w:rPr>
                    <w:t>-4</w:t>
                  </w:r>
                  <w:r>
                    <w:rPr>
                      <w:rFonts w:hint="eastAsia"/>
                    </w:rPr>
                    <w:t>-2.63</w:t>
                  </w:r>
                  <w:r>
                    <w:rPr>
                      <w:rFonts w:hint="eastAsia"/>
                      <w:sz w:val="15"/>
                      <w:szCs w:val="15"/>
                    </w:rPr>
                    <w:t>×</w:t>
                  </w:r>
                  <w:r>
                    <w:rPr>
                      <w:rFonts w:hint="eastAsia"/>
                    </w:rPr>
                    <w:t>10</w:t>
                  </w:r>
                  <w:r>
                    <w:rPr>
                      <w:rFonts w:hint="eastAsia"/>
                      <w:vertAlign w:val="superscript"/>
                    </w:rPr>
                    <w:t>-3</w:t>
                  </w:r>
                </w:p>
              </w:tc>
              <w:tc>
                <w:tcPr>
                  <w:tcW w:w="843" w:type="pct"/>
                  <w:vAlign w:val="center"/>
                </w:tcPr>
                <w:p w14:paraId="49ADD343">
                  <w:pPr>
                    <w:pStyle w:val="31"/>
                  </w:pPr>
                  <w:r>
                    <w:t>˂</w:t>
                  </w:r>
                  <w:r>
                    <w:rPr>
                      <w:rFonts w:hint="eastAsia"/>
                    </w:rPr>
                    <w:t>10</w:t>
                  </w:r>
                </w:p>
              </w:tc>
            </w:tr>
            <w:tr w14:paraId="7992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26ADFEC3">
                  <w:pPr>
                    <w:pStyle w:val="31"/>
                  </w:pPr>
                </w:p>
              </w:tc>
              <w:tc>
                <w:tcPr>
                  <w:tcW w:w="1027" w:type="pct"/>
                  <w:vAlign w:val="center"/>
                </w:tcPr>
                <w:p w14:paraId="5A75AD49">
                  <w:pPr>
                    <w:pStyle w:val="31"/>
                  </w:pPr>
                  <w:r>
                    <w:t>标准限值</w:t>
                  </w:r>
                </w:p>
              </w:tc>
              <w:tc>
                <w:tcPr>
                  <w:tcW w:w="939" w:type="pct"/>
                  <w:vAlign w:val="center"/>
                </w:tcPr>
                <w:p w14:paraId="7C133589">
                  <w:pPr>
                    <w:pStyle w:val="31"/>
                  </w:pPr>
                  <w:r>
                    <w:rPr>
                      <w:rFonts w:hint="eastAsia"/>
                    </w:rPr>
                    <w:t>2.0</w:t>
                  </w:r>
                </w:p>
              </w:tc>
              <w:tc>
                <w:tcPr>
                  <w:tcW w:w="1368" w:type="pct"/>
                  <w:vAlign w:val="center"/>
                </w:tcPr>
                <w:p w14:paraId="3B299096">
                  <w:pPr>
                    <w:pStyle w:val="31"/>
                  </w:pPr>
                  <w:r>
                    <w:rPr>
                      <w:rFonts w:hint="eastAsia"/>
                    </w:rPr>
                    <w:t>0.10</w:t>
                  </w:r>
                </w:p>
              </w:tc>
              <w:tc>
                <w:tcPr>
                  <w:tcW w:w="843" w:type="pct"/>
                  <w:vAlign w:val="center"/>
                </w:tcPr>
                <w:p w14:paraId="449C932C">
                  <w:pPr>
                    <w:pStyle w:val="31"/>
                  </w:pPr>
                  <w:r>
                    <w:rPr>
                      <w:rFonts w:hint="eastAsia"/>
                    </w:rPr>
                    <w:t>30</w:t>
                  </w:r>
                </w:p>
              </w:tc>
            </w:tr>
            <w:tr w14:paraId="1D5F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548A5C69">
                  <w:pPr>
                    <w:pStyle w:val="31"/>
                  </w:pPr>
                </w:p>
              </w:tc>
              <w:tc>
                <w:tcPr>
                  <w:tcW w:w="1027" w:type="pct"/>
                  <w:vAlign w:val="center"/>
                </w:tcPr>
                <w:p w14:paraId="5B080F3F">
                  <w:pPr>
                    <w:pStyle w:val="31"/>
                  </w:pPr>
                  <w:r>
                    <w:t>达标情况</w:t>
                  </w:r>
                </w:p>
              </w:tc>
              <w:tc>
                <w:tcPr>
                  <w:tcW w:w="939" w:type="pct"/>
                  <w:vAlign w:val="center"/>
                </w:tcPr>
                <w:p w14:paraId="5F3DBB54">
                  <w:pPr>
                    <w:pStyle w:val="31"/>
                  </w:pPr>
                  <w:r>
                    <w:rPr>
                      <w:rFonts w:hint="eastAsia"/>
                    </w:rPr>
                    <w:t>达标</w:t>
                  </w:r>
                </w:p>
              </w:tc>
              <w:tc>
                <w:tcPr>
                  <w:tcW w:w="1368" w:type="pct"/>
                  <w:vAlign w:val="center"/>
                </w:tcPr>
                <w:p w14:paraId="5E485E61">
                  <w:pPr>
                    <w:pStyle w:val="31"/>
                  </w:pPr>
                  <w:r>
                    <w:rPr>
                      <w:rFonts w:hint="eastAsia"/>
                    </w:rPr>
                    <w:t>达标</w:t>
                  </w:r>
                </w:p>
              </w:tc>
              <w:tc>
                <w:tcPr>
                  <w:tcW w:w="843" w:type="pct"/>
                  <w:vAlign w:val="center"/>
                </w:tcPr>
                <w:p w14:paraId="1959996A">
                  <w:pPr>
                    <w:pStyle w:val="31"/>
                  </w:pPr>
                  <w:r>
                    <w:rPr>
                      <w:rFonts w:hint="eastAsia"/>
                    </w:rPr>
                    <w:t>达标</w:t>
                  </w:r>
                </w:p>
              </w:tc>
            </w:tr>
            <w:tr w14:paraId="20A3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restart"/>
                  <w:vAlign w:val="center"/>
                </w:tcPr>
                <w:p w14:paraId="086A1AD5">
                  <w:pPr>
                    <w:pStyle w:val="31"/>
                  </w:pPr>
                  <w:r>
                    <w:t>厂界下风向2m（1#）</w:t>
                  </w:r>
                </w:p>
              </w:tc>
              <w:tc>
                <w:tcPr>
                  <w:tcW w:w="1027" w:type="pct"/>
                  <w:vAlign w:val="center"/>
                </w:tcPr>
                <w:p w14:paraId="4D283E0C">
                  <w:pPr>
                    <w:pStyle w:val="31"/>
                  </w:pPr>
                  <w:r>
                    <w:rPr>
                      <w:rFonts w:hint="eastAsia"/>
                    </w:rPr>
                    <w:t>检测</w:t>
                  </w:r>
                  <w:r>
                    <w:t>值范围</w:t>
                  </w:r>
                </w:p>
              </w:tc>
              <w:tc>
                <w:tcPr>
                  <w:tcW w:w="939" w:type="pct"/>
                  <w:vAlign w:val="center"/>
                </w:tcPr>
                <w:p w14:paraId="699403AA">
                  <w:pPr>
                    <w:pStyle w:val="31"/>
                  </w:pPr>
                  <w:r>
                    <w:rPr>
                      <w:rFonts w:hint="eastAsia"/>
                    </w:rPr>
                    <w:t>0.15-0.19</w:t>
                  </w:r>
                </w:p>
              </w:tc>
              <w:tc>
                <w:tcPr>
                  <w:tcW w:w="1368" w:type="pct"/>
                  <w:vAlign w:val="center"/>
                </w:tcPr>
                <w:p w14:paraId="674CFD6B">
                  <w:pPr>
                    <w:pStyle w:val="31"/>
                  </w:pPr>
                  <w:r>
                    <w:rPr>
                      <w:rFonts w:hint="eastAsia"/>
                    </w:rPr>
                    <w:t>4.45</w:t>
                  </w:r>
                  <w:r>
                    <w:rPr>
                      <w:rFonts w:hint="eastAsia"/>
                      <w:sz w:val="15"/>
                      <w:szCs w:val="15"/>
                    </w:rPr>
                    <w:t>×</w:t>
                  </w:r>
                  <w:r>
                    <w:rPr>
                      <w:rFonts w:hint="eastAsia"/>
                    </w:rPr>
                    <w:t>10</w:t>
                  </w:r>
                  <w:r>
                    <w:rPr>
                      <w:rFonts w:hint="eastAsia"/>
                      <w:vertAlign w:val="superscript"/>
                    </w:rPr>
                    <w:t>-3</w:t>
                  </w:r>
                  <w:r>
                    <w:rPr>
                      <w:rFonts w:hint="eastAsia"/>
                    </w:rPr>
                    <w:t>-9.90</w:t>
                  </w:r>
                  <w:r>
                    <w:rPr>
                      <w:rFonts w:hint="eastAsia"/>
                      <w:sz w:val="15"/>
                      <w:szCs w:val="15"/>
                    </w:rPr>
                    <w:t>×</w:t>
                  </w:r>
                  <w:r>
                    <w:rPr>
                      <w:rFonts w:hint="eastAsia"/>
                    </w:rPr>
                    <w:t>10</w:t>
                  </w:r>
                  <w:r>
                    <w:rPr>
                      <w:rFonts w:hint="eastAsia"/>
                      <w:vertAlign w:val="superscript"/>
                    </w:rPr>
                    <w:t>-3</w:t>
                  </w:r>
                </w:p>
              </w:tc>
              <w:tc>
                <w:tcPr>
                  <w:tcW w:w="843" w:type="pct"/>
                  <w:vAlign w:val="center"/>
                </w:tcPr>
                <w:p w14:paraId="0FA2CE1C">
                  <w:pPr>
                    <w:pStyle w:val="31"/>
                  </w:pPr>
                  <w:r>
                    <w:rPr>
                      <w:rFonts w:hint="eastAsia"/>
                    </w:rPr>
                    <w:t>14-17</w:t>
                  </w:r>
                </w:p>
              </w:tc>
            </w:tr>
            <w:tr w14:paraId="7F07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0FA31BF5">
                  <w:pPr>
                    <w:pStyle w:val="31"/>
                  </w:pPr>
                </w:p>
              </w:tc>
              <w:tc>
                <w:tcPr>
                  <w:tcW w:w="1027" w:type="pct"/>
                  <w:vAlign w:val="center"/>
                </w:tcPr>
                <w:p w14:paraId="40AB30B6">
                  <w:pPr>
                    <w:pStyle w:val="31"/>
                  </w:pPr>
                  <w:r>
                    <w:t>标准限值</w:t>
                  </w:r>
                </w:p>
              </w:tc>
              <w:tc>
                <w:tcPr>
                  <w:tcW w:w="939" w:type="pct"/>
                  <w:vAlign w:val="center"/>
                </w:tcPr>
                <w:p w14:paraId="7F7450A1">
                  <w:pPr>
                    <w:pStyle w:val="31"/>
                  </w:pPr>
                  <w:r>
                    <w:rPr>
                      <w:rFonts w:hint="eastAsia"/>
                    </w:rPr>
                    <w:t>2.0</w:t>
                  </w:r>
                </w:p>
              </w:tc>
              <w:tc>
                <w:tcPr>
                  <w:tcW w:w="1368" w:type="pct"/>
                  <w:vAlign w:val="center"/>
                </w:tcPr>
                <w:p w14:paraId="54A21806">
                  <w:pPr>
                    <w:pStyle w:val="31"/>
                  </w:pPr>
                  <w:r>
                    <w:rPr>
                      <w:rFonts w:hint="eastAsia"/>
                    </w:rPr>
                    <w:t>0.10</w:t>
                  </w:r>
                </w:p>
              </w:tc>
              <w:tc>
                <w:tcPr>
                  <w:tcW w:w="843" w:type="pct"/>
                  <w:vAlign w:val="center"/>
                </w:tcPr>
                <w:p w14:paraId="6980922B">
                  <w:pPr>
                    <w:pStyle w:val="31"/>
                  </w:pPr>
                  <w:r>
                    <w:rPr>
                      <w:rFonts w:hint="eastAsia"/>
                    </w:rPr>
                    <w:t>30</w:t>
                  </w:r>
                </w:p>
              </w:tc>
            </w:tr>
            <w:tr w14:paraId="25D1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34C041C6">
                  <w:pPr>
                    <w:pStyle w:val="31"/>
                  </w:pPr>
                </w:p>
              </w:tc>
              <w:tc>
                <w:tcPr>
                  <w:tcW w:w="1027" w:type="pct"/>
                  <w:vAlign w:val="center"/>
                </w:tcPr>
                <w:p w14:paraId="4EA80E63">
                  <w:pPr>
                    <w:pStyle w:val="31"/>
                  </w:pPr>
                  <w:r>
                    <w:t>达标情况</w:t>
                  </w:r>
                </w:p>
              </w:tc>
              <w:tc>
                <w:tcPr>
                  <w:tcW w:w="939" w:type="pct"/>
                  <w:vAlign w:val="center"/>
                </w:tcPr>
                <w:p w14:paraId="203CD46B">
                  <w:pPr>
                    <w:pStyle w:val="31"/>
                  </w:pPr>
                  <w:r>
                    <w:rPr>
                      <w:rFonts w:hint="eastAsia"/>
                    </w:rPr>
                    <w:t>达标</w:t>
                  </w:r>
                </w:p>
              </w:tc>
              <w:tc>
                <w:tcPr>
                  <w:tcW w:w="1368" w:type="pct"/>
                  <w:vAlign w:val="center"/>
                </w:tcPr>
                <w:p w14:paraId="58ADC84A">
                  <w:pPr>
                    <w:pStyle w:val="31"/>
                  </w:pPr>
                  <w:r>
                    <w:rPr>
                      <w:rFonts w:hint="eastAsia"/>
                    </w:rPr>
                    <w:t>达标</w:t>
                  </w:r>
                </w:p>
              </w:tc>
              <w:tc>
                <w:tcPr>
                  <w:tcW w:w="843" w:type="pct"/>
                  <w:vAlign w:val="center"/>
                </w:tcPr>
                <w:p w14:paraId="1DE99A4C">
                  <w:pPr>
                    <w:pStyle w:val="31"/>
                  </w:pPr>
                  <w:r>
                    <w:rPr>
                      <w:rFonts w:hint="eastAsia"/>
                    </w:rPr>
                    <w:t>达标</w:t>
                  </w:r>
                </w:p>
              </w:tc>
            </w:tr>
            <w:tr w14:paraId="20FA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restart"/>
                  <w:vAlign w:val="center"/>
                </w:tcPr>
                <w:p w14:paraId="6A9BD276">
                  <w:pPr>
                    <w:pStyle w:val="31"/>
                  </w:pPr>
                  <w:r>
                    <w:t>厂界下风向2m（2#）</w:t>
                  </w:r>
                </w:p>
              </w:tc>
              <w:tc>
                <w:tcPr>
                  <w:tcW w:w="1027" w:type="pct"/>
                  <w:vAlign w:val="center"/>
                </w:tcPr>
                <w:p w14:paraId="1BD13F42">
                  <w:pPr>
                    <w:pStyle w:val="31"/>
                  </w:pPr>
                  <w:r>
                    <w:rPr>
                      <w:rFonts w:hint="eastAsia"/>
                    </w:rPr>
                    <w:t>检测</w:t>
                  </w:r>
                  <w:r>
                    <w:t>值范围</w:t>
                  </w:r>
                </w:p>
              </w:tc>
              <w:tc>
                <w:tcPr>
                  <w:tcW w:w="939" w:type="pct"/>
                  <w:vAlign w:val="center"/>
                </w:tcPr>
                <w:p w14:paraId="76E5E9A2">
                  <w:pPr>
                    <w:pStyle w:val="31"/>
                  </w:pPr>
                  <w:r>
                    <w:rPr>
                      <w:rFonts w:hint="eastAsia"/>
                    </w:rPr>
                    <w:t>0.13-0.20</w:t>
                  </w:r>
                </w:p>
              </w:tc>
              <w:tc>
                <w:tcPr>
                  <w:tcW w:w="1368" w:type="pct"/>
                  <w:vAlign w:val="center"/>
                </w:tcPr>
                <w:p w14:paraId="3F207653">
                  <w:pPr>
                    <w:pStyle w:val="31"/>
                  </w:pPr>
                  <w:r>
                    <w:rPr>
                      <w:rFonts w:hint="eastAsia"/>
                    </w:rPr>
                    <w:t>4.04</w:t>
                  </w:r>
                  <w:r>
                    <w:rPr>
                      <w:rFonts w:hint="eastAsia"/>
                      <w:sz w:val="15"/>
                      <w:szCs w:val="15"/>
                    </w:rPr>
                    <w:t>×</w:t>
                  </w:r>
                  <w:r>
                    <w:rPr>
                      <w:rFonts w:hint="eastAsia"/>
                    </w:rPr>
                    <w:t>10</w:t>
                  </w:r>
                  <w:r>
                    <w:rPr>
                      <w:rFonts w:hint="eastAsia"/>
                      <w:vertAlign w:val="superscript"/>
                    </w:rPr>
                    <w:t>-3</w:t>
                  </w:r>
                  <w:r>
                    <w:rPr>
                      <w:rFonts w:hint="eastAsia"/>
                    </w:rPr>
                    <w:t>-9.63</w:t>
                  </w:r>
                  <w:r>
                    <w:rPr>
                      <w:rFonts w:hint="eastAsia"/>
                      <w:sz w:val="15"/>
                      <w:szCs w:val="15"/>
                    </w:rPr>
                    <w:t>×</w:t>
                  </w:r>
                  <w:r>
                    <w:rPr>
                      <w:rFonts w:hint="eastAsia"/>
                    </w:rPr>
                    <w:t>10</w:t>
                  </w:r>
                  <w:r>
                    <w:rPr>
                      <w:rFonts w:hint="eastAsia"/>
                      <w:vertAlign w:val="superscript"/>
                    </w:rPr>
                    <w:t>-3</w:t>
                  </w:r>
                </w:p>
              </w:tc>
              <w:tc>
                <w:tcPr>
                  <w:tcW w:w="843" w:type="pct"/>
                  <w:vAlign w:val="center"/>
                </w:tcPr>
                <w:p w14:paraId="5B6835B4">
                  <w:pPr>
                    <w:pStyle w:val="31"/>
                  </w:pPr>
                  <w:r>
                    <w:rPr>
                      <w:rFonts w:hint="eastAsia"/>
                    </w:rPr>
                    <w:t>14-18</w:t>
                  </w:r>
                </w:p>
              </w:tc>
            </w:tr>
            <w:tr w14:paraId="2885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2D636352">
                  <w:pPr>
                    <w:pStyle w:val="31"/>
                  </w:pPr>
                </w:p>
              </w:tc>
              <w:tc>
                <w:tcPr>
                  <w:tcW w:w="1027" w:type="pct"/>
                  <w:vAlign w:val="center"/>
                </w:tcPr>
                <w:p w14:paraId="7C3105CC">
                  <w:pPr>
                    <w:pStyle w:val="31"/>
                  </w:pPr>
                  <w:r>
                    <w:t>标准限值</w:t>
                  </w:r>
                </w:p>
              </w:tc>
              <w:tc>
                <w:tcPr>
                  <w:tcW w:w="939" w:type="pct"/>
                  <w:vAlign w:val="center"/>
                </w:tcPr>
                <w:p w14:paraId="58E61562">
                  <w:pPr>
                    <w:pStyle w:val="31"/>
                  </w:pPr>
                  <w:r>
                    <w:rPr>
                      <w:rFonts w:hint="eastAsia"/>
                    </w:rPr>
                    <w:t>2.0</w:t>
                  </w:r>
                </w:p>
              </w:tc>
              <w:tc>
                <w:tcPr>
                  <w:tcW w:w="1368" w:type="pct"/>
                  <w:vAlign w:val="center"/>
                </w:tcPr>
                <w:p w14:paraId="358BEF4F">
                  <w:pPr>
                    <w:pStyle w:val="31"/>
                  </w:pPr>
                  <w:r>
                    <w:rPr>
                      <w:rFonts w:hint="eastAsia"/>
                    </w:rPr>
                    <w:t>0.10</w:t>
                  </w:r>
                </w:p>
              </w:tc>
              <w:tc>
                <w:tcPr>
                  <w:tcW w:w="843" w:type="pct"/>
                  <w:vAlign w:val="center"/>
                </w:tcPr>
                <w:p w14:paraId="54688CAE">
                  <w:pPr>
                    <w:pStyle w:val="31"/>
                  </w:pPr>
                  <w:r>
                    <w:rPr>
                      <w:rFonts w:hint="eastAsia"/>
                    </w:rPr>
                    <w:t>30</w:t>
                  </w:r>
                </w:p>
              </w:tc>
            </w:tr>
            <w:tr w14:paraId="39AB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0A03FAF8">
                  <w:pPr>
                    <w:pStyle w:val="31"/>
                  </w:pPr>
                </w:p>
              </w:tc>
              <w:tc>
                <w:tcPr>
                  <w:tcW w:w="1027" w:type="pct"/>
                  <w:vAlign w:val="center"/>
                </w:tcPr>
                <w:p w14:paraId="55BFC286">
                  <w:pPr>
                    <w:pStyle w:val="31"/>
                  </w:pPr>
                  <w:r>
                    <w:t>达标情况</w:t>
                  </w:r>
                </w:p>
              </w:tc>
              <w:tc>
                <w:tcPr>
                  <w:tcW w:w="939" w:type="pct"/>
                  <w:vAlign w:val="center"/>
                </w:tcPr>
                <w:p w14:paraId="389684FE">
                  <w:pPr>
                    <w:pStyle w:val="31"/>
                  </w:pPr>
                  <w:r>
                    <w:rPr>
                      <w:rFonts w:hint="eastAsia"/>
                    </w:rPr>
                    <w:t>达标</w:t>
                  </w:r>
                </w:p>
              </w:tc>
              <w:tc>
                <w:tcPr>
                  <w:tcW w:w="1368" w:type="pct"/>
                  <w:vAlign w:val="center"/>
                </w:tcPr>
                <w:p w14:paraId="0178D6D9">
                  <w:pPr>
                    <w:pStyle w:val="31"/>
                  </w:pPr>
                  <w:r>
                    <w:rPr>
                      <w:rFonts w:hint="eastAsia"/>
                    </w:rPr>
                    <w:t>达标</w:t>
                  </w:r>
                </w:p>
              </w:tc>
              <w:tc>
                <w:tcPr>
                  <w:tcW w:w="843" w:type="pct"/>
                  <w:vAlign w:val="center"/>
                </w:tcPr>
                <w:p w14:paraId="13D6FCC1">
                  <w:pPr>
                    <w:pStyle w:val="31"/>
                  </w:pPr>
                  <w:r>
                    <w:rPr>
                      <w:rFonts w:hint="eastAsia"/>
                    </w:rPr>
                    <w:t>达标</w:t>
                  </w:r>
                </w:p>
              </w:tc>
            </w:tr>
            <w:tr w14:paraId="1FAB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restart"/>
                  <w:vAlign w:val="center"/>
                </w:tcPr>
                <w:p w14:paraId="1817D609">
                  <w:pPr>
                    <w:pStyle w:val="31"/>
                  </w:pPr>
                  <w:r>
                    <w:t>厂界下风向2m（3#）</w:t>
                  </w:r>
                </w:p>
              </w:tc>
              <w:tc>
                <w:tcPr>
                  <w:tcW w:w="1027" w:type="pct"/>
                  <w:vAlign w:val="center"/>
                </w:tcPr>
                <w:p w14:paraId="27D2DD5B">
                  <w:pPr>
                    <w:pStyle w:val="31"/>
                  </w:pPr>
                  <w:r>
                    <w:rPr>
                      <w:rFonts w:hint="eastAsia"/>
                    </w:rPr>
                    <w:t>检测</w:t>
                  </w:r>
                  <w:r>
                    <w:t>值范围</w:t>
                  </w:r>
                </w:p>
              </w:tc>
              <w:tc>
                <w:tcPr>
                  <w:tcW w:w="939" w:type="pct"/>
                  <w:vAlign w:val="center"/>
                </w:tcPr>
                <w:p w14:paraId="657ADB61">
                  <w:pPr>
                    <w:pStyle w:val="31"/>
                  </w:pPr>
                  <w:r>
                    <w:rPr>
                      <w:rFonts w:hint="eastAsia"/>
                    </w:rPr>
                    <w:t>0.13-0.20</w:t>
                  </w:r>
                </w:p>
              </w:tc>
              <w:tc>
                <w:tcPr>
                  <w:tcW w:w="1368" w:type="pct"/>
                  <w:vAlign w:val="center"/>
                </w:tcPr>
                <w:p w14:paraId="4001718C">
                  <w:pPr>
                    <w:pStyle w:val="31"/>
                  </w:pPr>
                  <w:r>
                    <w:rPr>
                      <w:rFonts w:hint="eastAsia"/>
                    </w:rPr>
                    <w:t>6.28</w:t>
                  </w:r>
                  <w:r>
                    <w:rPr>
                      <w:rFonts w:hint="eastAsia"/>
                      <w:sz w:val="15"/>
                      <w:szCs w:val="15"/>
                    </w:rPr>
                    <w:t>×</w:t>
                  </w:r>
                  <w:r>
                    <w:rPr>
                      <w:rFonts w:hint="eastAsia"/>
                    </w:rPr>
                    <w:t>10</w:t>
                  </w:r>
                  <w:r>
                    <w:rPr>
                      <w:rFonts w:hint="eastAsia"/>
                      <w:vertAlign w:val="superscript"/>
                    </w:rPr>
                    <w:t>-3</w:t>
                  </w:r>
                  <w:r>
                    <w:rPr>
                      <w:rFonts w:hint="eastAsia"/>
                    </w:rPr>
                    <w:t>-9.60</w:t>
                  </w:r>
                  <w:r>
                    <w:rPr>
                      <w:rFonts w:hint="eastAsia"/>
                      <w:sz w:val="15"/>
                      <w:szCs w:val="15"/>
                    </w:rPr>
                    <w:t>×</w:t>
                  </w:r>
                  <w:r>
                    <w:rPr>
                      <w:rFonts w:hint="eastAsia"/>
                    </w:rPr>
                    <w:t>10</w:t>
                  </w:r>
                  <w:r>
                    <w:rPr>
                      <w:rFonts w:hint="eastAsia"/>
                      <w:vertAlign w:val="superscript"/>
                    </w:rPr>
                    <w:t>-3</w:t>
                  </w:r>
                </w:p>
              </w:tc>
              <w:tc>
                <w:tcPr>
                  <w:tcW w:w="843" w:type="pct"/>
                  <w:vAlign w:val="center"/>
                </w:tcPr>
                <w:p w14:paraId="126DF110">
                  <w:pPr>
                    <w:pStyle w:val="31"/>
                  </w:pPr>
                  <w:r>
                    <w:rPr>
                      <w:rFonts w:hint="eastAsia"/>
                    </w:rPr>
                    <w:t>15-18</w:t>
                  </w:r>
                </w:p>
              </w:tc>
            </w:tr>
            <w:tr w14:paraId="294E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673EB08D">
                  <w:pPr>
                    <w:pStyle w:val="31"/>
                  </w:pPr>
                </w:p>
              </w:tc>
              <w:tc>
                <w:tcPr>
                  <w:tcW w:w="1027" w:type="pct"/>
                  <w:vAlign w:val="center"/>
                </w:tcPr>
                <w:p w14:paraId="6B08085B">
                  <w:pPr>
                    <w:pStyle w:val="31"/>
                  </w:pPr>
                  <w:r>
                    <w:t>标准限值</w:t>
                  </w:r>
                </w:p>
              </w:tc>
              <w:tc>
                <w:tcPr>
                  <w:tcW w:w="939" w:type="pct"/>
                  <w:vAlign w:val="center"/>
                </w:tcPr>
                <w:p w14:paraId="2E3583EB">
                  <w:pPr>
                    <w:pStyle w:val="31"/>
                  </w:pPr>
                  <w:r>
                    <w:rPr>
                      <w:rFonts w:hint="eastAsia"/>
                    </w:rPr>
                    <w:t>2.0</w:t>
                  </w:r>
                </w:p>
              </w:tc>
              <w:tc>
                <w:tcPr>
                  <w:tcW w:w="1368" w:type="pct"/>
                  <w:vAlign w:val="center"/>
                </w:tcPr>
                <w:p w14:paraId="5612A7C2">
                  <w:pPr>
                    <w:pStyle w:val="31"/>
                  </w:pPr>
                  <w:r>
                    <w:rPr>
                      <w:rFonts w:hint="eastAsia"/>
                    </w:rPr>
                    <w:t>0.10</w:t>
                  </w:r>
                </w:p>
              </w:tc>
              <w:tc>
                <w:tcPr>
                  <w:tcW w:w="843" w:type="pct"/>
                  <w:vAlign w:val="center"/>
                </w:tcPr>
                <w:p w14:paraId="24BAB211">
                  <w:pPr>
                    <w:pStyle w:val="31"/>
                  </w:pPr>
                  <w:r>
                    <w:rPr>
                      <w:rFonts w:hint="eastAsia"/>
                    </w:rPr>
                    <w:t>30</w:t>
                  </w:r>
                </w:p>
              </w:tc>
            </w:tr>
            <w:tr w14:paraId="6A0A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3" w:type="pct"/>
                  <w:vMerge w:val="continue"/>
                  <w:vAlign w:val="center"/>
                </w:tcPr>
                <w:p w14:paraId="404CBB99">
                  <w:pPr>
                    <w:pStyle w:val="31"/>
                  </w:pPr>
                </w:p>
              </w:tc>
              <w:tc>
                <w:tcPr>
                  <w:tcW w:w="1027" w:type="pct"/>
                  <w:vAlign w:val="center"/>
                </w:tcPr>
                <w:p w14:paraId="5AC5BC30">
                  <w:pPr>
                    <w:pStyle w:val="31"/>
                  </w:pPr>
                  <w:r>
                    <w:t>达标情况</w:t>
                  </w:r>
                </w:p>
              </w:tc>
              <w:tc>
                <w:tcPr>
                  <w:tcW w:w="939" w:type="pct"/>
                  <w:vAlign w:val="center"/>
                </w:tcPr>
                <w:p w14:paraId="6ED174F2">
                  <w:pPr>
                    <w:pStyle w:val="31"/>
                  </w:pPr>
                  <w:r>
                    <w:rPr>
                      <w:rFonts w:hint="eastAsia"/>
                    </w:rPr>
                    <w:t>达标</w:t>
                  </w:r>
                </w:p>
              </w:tc>
              <w:tc>
                <w:tcPr>
                  <w:tcW w:w="1368" w:type="pct"/>
                  <w:vAlign w:val="center"/>
                </w:tcPr>
                <w:p w14:paraId="74805D40">
                  <w:pPr>
                    <w:pStyle w:val="31"/>
                  </w:pPr>
                  <w:r>
                    <w:rPr>
                      <w:rFonts w:hint="eastAsia"/>
                    </w:rPr>
                    <w:t>达标</w:t>
                  </w:r>
                </w:p>
              </w:tc>
              <w:tc>
                <w:tcPr>
                  <w:tcW w:w="843" w:type="pct"/>
                  <w:vAlign w:val="center"/>
                </w:tcPr>
                <w:p w14:paraId="7B864B78">
                  <w:pPr>
                    <w:pStyle w:val="31"/>
                  </w:pPr>
                  <w:r>
                    <w:rPr>
                      <w:rFonts w:hint="eastAsia"/>
                    </w:rPr>
                    <w:t>达标</w:t>
                  </w:r>
                </w:p>
              </w:tc>
            </w:tr>
          </w:tbl>
          <w:p w14:paraId="5807B71E">
            <w:pPr>
              <w:pStyle w:val="36"/>
              <w:spacing w:line="240" w:lineRule="auto"/>
              <w:ind w:firstLine="0" w:firstLineChars="0"/>
              <w:rPr>
                <w:bCs/>
                <w:spacing w:val="0"/>
                <w:kern w:val="0"/>
                <w:lang w:eastAsia="zh-CN"/>
              </w:rPr>
            </w:pPr>
          </w:p>
          <w:p w14:paraId="3739E215">
            <w:pPr>
              <w:pStyle w:val="36"/>
              <w:ind w:firstLine="482"/>
              <w:jc w:val="left"/>
              <w:rPr>
                <w:rFonts w:cs="Times New Roman"/>
                <w:b/>
                <w:bCs/>
                <w:color w:val="000000" w:themeColor="text1"/>
                <w:spacing w:val="0"/>
                <w:lang w:eastAsia="zh-CN"/>
                <w14:textFill>
                  <w14:solidFill>
                    <w14:schemeClr w14:val="tx1"/>
                  </w14:solidFill>
                </w14:textFill>
              </w:rPr>
            </w:pPr>
            <w:r>
              <w:rPr>
                <w:rFonts w:hint="eastAsia" w:cs="Times New Roman"/>
                <w:b/>
                <w:bCs/>
                <w:color w:val="000000" w:themeColor="text1"/>
                <w:spacing w:val="0"/>
                <w:lang w:eastAsia="zh-CN"/>
                <w14:textFill>
                  <w14:solidFill>
                    <w14:schemeClr w14:val="tx1"/>
                  </w14:solidFill>
                </w14:textFill>
              </w:rPr>
              <w:t>（3）噪声</w:t>
            </w:r>
          </w:p>
          <w:p w14:paraId="5C708E2D">
            <w:pPr>
              <w:pStyle w:val="36"/>
              <w:ind w:firstLine="480"/>
              <w:rPr>
                <w:rFonts w:cs="Times New Roman"/>
                <w:color w:val="000000"/>
                <w:spacing w:val="0"/>
                <w:lang w:eastAsia="zh-CN"/>
              </w:rPr>
            </w:pPr>
            <w:r>
              <w:rPr>
                <w:rFonts w:cs="Times New Roman"/>
                <w:color w:val="000000"/>
                <w:spacing w:val="0"/>
                <w:lang w:eastAsia="zh-CN"/>
              </w:rPr>
              <w:t>项目运营期噪声主要为待宰圈、屠宰</w:t>
            </w:r>
            <w:r>
              <w:rPr>
                <w:rFonts w:hint="eastAsia" w:cs="Times New Roman"/>
                <w:color w:val="000000"/>
                <w:spacing w:val="0"/>
                <w:lang w:eastAsia="zh-CN"/>
              </w:rPr>
              <w:t>车间肉牛</w:t>
            </w:r>
            <w:r>
              <w:rPr>
                <w:rFonts w:cs="Times New Roman"/>
                <w:color w:val="000000"/>
                <w:spacing w:val="0"/>
                <w:lang w:eastAsia="zh-CN"/>
              </w:rPr>
              <w:t>叫声，机械、设备运行噪声，车辆运输噪声。项目通过合理布置功能分区，采用潜水泵，机械、设备布置在厂房内，设备基座安装减振装置，噪声较大设备安装隔音罩，厂</w:t>
            </w:r>
            <w:r>
              <w:rPr>
                <w:rFonts w:hint="eastAsia" w:cs="Times New Roman"/>
                <w:color w:val="000000"/>
                <w:spacing w:val="0"/>
                <w:lang w:eastAsia="zh-CN"/>
              </w:rPr>
              <w:t>界</w:t>
            </w:r>
            <w:r>
              <w:rPr>
                <w:rFonts w:cs="Times New Roman"/>
                <w:color w:val="000000"/>
                <w:spacing w:val="0"/>
                <w:lang w:eastAsia="zh-CN"/>
              </w:rPr>
              <w:t>设置绿化带等措施，减缓噪声对环境的影响。</w:t>
            </w:r>
          </w:p>
          <w:p w14:paraId="16C6E522">
            <w:pPr>
              <w:pStyle w:val="36"/>
              <w:ind w:firstLine="480"/>
              <w:rPr>
                <w:rFonts w:cs="Times New Roman"/>
                <w:color w:val="000000"/>
                <w:spacing w:val="0"/>
                <w:lang w:eastAsia="zh-CN"/>
              </w:rPr>
            </w:pPr>
            <w:r>
              <w:rPr>
                <w:rFonts w:cs="Times New Roman"/>
                <w:bCs/>
                <w:spacing w:val="0"/>
                <w:kern w:val="0"/>
                <w:lang w:eastAsia="zh-CN"/>
              </w:rPr>
              <w:t>根据</w:t>
            </w:r>
            <w:r>
              <w:rPr>
                <w:rFonts w:cs="Times New Roman"/>
                <w:color w:val="000000"/>
                <w:spacing w:val="0"/>
                <w:lang w:eastAsia="zh-CN"/>
              </w:rPr>
              <w:t>2024年11月，云南海潮集团听牧肉牛产业股份有限公司排污许可自行监测</w:t>
            </w:r>
            <w:r>
              <w:rPr>
                <w:rFonts w:hint="eastAsia" w:cs="Times New Roman"/>
                <w:color w:val="000000"/>
                <w:spacing w:val="0"/>
                <w:lang w:eastAsia="zh-CN"/>
              </w:rPr>
              <w:t>：</w:t>
            </w:r>
            <w:r>
              <w:rPr>
                <w:rFonts w:cs="Times New Roman"/>
                <w:color w:val="000000"/>
                <w:spacing w:val="0"/>
                <w:lang w:eastAsia="zh-CN"/>
              </w:rPr>
              <w:t>项目厂</w:t>
            </w:r>
            <w:r>
              <w:rPr>
                <w:rFonts w:hint="eastAsia" w:cs="Times New Roman"/>
                <w:color w:val="000000"/>
                <w:spacing w:val="0"/>
                <w:lang w:eastAsia="zh-CN"/>
              </w:rPr>
              <w:t>界</w:t>
            </w:r>
            <w:r>
              <w:rPr>
                <w:rFonts w:cs="Times New Roman"/>
                <w:color w:val="000000"/>
                <w:spacing w:val="0"/>
                <w:lang w:eastAsia="zh-CN"/>
              </w:rPr>
              <w:t>达到《工业企业厂界环境噪声排放标准》（GB12348-2008）2类标准。</w:t>
            </w:r>
          </w:p>
          <w:p w14:paraId="2B6803DA">
            <w:pPr>
              <w:pStyle w:val="29"/>
              <w:outlineLvl w:val="9"/>
              <w:rPr>
                <w:rFonts w:hint="default"/>
              </w:rPr>
            </w:pPr>
            <w:r>
              <w:rPr>
                <w:rFonts w:hint="default"/>
              </w:rPr>
              <w:t>表2-</w:t>
            </w:r>
            <w:r>
              <w:t>10</w:t>
            </w:r>
            <w:r>
              <w:rPr>
                <w:rFonts w:hint="default"/>
              </w:rPr>
              <w:t xml:space="preserve"> </w:t>
            </w:r>
            <w:r>
              <w:t>项目厂界噪声监测</w:t>
            </w:r>
            <w:r>
              <w:rPr>
                <w:rFonts w:hint="default"/>
              </w:rPr>
              <w:t>结果表</w:t>
            </w:r>
          </w:p>
          <w:tbl>
            <w:tblPr>
              <w:tblStyle w:val="23"/>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29"/>
              <w:gridCol w:w="829"/>
              <w:gridCol w:w="829"/>
              <w:gridCol w:w="829"/>
              <w:gridCol w:w="829"/>
              <w:gridCol w:w="829"/>
              <w:gridCol w:w="829"/>
              <w:gridCol w:w="829"/>
              <w:gridCol w:w="829"/>
            </w:tblGrid>
            <w:tr w14:paraId="2B36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500" w:type="pct"/>
                  <w:gridSpan w:val="5"/>
                  <w:vAlign w:val="center"/>
                </w:tcPr>
                <w:p w14:paraId="560EEFC5">
                  <w:pPr>
                    <w:pStyle w:val="31"/>
                    <w:rPr>
                      <w:b/>
                      <w:bCs/>
                      <w:sz w:val="18"/>
                      <w:szCs w:val="18"/>
                    </w:rPr>
                  </w:pPr>
                  <w:r>
                    <w:rPr>
                      <w:rFonts w:hint="eastAsia"/>
                      <w:b/>
                      <w:bCs/>
                      <w:sz w:val="18"/>
                      <w:szCs w:val="18"/>
                    </w:rPr>
                    <w:t>昼间dB（A）</w:t>
                  </w:r>
                </w:p>
              </w:tc>
              <w:tc>
                <w:tcPr>
                  <w:tcW w:w="2500" w:type="pct"/>
                  <w:gridSpan w:val="5"/>
                  <w:vAlign w:val="center"/>
                </w:tcPr>
                <w:p w14:paraId="161149F0">
                  <w:pPr>
                    <w:pStyle w:val="31"/>
                    <w:rPr>
                      <w:b/>
                      <w:bCs/>
                      <w:sz w:val="18"/>
                      <w:szCs w:val="18"/>
                    </w:rPr>
                  </w:pPr>
                  <w:r>
                    <w:rPr>
                      <w:rFonts w:hint="eastAsia"/>
                      <w:b/>
                      <w:bCs/>
                      <w:sz w:val="18"/>
                      <w:szCs w:val="18"/>
                    </w:rPr>
                    <w:t>夜间dB（A）</w:t>
                  </w:r>
                </w:p>
              </w:tc>
            </w:tr>
            <w:tr w14:paraId="43B8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00" w:type="pct"/>
                  <w:vAlign w:val="center"/>
                </w:tcPr>
                <w:p w14:paraId="36AA42E2">
                  <w:pPr>
                    <w:pStyle w:val="31"/>
                    <w:rPr>
                      <w:sz w:val="18"/>
                      <w:szCs w:val="18"/>
                    </w:rPr>
                  </w:pPr>
                  <w:r>
                    <w:rPr>
                      <w:rFonts w:hint="eastAsia"/>
                      <w:sz w:val="18"/>
                      <w:szCs w:val="18"/>
                    </w:rPr>
                    <w:t>厂界东</w:t>
                  </w:r>
                </w:p>
              </w:tc>
              <w:tc>
                <w:tcPr>
                  <w:tcW w:w="500" w:type="pct"/>
                  <w:vAlign w:val="center"/>
                </w:tcPr>
                <w:p w14:paraId="72040C52">
                  <w:pPr>
                    <w:pStyle w:val="31"/>
                    <w:rPr>
                      <w:sz w:val="18"/>
                      <w:szCs w:val="18"/>
                    </w:rPr>
                  </w:pPr>
                  <w:r>
                    <w:rPr>
                      <w:sz w:val="18"/>
                      <w:szCs w:val="18"/>
                    </w:rPr>
                    <w:t>厂界</w:t>
                  </w:r>
                  <w:r>
                    <w:rPr>
                      <w:rFonts w:hint="eastAsia"/>
                      <w:sz w:val="18"/>
                      <w:szCs w:val="18"/>
                    </w:rPr>
                    <w:t>南</w:t>
                  </w:r>
                </w:p>
              </w:tc>
              <w:tc>
                <w:tcPr>
                  <w:tcW w:w="500" w:type="pct"/>
                  <w:vAlign w:val="center"/>
                </w:tcPr>
                <w:p w14:paraId="334E39D0">
                  <w:pPr>
                    <w:pStyle w:val="31"/>
                    <w:rPr>
                      <w:sz w:val="18"/>
                      <w:szCs w:val="18"/>
                    </w:rPr>
                  </w:pPr>
                  <w:r>
                    <w:rPr>
                      <w:sz w:val="18"/>
                      <w:szCs w:val="18"/>
                    </w:rPr>
                    <w:t>厂界</w:t>
                  </w:r>
                  <w:r>
                    <w:rPr>
                      <w:rFonts w:hint="eastAsia"/>
                      <w:sz w:val="18"/>
                      <w:szCs w:val="18"/>
                    </w:rPr>
                    <w:t>西</w:t>
                  </w:r>
                </w:p>
              </w:tc>
              <w:tc>
                <w:tcPr>
                  <w:tcW w:w="500" w:type="pct"/>
                  <w:vAlign w:val="center"/>
                </w:tcPr>
                <w:p w14:paraId="741479EA">
                  <w:pPr>
                    <w:pStyle w:val="31"/>
                    <w:rPr>
                      <w:sz w:val="18"/>
                      <w:szCs w:val="18"/>
                    </w:rPr>
                  </w:pPr>
                  <w:r>
                    <w:rPr>
                      <w:sz w:val="18"/>
                      <w:szCs w:val="18"/>
                    </w:rPr>
                    <w:t>厂界</w:t>
                  </w:r>
                  <w:r>
                    <w:rPr>
                      <w:rFonts w:hint="eastAsia"/>
                      <w:sz w:val="18"/>
                      <w:szCs w:val="18"/>
                    </w:rPr>
                    <w:t>北</w:t>
                  </w:r>
                </w:p>
              </w:tc>
              <w:tc>
                <w:tcPr>
                  <w:tcW w:w="500" w:type="pct"/>
                  <w:vAlign w:val="center"/>
                </w:tcPr>
                <w:p w14:paraId="5F6368E0">
                  <w:pPr>
                    <w:pStyle w:val="31"/>
                    <w:rPr>
                      <w:sz w:val="18"/>
                      <w:szCs w:val="18"/>
                    </w:rPr>
                  </w:pPr>
                  <w:r>
                    <w:rPr>
                      <w:rFonts w:hint="eastAsia"/>
                      <w:sz w:val="18"/>
                      <w:szCs w:val="18"/>
                    </w:rPr>
                    <w:t>标准值</w:t>
                  </w:r>
                </w:p>
              </w:tc>
              <w:tc>
                <w:tcPr>
                  <w:tcW w:w="500" w:type="pct"/>
                  <w:vAlign w:val="center"/>
                </w:tcPr>
                <w:p w14:paraId="3CD49DDC">
                  <w:pPr>
                    <w:pStyle w:val="31"/>
                    <w:rPr>
                      <w:sz w:val="18"/>
                      <w:szCs w:val="18"/>
                    </w:rPr>
                  </w:pPr>
                  <w:r>
                    <w:rPr>
                      <w:rFonts w:hint="eastAsia"/>
                      <w:sz w:val="18"/>
                      <w:szCs w:val="18"/>
                    </w:rPr>
                    <w:t>厂界东</w:t>
                  </w:r>
                </w:p>
              </w:tc>
              <w:tc>
                <w:tcPr>
                  <w:tcW w:w="500" w:type="pct"/>
                  <w:vAlign w:val="center"/>
                </w:tcPr>
                <w:p w14:paraId="26FE6D0A">
                  <w:pPr>
                    <w:pStyle w:val="31"/>
                    <w:rPr>
                      <w:sz w:val="18"/>
                      <w:szCs w:val="18"/>
                    </w:rPr>
                  </w:pPr>
                  <w:r>
                    <w:rPr>
                      <w:sz w:val="18"/>
                      <w:szCs w:val="18"/>
                    </w:rPr>
                    <w:t>厂界</w:t>
                  </w:r>
                  <w:r>
                    <w:rPr>
                      <w:rFonts w:hint="eastAsia"/>
                      <w:sz w:val="18"/>
                      <w:szCs w:val="18"/>
                    </w:rPr>
                    <w:t>南</w:t>
                  </w:r>
                </w:p>
              </w:tc>
              <w:tc>
                <w:tcPr>
                  <w:tcW w:w="500" w:type="pct"/>
                  <w:vAlign w:val="center"/>
                </w:tcPr>
                <w:p w14:paraId="3DC1B3AD">
                  <w:pPr>
                    <w:pStyle w:val="31"/>
                    <w:rPr>
                      <w:sz w:val="18"/>
                      <w:szCs w:val="18"/>
                    </w:rPr>
                  </w:pPr>
                  <w:r>
                    <w:rPr>
                      <w:sz w:val="18"/>
                      <w:szCs w:val="18"/>
                    </w:rPr>
                    <w:t>厂界</w:t>
                  </w:r>
                  <w:r>
                    <w:rPr>
                      <w:rFonts w:hint="eastAsia"/>
                      <w:sz w:val="18"/>
                      <w:szCs w:val="18"/>
                    </w:rPr>
                    <w:t>西</w:t>
                  </w:r>
                </w:p>
              </w:tc>
              <w:tc>
                <w:tcPr>
                  <w:tcW w:w="500" w:type="pct"/>
                  <w:vAlign w:val="center"/>
                </w:tcPr>
                <w:p w14:paraId="564E7E3D">
                  <w:pPr>
                    <w:pStyle w:val="31"/>
                    <w:rPr>
                      <w:sz w:val="18"/>
                      <w:szCs w:val="18"/>
                    </w:rPr>
                  </w:pPr>
                  <w:r>
                    <w:rPr>
                      <w:sz w:val="18"/>
                      <w:szCs w:val="18"/>
                    </w:rPr>
                    <w:t>厂界</w:t>
                  </w:r>
                  <w:r>
                    <w:rPr>
                      <w:rFonts w:hint="eastAsia"/>
                      <w:sz w:val="18"/>
                      <w:szCs w:val="18"/>
                    </w:rPr>
                    <w:t>北</w:t>
                  </w:r>
                </w:p>
              </w:tc>
              <w:tc>
                <w:tcPr>
                  <w:tcW w:w="500" w:type="pct"/>
                  <w:vAlign w:val="center"/>
                </w:tcPr>
                <w:p w14:paraId="49A2BAD0">
                  <w:pPr>
                    <w:pStyle w:val="31"/>
                    <w:rPr>
                      <w:sz w:val="18"/>
                      <w:szCs w:val="18"/>
                    </w:rPr>
                  </w:pPr>
                  <w:r>
                    <w:rPr>
                      <w:rFonts w:hint="eastAsia"/>
                      <w:sz w:val="18"/>
                      <w:szCs w:val="18"/>
                    </w:rPr>
                    <w:t>标准值</w:t>
                  </w:r>
                </w:p>
              </w:tc>
            </w:tr>
            <w:tr w14:paraId="4682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00" w:type="pct"/>
                  <w:vAlign w:val="center"/>
                </w:tcPr>
                <w:p w14:paraId="53F124E7">
                  <w:pPr>
                    <w:pStyle w:val="31"/>
                    <w:rPr>
                      <w:sz w:val="18"/>
                      <w:szCs w:val="18"/>
                    </w:rPr>
                  </w:pPr>
                  <w:r>
                    <w:rPr>
                      <w:rFonts w:hint="eastAsia"/>
                      <w:sz w:val="18"/>
                      <w:szCs w:val="18"/>
                    </w:rPr>
                    <w:t>52</w:t>
                  </w:r>
                </w:p>
              </w:tc>
              <w:tc>
                <w:tcPr>
                  <w:tcW w:w="500" w:type="pct"/>
                  <w:vAlign w:val="center"/>
                </w:tcPr>
                <w:p w14:paraId="3577AC2A">
                  <w:pPr>
                    <w:pStyle w:val="31"/>
                    <w:rPr>
                      <w:sz w:val="18"/>
                      <w:szCs w:val="18"/>
                    </w:rPr>
                  </w:pPr>
                  <w:r>
                    <w:rPr>
                      <w:rFonts w:hint="eastAsia"/>
                      <w:sz w:val="18"/>
                      <w:szCs w:val="18"/>
                    </w:rPr>
                    <w:t>52</w:t>
                  </w:r>
                </w:p>
              </w:tc>
              <w:tc>
                <w:tcPr>
                  <w:tcW w:w="500" w:type="pct"/>
                  <w:vAlign w:val="center"/>
                </w:tcPr>
                <w:p w14:paraId="7526FB0C">
                  <w:pPr>
                    <w:pStyle w:val="31"/>
                    <w:rPr>
                      <w:sz w:val="18"/>
                      <w:szCs w:val="18"/>
                    </w:rPr>
                  </w:pPr>
                  <w:r>
                    <w:rPr>
                      <w:rFonts w:hint="eastAsia"/>
                      <w:sz w:val="18"/>
                      <w:szCs w:val="18"/>
                    </w:rPr>
                    <w:t>53</w:t>
                  </w:r>
                </w:p>
              </w:tc>
              <w:tc>
                <w:tcPr>
                  <w:tcW w:w="500" w:type="pct"/>
                  <w:vAlign w:val="center"/>
                </w:tcPr>
                <w:p w14:paraId="25A82D48">
                  <w:pPr>
                    <w:pStyle w:val="31"/>
                    <w:rPr>
                      <w:sz w:val="18"/>
                      <w:szCs w:val="18"/>
                    </w:rPr>
                  </w:pPr>
                  <w:r>
                    <w:rPr>
                      <w:rFonts w:hint="eastAsia"/>
                      <w:sz w:val="18"/>
                      <w:szCs w:val="18"/>
                    </w:rPr>
                    <w:t>53</w:t>
                  </w:r>
                </w:p>
              </w:tc>
              <w:tc>
                <w:tcPr>
                  <w:tcW w:w="500" w:type="pct"/>
                  <w:vAlign w:val="center"/>
                </w:tcPr>
                <w:p w14:paraId="504E2DFD">
                  <w:pPr>
                    <w:pStyle w:val="31"/>
                    <w:rPr>
                      <w:sz w:val="18"/>
                      <w:szCs w:val="18"/>
                    </w:rPr>
                  </w:pPr>
                  <w:r>
                    <w:rPr>
                      <w:rFonts w:hint="eastAsia"/>
                      <w:sz w:val="18"/>
                      <w:szCs w:val="18"/>
                    </w:rPr>
                    <w:t>60</w:t>
                  </w:r>
                </w:p>
              </w:tc>
              <w:tc>
                <w:tcPr>
                  <w:tcW w:w="500" w:type="pct"/>
                  <w:vAlign w:val="center"/>
                </w:tcPr>
                <w:p w14:paraId="652181CA">
                  <w:pPr>
                    <w:pStyle w:val="31"/>
                    <w:rPr>
                      <w:sz w:val="18"/>
                      <w:szCs w:val="18"/>
                    </w:rPr>
                  </w:pPr>
                  <w:r>
                    <w:rPr>
                      <w:rFonts w:hint="eastAsia"/>
                      <w:sz w:val="18"/>
                      <w:szCs w:val="18"/>
                    </w:rPr>
                    <w:t>43</w:t>
                  </w:r>
                </w:p>
              </w:tc>
              <w:tc>
                <w:tcPr>
                  <w:tcW w:w="500" w:type="pct"/>
                  <w:vAlign w:val="center"/>
                </w:tcPr>
                <w:p w14:paraId="5D4C91BB">
                  <w:pPr>
                    <w:pStyle w:val="31"/>
                    <w:rPr>
                      <w:sz w:val="18"/>
                      <w:szCs w:val="18"/>
                    </w:rPr>
                  </w:pPr>
                  <w:r>
                    <w:rPr>
                      <w:rFonts w:hint="eastAsia"/>
                      <w:sz w:val="18"/>
                      <w:szCs w:val="18"/>
                    </w:rPr>
                    <w:t>44</w:t>
                  </w:r>
                </w:p>
              </w:tc>
              <w:tc>
                <w:tcPr>
                  <w:tcW w:w="500" w:type="pct"/>
                  <w:vAlign w:val="center"/>
                </w:tcPr>
                <w:p w14:paraId="1D0B19D4">
                  <w:pPr>
                    <w:pStyle w:val="31"/>
                    <w:rPr>
                      <w:sz w:val="18"/>
                      <w:szCs w:val="18"/>
                    </w:rPr>
                  </w:pPr>
                  <w:r>
                    <w:rPr>
                      <w:rFonts w:hint="eastAsia"/>
                      <w:sz w:val="18"/>
                      <w:szCs w:val="18"/>
                    </w:rPr>
                    <w:t>42</w:t>
                  </w:r>
                </w:p>
              </w:tc>
              <w:tc>
                <w:tcPr>
                  <w:tcW w:w="500" w:type="pct"/>
                  <w:vAlign w:val="center"/>
                </w:tcPr>
                <w:p w14:paraId="2BC71F1F">
                  <w:pPr>
                    <w:pStyle w:val="31"/>
                    <w:rPr>
                      <w:sz w:val="18"/>
                      <w:szCs w:val="18"/>
                    </w:rPr>
                  </w:pPr>
                  <w:r>
                    <w:rPr>
                      <w:rFonts w:hint="eastAsia"/>
                      <w:sz w:val="18"/>
                      <w:szCs w:val="18"/>
                    </w:rPr>
                    <w:t>43</w:t>
                  </w:r>
                </w:p>
              </w:tc>
              <w:tc>
                <w:tcPr>
                  <w:tcW w:w="500" w:type="pct"/>
                  <w:vAlign w:val="center"/>
                </w:tcPr>
                <w:p w14:paraId="481FC8BF">
                  <w:pPr>
                    <w:pStyle w:val="31"/>
                    <w:rPr>
                      <w:sz w:val="18"/>
                      <w:szCs w:val="18"/>
                    </w:rPr>
                  </w:pPr>
                  <w:r>
                    <w:rPr>
                      <w:rFonts w:hint="eastAsia"/>
                      <w:sz w:val="18"/>
                      <w:szCs w:val="18"/>
                    </w:rPr>
                    <w:t>50</w:t>
                  </w:r>
                </w:p>
              </w:tc>
            </w:tr>
          </w:tbl>
          <w:p w14:paraId="598DAE63">
            <w:pPr>
              <w:pStyle w:val="36"/>
              <w:spacing w:line="240" w:lineRule="auto"/>
              <w:ind w:firstLine="0" w:firstLineChars="0"/>
              <w:rPr>
                <w:color w:val="000000"/>
                <w:spacing w:val="0"/>
                <w:lang w:eastAsia="zh-CN"/>
              </w:rPr>
            </w:pPr>
          </w:p>
          <w:p w14:paraId="2E79BBEF">
            <w:pPr>
              <w:pStyle w:val="36"/>
              <w:ind w:firstLine="482"/>
              <w:jc w:val="left"/>
              <w:rPr>
                <w:rFonts w:cs="Times New Roman"/>
                <w:b/>
                <w:bCs/>
                <w:color w:val="000000" w:themeColor="text1"/>
                <w:spacing w:val="0"/>
                <w:lang w:eastAsia="zh-CN"/>
                <w14:textFill>
                  <w14:solidFill>
                    <w14:schemeClr w14:val="tx1"/>
                  </w14:solidFill>
                </w14:textFill>
              </w:rPr>
            </w:pPr>
            <w:r>
              <w:rPr>
                <w:rFonts w:hint="eastAsia" w:cs="Times New Roman"/>
                <w:b/>
                <w:bCs/>
                <w:color w:val="000000" w:themeColor="text1"/>
                <w:spacing w:val="0"/>
                <w:lang w:eastAsia="zh-CN"/>
                <w14:textFill>
                  <w14:solidFill>
                    <w14:schemeClr w14:val="tx1"/>
                  </w14:solidFill>
                </w14:textFill>
              </w:rPr>
              <w:t>（4）固体废物</w:t>
            </w:r>
          </w:p>
          <w:p w14:paraId="40101A96">
            <w:pPr>
              <w:pStyle w:val="36"/>
              <w:ind w:firstLine="480"/>
              <w:rPr>
                <w:rFonts w:cs="Times New Roman"/>
                <w:color w:val="000000"/>
                <w:spacing w:val="0"/>
                <w:lang w:eastAsia="zh-CN"/>
              </w:rPr>
            </w:pPr>
            <w:r>
              <w:rPr>
                <w:rFonts w:cs="Times New Roman"/>
                <w:color w:val="000000"/>
                <w:spacing w:val="0"/>
                <w:lang w:eastAsia="zh-CN"/>
              </w:rPr>
              <w:t>项目运营期</w:t>
            </w:r>
            <w:r>
              <w:rPr>
                <w:rFonts w:hint="eastAsia" w:cs="Times New Roman"/>
                <w:color w:val="000000"/>
                <w:spacing w:val="0"/>
                <w:lang w:eastAsia="zh-CN"/>
              </w:rPr>
              <w:t>固体废物主要有废弃</w:t>
            </w:r>
            <w:r>
              <w:rPr>
                <w:rFonts w:hint="eastAsia"/>
                <w:color w:val="000000"/>
                <w:spacing w:val="0"/>
                <w:lang w:eastAsia="zh-CN"/>
              </w:rPr>
              <w:t>包装材料，</w:t>
            </w:r>
            <w:r>
              <w:rPr>
                <w:rFonts w:hint="eastAsia" w:cs="Times New Roman"/>
                <w:color w:val="000000"/>
                <w:spacing w:val="0"/>
                <w:lang w:eastAsia="zh-CN"/>
              </w:rPr>
              <w:t>厂区人员生活垃圾，</w:t>
            </w:r>
            <w:r>
              <w:rPr>
                <w:rFonts w:cs="Times New Roman"/>
                <w:color w:val="000000"/>
                <w:spacing w:val="0"/>
                <w:lang w:eastAsia="zh-CN"/>
              </w:rPr>
              <w:t>待宰圈</w:t>
            </w:r>
            <w:r>
              <w:rPr>
                <w:rFonts w:hint="eastAsia" w:cs="Times New Roman"/>
                <w:color w:val="000000"/>
                <w:spacing w:val="0"/>
                <w:lang w:eastAsia="zh-CN"/>
              </w:rPr>
              <w:t>、屠宰车间、废水处理站</w:t>
            </w:r>
            <w:r>
              <w:rPr>
                <w:rFonts w:hint="eastAsia"/>
                <w:spacing w:val="0"/>
                <w:kern w:val="0"/>
                <w:szCs w:val="21"/>
                <w:lang w:eastAsia="zh-CN" w:bidi="ar"/>
              </w:rPr>
              <w:t>污泥，病死牲畜及屠宰废弃组织，</w:t>
            </w:r>
            <w:r>
              <w:rPr>
                <w:rFonts w:hint="eastAsia"/>
                <w:color w:val="000000"/>
                <w:spacing w:val="0"/>
                <w:lang w:eastAsia="zh-CN"/>
              </w:rPr>
              <w:t>厂区机械、设备日常检修维护产生的废机油。</w:t>
            </w:r>
          </w:p>
          <w:p w14:paraId="5833516F">
            <w:pPr>
              <w:pStyle w:val="36"/>
              <w:ind w:firstLine="480"/>
              <w:rPr>
                <w:color w:val="000000"/>
                <w:spacing w:val="0"/>
                <w:lang w:eastAsia="zh-CN"/>
              </w:rPr>
            </w:pPr>
            <w:r>
              <w:rPr>
                <w:rFonts w:hint="eastAsia"/>
                <w:spacing w:val="0"/>
                <w:kern w:val="0"/>
                <w:szCs w:val="21"/>
                <w:lang w:eastAsia="zh-CN" w:bidi="ar"/>
              </w:rPr>
              <w:t>项目</w:t>
            </w:r>
            <w:r>
              <w:rPr>
                <w:rFonts w:hint="eastAsia" w:cs="Times New Roman"/>
                <w:color w:val="000000"/>
                <w:spacing w:val="0"/>
                <w:lang w:eastAsia="zh-CN"/>
              </w:rPr>
              <w:t>废弃</w:t>
            </w:r>
            <w:r>
              <w:rPr>
                <w:rFonts w:hint="eastAsia"/>
                <w:color w:val="000000"/>
                <w:spacing w:val="0"/>
                <w:lang w:eastAsia="zh-CN"/>
              </w:rPr>
              <w:t>包装材料由供货商自行处置，</w:t>
            </w:r>
            <w:r>
              <w:rPr>
                <w:rFonts w:hint="eastAsia"/>
                <w:spacing w:val="0"/>
                <w:kern w:val="0"/>
                <w:szCs w:val="21"/>
                <w:lang w:eastAsia="zh-CN" w:bidi="ar"/>
              </w:rPr>
              <w:t>厂区人员生活垃圾收集后由环卫部门清运处置，</w:t>
            </w:r>
            <w:r>
              <w:rPr>
                <w:rFonts w:cs="Times New Roman"/>
                <w:color w:val="000000"/>
                <w:spacing w:val="0"/>
                <w:lang w:eastAsia="zh-CN"/>
              </w:rPr>
              <w:t>待宰圈</w:t>
            </w:r>
            <w:r>
              <w:rPr>
                <w:rFonts w:hint="eastAsia" w:cs="Times New Roman"/>
                <w:color w:val="000000"/>
                <w:spacing w:val="0"/>
                <w:lang w:eastAsia="zh-CN"/>
              </w:rPr>
              <w:t>、屠宰车间</w:t>
            </w:r>
            <w:r>
              <w:rPr>
                <w:rFonts w:hint="eastAsia"/>
                <w:spacing w:val="0"/>
                <w:kern w:val="0"/>
                <w:szCs w:val="21"/>
                <w:lang w:eastAsia="zh-CN" w:bidi="ar"/>
              </w:rPr>
              <w:t>、废水处理站污泥收集至粪便临时堆场清运用作农肥。病死牲畜及屠宰废弃组织暂存于冷库，委托石林鑫欣桥环保科技有限公司无害化处置。</w:t>
            </w:r>
            <w:r>
              <w:rPr>
                <w:rFonts w:hint="eastAsia"/>
                <w:color w:val="000000" w:themeColor="text1"/>
                <w:spacing w:val="0"/>
                <w:szCs w:val="21"/>
                <w:lang w:val="zh-CN" w:eastAsia="zh-CN"/>
                <w14:textFill>
                  <w14:solidFill>
                    <w14:schemeClr w14:val="tx1"/>
                  </w14:solidFill>
                </w14:textFill>
              </w:rPr>
              <w:t>废机油收集于危废贮存间，委托云南达济再生资源回收利用有限公司处置。采取上述措施后，可对固体废弃物实现资源化、无害化处置。</w:t>
            </w:r>
          </w:p>
          <w:p w14:paraId="1806AC91">
            <w:pPr>
              <w:pStyle w:val="36"/>
              <w:ind w:firstLine="482"/>
              <w:jc w:val="left"/>
              <w:rPr>
                <w:rFonts w:cs="Times New Roman"/>
                <w:b/>
                <w:bCs/>
                <w:color w:val="000000" w:themeColor="text1"/>
                <w:spacing w:val="0"/>
                <w:lang w:eastAsia="zh-CN"/>
                <w14:textFill>
                  <w14:solidFill>
                    <w14:schemeClr w14:val="tx1"/>
                  </w14:solidFill>
                </w14:textFill>
              </w:rPr>
            </w:pPr>
            <w:r>
              <w:rPr>
                <w:rFonts w:hint="eastAsia" w:cs="Times New Roman"/>
                <w:b/>
                <w:bCs/>
                <w:color w:val="000000" w:themeColor="text1"/>
                <w:spacing w:val="0"/>
                <w:lang w:eastAsia="zh-CN"/>
                <w14:textFill>
                  <w14:solidFill>
                    <w14:schemeClr w14:val="tx1"/>
                  </w14:solidFill>
                </w14:textFill>
              </w:rPr>
              <w:t>（5）环境管理</w:t>
            </w:r>
          </w:p>
          <w:p w14:paraId="5316FCF5">
            <w:pPr>
              <w:pStyle w:val="36"/>
              <w:ind w:firstLine="480"/>
              <w:rPr>
                <w:spacing w:val="0"/>
                <w:lang w:val="zh-CN" w:eastAsia="zh-CN"/>
              </w:rPr>
            </w:pPr>
            <w:r>
              <w:rPr>
                <w:rFonts w:hint="eastAsia" w:cs="Times New Roman"/>
                <w:color w:val="000000" w:themeColor="text1"/>
                <w:spacing w:val="0"/>
                <w:lang w:eastAsia="zh-CN"/>
                <w14:textFill>
                  <w14:solidFill>
                    <w14:schemeClr w14:val="tx1"/>
                  </w14:solidFill>
                </w14:textFill>
              </w:rPr>
              <w:t>云南海潮集团听牧肉牛产业股份有限公司根据项目环评及其批复，排污许可证等要求</w:t>
            </w:r>
            <w:r>
              <w:rPr>
                <w:rFonts w:hint="eastAsia"/>
                <w:spacing w:val="0"/>
                <w:lang w:eastAsia="zh-CN"/>
              </w:rPr>
              <w:t>，落实了环保措施“</w:t>
            </w:r>
            <w:r>
              <w:rPr>
                <w:rFonts w:hint="eastAsia"/>
                <w:spacing w:val="0"/>
                <w:lang w:val="zh-CN" w:eastAsia="zh-CN"/>
              </w:rPr>
              <w:t>三同时</w:t>
            </w:r>
            <w:r>
              <w:rPr>
                <w:rFonts w:hint="eastAsia"/>
                <w:spacing w:val="0"/>
                <w:lang w:eastAsia="zh-CN"/>
              </w:rPr>
              <w:t>”</w:t>
            </w:r>
            <w:r>
              <w:rPr>
                <w:rFonts w:hint="eastAsia"/>
                <w:spacing w:val="0"/>
                <w:lang w:val="zh-CN" w:eastAsia="zh-CN"/>
              </w:rPr>
              <w:t>制度和环境管理制度。日常生产过程中，加强对环保设施的管理维护，建立了废水处理站运行管理台账，固体废弃物、危险废物管理台账，定期开展排污许可自行监测。通过上述等措施，确保环保设施稳定有效运行，减缓项目对环境产生的不利影响。</w:t>
            </w:r>
          </w:p>
          <w:p w14:paraId="7FF1C0C0">
            <w:pPr>
              <w:pStyle w:val="36"/>
              <w:ind w:firstLine="0" w:firstLineChars="0"/>
              <w:jc w:val="left"/>
              <w:rPr>
                <w:b/>
                <w:bCs/>
                <w:color w:val="000000" w:themeColor="text1"/>
                <w:spacing w:val="0"/>
                <w:sz w:val="28"/>
                <w:szCs w:val="28"/>
                <w:lang w:eastAsia="zh-CN"/>
                <w14:textFill>
                  <w14:solidFill>
                    <w14:schemeClr w14:val="tx1"/>
                  </w14:solidFill>
                </w14:textFill>
              </w:rPr>
            </w:pPr>
            <w:r>
              <w:rPr>
                <w:rFonts w:hint="eastAsia"/>
                <w:b/>
                <w:bCs/>
                <w:color w:val="000000" w:themeColor="text1"/>
                <w:spacing w:val="0"/>
                <w:sz w:val="28"/>
                <w:szCs w:val="28"/>
                <w:lang w:eastAsia="zh-CN"/>
                <w14:textFill>
                  <w14:solidFill>
                    <w14:schemeClr w14:val="tx1"/>
                  </w14:solidFill>
                </w14:textFill>
              </w:rPr>
              <w:t>3、项目有关环境问题及整改措施</w:t>
            </w:r>
          </w:p>
          <w:p w14:paraId="137A1E7B">
            <w:pPr>
              <w:pStyle w:val="36"/>
              <w:ind w:firstLine="480"/>
              <w:rPr>
                <w:spacing w:val="0"/>
                <w:lang w:eastAsia="zh-CN"/>
              </w:rPr>
            </w:pPr>
            <w:r>
              <w:rPr>
                <w:rFonts w:hint="eastAsia"/>
                <w:spacing w:val="0"/>
                <w:lang w:eastAsia="zh-CN"/>
              </w:rPr>
              <w:t>对照项目环评及其批复意见措施落实情况，《排污许可证申请与核发技术规范 农副食品加工工业-屠宰及肉类加工工业》（HJ 860.3-2018）要求，结合现场调查、</w:t>
            </w:r>
            <w:r>
              <w:rPr>
                <w:rFonts w:hint="eastAsia"/>
                <w:spacing w:val="0"/>
                <w:lang w:val="zh-CN" w:eastAsia="zh-CN"/>
              </w:rPr>
              <w:t>环境监测，提出项目有关环境问题及整改措施如下：</w:t>
            </w:r>
          </w:p>
          <w:p w14:paraId="7744C297">
            <w:pPr>
              <w:pStyle w:val="36"/>
              <w:ind w:firstLine="482"/>
              <w:jc w:val="left"/>
              <w:rPr>
                <w:b/>
                <w:bCs/>
                <w:spacing w:val="0"/>
                <w:lang w:eastAsia="zh-CN"/>
              </w:rPr>
            </w:pPr>
            <w:bookmarkStart w:id="13" w:name="_Hlk217730565"/>
            <w:r>
              <w:rPr>
                <w:rFonts w:hint="eastAsia"/>
                <w:b/>
                <w:bCs/>
                <w:spacing w:val="0"/>
                <w:lang w:eastAsia="zh-CN"/>
              </w:rPr>
              <w:t>（1）废气</w:t>
            </w:r>
          </w:p>
          <w:p w14:paraId="63BBB1F1">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环境问题：待宰圈、屠宰车间、废水处理站、粪便临时堆场未定时喷洒生物除臭剂；屠宰车间、废水处理站未配套设置恶臭气体集中收集与末端处理设施；粪便临时堆场未进行全包围拦挡。本项目扩建完成，全厂项目达产后，恶臭污染物产生量、牲畜粪便产生量将增加，屠宰车间、废水处理站、粪便临时堆场厂界恶臭污染物浓度可能存在超标风险。</w:t>
            </w:r>
          </w:p>
          <w:p w14:paraId="4763CE8A">
            <w:pPr>
              <w:pStyle w:val="36"/>
              <w:ind w:firstLine="480"/>
              <w:rPr>
                <w:spacing w:val="0"/>
                <w:lang w:eastAsia="zh-CN"/>
              </w:rPr>
            </w:pPr>
            <w:r>
              <w:rPr>
                <w:rFonts w:hint="eastAsia"/>
                <w:spacing w:val="0"/>
                <w:kern w:val="0"/>
                <w:szCs w:val="21"/>
                <w:lang w:eastAsia="zh-CN" w:bidi="ar"/>
              </w:rPr>
              <w:t>整改及管理措施：</w:t>
            </w:r>
            <w:r>
              <w:rPr>
                <w:rFonts w:hint="eastAsia"/>
                <w:spacing w:val="0"/>
                <w:lang w:eastAsia="zh-CN"/>
              </w:rPr>
              <w:t>待宰圈、屠宰车间、废水处理站、粪便临时堆场定时喷洒生物除臭剂；</w:t>
            </w:r>
            <w:r>
              <w:rPr>
                <w:rFonts w:hint="eastAsia"/>
                <w:spacing w:val="0"/>
                <w:kern w:val="0"/>
                <w:szCs w:val="21"/>
                <w:lang w:eastAsia="zh-CN" w:bidi="ar"/>
              </w:rPr>
              <w:t>粪便临时堆场四面加装封闭围栏；</w:t>
            </w:r>
            <w:r>
              <w:rPr>
                <w:rFonts w:hint="eastAsia"/>
                <w:spacing w:val="0"/>
                <w:lang w:eastAsia="zh-CN"/>
              </w:rPr>
              <w:t>屠宰车间、废水处理站开展恶臭污染物监测；预留新增屠宰车间、废水处理站恶臭污染物集中收集、处理（喷淋塔除臭、活性炭吸附等）、导排设施费用，根据后期恶臭污染物监测情况，适时加装上述环保设施。</w:t>
            </w:r>
          </w:p>
          <w:p w14:paraId="63628B21">
            <w:pPr>
              <w:pStyle w:val="36"/>
              <w:ind w:firstLine="482"/>
              <w:jc w:val="left"/>
              <w:rPr>
                <w:b/>
                <w:bCs/>
                <w:spacing w:val="0"/>
                <w:lang w:eastAsia="zh-CN"/>
              </w:rPr>
            </w:pPr>
            <w:r>
              <w:rPr>
                <w:rFonts w:hint="eastAsia"/>
                <w:b/>
                <w:bCs/>
                <w:spacing w:val="0"/>
                <w:lang w:eastAsia="zh-CN"/>
              </w:rPr>
              <w:t>（2）废水</w:t>
            </w:r>
          </w:p>
          <w:p w14:paraId="636D64FB">
            <w:pPr>
              <w:pStyle w:val="36"/>
              <w:ind w:firstLine="480"/>
              <w:rPr>
                <w:spacing w:val="0"/>
                <w:kern w:val="0"/>
                <w:szCs w:val="21"/>
                <w:lang w:eastAsia="zh-CN" w:bidi="ar"/>
              </w:rPr>
            </w:pPr>
            <w:r>
              <w:rPr>
                <w:rFonts w:hint="eastAsia"/>
                <w:spacing w:val="0"/>
                <w:kern w:val="0"/>
                <w:szCs w:val="21"/>
                <w:lang w:eastAsia="zh-CN" w:bidi="ar"/>
              </w:rPr>
              <w:t>环境问题：</w:t>
            </w:r>
            <w:r>
              <w:rPr>
                <w:rFonts w:hint="eastAsia"/>
                <w:color w:val="000000" w:themeColor="text1"/>
                <w:spacing w:val="0"/>
                <w:lang w:eastAsia="zh-CN"/>
                <w14:textFill>
                  <w14:solidFill>
                    <w14:schemeClr w14:val="tx1"/>
                  </w14:solidFill>
                </w14:textFill>
              </w:rPr>
              <w:t>厂区生产废水、生活污水收集后经厂区</w:t>
            </w:r>
            <w:r>
              <w:rPr>
                <w:rFonts w:hint="eastAsia"/>
                <w:color w:val="000000"/>
                <w:spacing w:val="0"/>
                <w:kern w:val="0"/>
                <w:szCs w:val="21"/>
                <w:lang w:eastAsia="zh-CN" w:bidi="ar"/>
              </w:rPr>
              <w:t>现有生产废水</w:t>
            </w:r>
            <w:r>
              <w:rPr>
                <w:rFonts w:hint="eastAsia"/>
                <w:color w:val="000000" w:themeColor="text1"/>
                <w:spacing w:val="0"/>
                <w:szCs w:val="21"/>
                <w:lang w:eastAsia="zh-CN"/>
                <w14:textFill>
                  <w14:solidFill>
                    <w14:schemeClr w14:val="tx1"/>
                  </w14:solidFill>
                </w14:textFill>
              </w:rPr>
              <w:t>处理站处理</w:t>
            </w:r>
            <w:r>
              <w:rPr>
                <w:rFonts w:hint="eastAsia"/>
                <w:spacing w:val="0"/>
                <w:lang w:eastAsia="zh-CN"/>
              </w:rPr>
              <w:t>达标后用于厂区绿化、洒水降尘，不外排。生产废水为高浓度屠宰有机废水，废水产生量较大</w:t>
            </w:r>
            <w:r>
              <w:rPr>
                <w:rFonts w:hint="eastAsia" w:cs="Times New Roman"/>
                <w:spacing w:val="0"/>
                <w:lang w:eastAsia="zh-CN"/>
              </w:rPr>
              <w:t>。生活污水为餐饮及生活等用水，COD、BOD</w:t>
            </w:r>
            <w:r>
              <w:rPr>
                <w:rFonts w:hint="eastAsia" w:cs="Times New Roman"/>
                <w:spacing w:val="0"/>
                <w:vertAlign w:val="subscript"/>
                <w:lang w:eastAsia="zh-CN"/>
              </w:rPr>
              <w:t>5</w:t>
            </w:r>
            <w:r>
              <w:rPr>
                <w:rFonts w:hint="eastAsia" w:cs="Times New Roman"/>
                <w:spacing w:val="0"/>
                <w:lang w:eastAsia="zh-CN"/>
              </w:rPr>
              <w:t>浓度较生产废水低的多，且污水产生量较废水产生量更小。生产废水、生活污水若水量、水质得不到充分有效混合、均化，将显著影响废水处理站处理效果和出水稳定性，存在水质处理不达标风险。</w:t>
            </w:r>
          </w:p>
          <w:p w14:paraId="2896462F">
            <w:pPr>
              <w:pStyle w:val="36"/>
              <w:ind w:firstLine="480"/>
              <w:rPr>
                <w:spacing w:val="0"/>
                <w:kern w:val="0"/>
                <w:szCs w:val="21"/>
                <w:lang w:eastAsia="zh-CN" w:bidi="ar"/>
              </w:rPr>
            </w:pPr>
            <w:r>
              <w:rPr>
                <w:rFonts w:hint="eastAsia"/>
                <w:spacing w:val="0"/>
                <w:kern w:val="0"/>
                <w:szCs w:val="21"/>
                <w:lang w:eastAsia="zh-CN" w:bidi="ar"/>
              </w:rPr>
              <w:t>整改及管理措施：生产废水、生活污水分质、分流处理；生活污水收集后经现有隔油池、化粪池预处理达</w:t>
            </w:r>
            <w:r>
              <w:rPr>
                <w:rFonts w:hint="eastAsia"/>
                <w:spacing w:val="0"/>
                <w:kern w:val="0"/>
                <w:lang w:eastAsia="zh-CN" w:bidi="ar"/>
              </w:rPr>
              <w:t>《污水排入城镇下水道水质标准》（GB/T 31962-2015）表1 B级标准</w:t>
            </w:r>
            <w:r>
              <w:rPr>
                <w:rFonts w:hint="eastAsia"/>
                <w:spacing w:val="0"/>
                <w:kern w:val="0"/>
                <w:szCs w:val="21"/>
                <w:lang w:eastAsia="zh-CN" w:bidi="ar"/>
              </w:rPr>
              <w:t>后接入市政污水管网，最终进入羊街镇污水处理站处理；加强废水处理站的巡检、维护和水质监测，做好运行台账管理，保障各项设备、工艺单元稳定正常运行，确保生产废水处理后满足</w:t>
            </w:r>
            <w:r>
              <w:rPr>
                <w:rFonts w:hint="eastAsia"/>
                <w:color w:val="000000"/>
                <w:spacing w:val="0"/>
                <w:lang w:eastAsia="zh-CN"/>
              </w:rPr>
              <w:t>《城市污水再生利用 城市杂用水水质》（GB/T 18920-2020）表1“城市绿化、道路清扫”标准</w:t>
            </w:r>
            <w:r>
              <w:rPr>
                <w:rFonts w:hint="eastAsia"/>
                <w:spacing w:val="0"/>
                <w:kern w:val="0"/>
                <w:szCs w:val="21"/>
                <w:lang w:eastAsia="zh-CN" w:bidi="ar"/>
              </w:rPr>
              <w:t>；加强废水处理站事故应急池、厂区蓄水池的巡检、管护，确保废水处理站事故废水，废水处理站处理后回用水得到有效暂存；</w:t>
            </w:r>
            <w:r>
              <w:rPr>
                <w:rFonts w:hint="eastAsia"/>
                <w:spacing w:val="0"/>
                <w:lang w:eastAsia="zh-CN"/>
              </w:rPr>
              <w:t>若事故应急池、蓄水池已满，生产废水、处理后回用水不能得到暂存，须立即停止生产。</w:t>
            </w:r>
          </w:p>
          <w:p w14:paraId="70E97931">
            <w:pPr>
              <w:pStyle w:val="36"/>
              <w:ind w:firstLine="482"/>
              <w:jc w:val="left"/>
              <w:rPr>
                <w:b/>
                <w:bCs/>
                <w:spacing w:val="0"/>
                <w:lang w:eastAsia="zh-CN"/>
              </w:rPr>
            </w:pPr>
            <w:r>
              <w:rPr>
                <w:rFonts w:hint="eastAsia"/>
                <w:b/>
                <w:bCs/>
                <w:spacing w:val="0"/>
                <w:lang w:eastAsia="zh-CN"/>
              </w:rPr>
              <w:t>（3）固体废物</w:t>
            </w:r>
          </w:p>
          <w:p w14:paraId="78BBE37D">
            <w:pPr>
              <w:pStyle w:val="36"/>
              <w:ind w:firstLine="480"/>
              <w:rPr>
                <w:spacing w:val="0"/>
                <w:kern w:val="0"/>
                <w:szCs w:val="21"/>
                <w:lang w:eastAsia="zh-CN" w:bidi="ar"/>
              </w:rPr>
            </w:pPr>
            <w:r>
              <w:rPr>
                <w:rFonts w:hint="eastAsia"/>
                <w:spacing w:val="0"/>
                <w:kern w:val="0"/>
                <w:szCs w:val="21"/>
                <w:lang w:eastAsia="zh-CN" w:bidi="ar"/>
              </w:rPr>
              <w:t>环境问题：危废贮存间地面与裙脚未采取表面防渗措施。</w:t>
            </w:r>
          </w:p>
          <w:p w14:paraId="74BC54EC">
            <w:pPr>
              <w:pStyle w:val="36"/>
              <w:ind w:firstLine="480"/>
              <w:rPr>
                <w:spacing w:val="0"/>
                <w:kern w:val="0"/>
                <w:szCs w:val="21"/>
                <w:lang w:eastAsia="zh-CN" w:bidi="ar"/>
              </w:rPr>
            </w:pPr>
            <w:r>
              <w:rPr>
                <w:rFonts w:hint="eastAsia"/>
                <w:spacing w:val="0"/>
                <w:kern w:val="0"/>
                <w:szCs w:val="21"/>
                <w:lang w:eastAsia="zh-CN" w:bidi="ar"/>
              </w:rPr>
              <w:t>整改及管理措施：加强</w:t>
            </w:r>
            <w:r>
              <w:rPr>
                <w:rFonts w:cs="Times New Roman"/>
                <w:color w:val="000000"/>
                <w:spacing w:val="0"/>
                <w:lang w:eastAsia="zh-CN"/>
              </w:rPr>
              <w:t>待宰圈</w:t>
            </w:r>
            <w:r>
              <w:rPr>
                <w:rFonts w:hint="eastAsia" w:cs="Times New Roman"/>
                <w:color w:val="000000"/>
                <w:spacing w:val="0"/>
                <w:lang w:eastAsia="zh-CN"/>
              </w:rPr>
              <w:t>、屠宰车间粪便，废水处理站</w:t>
            </w:r>
            <w:r>
              <w:rPr>
                <w:rFonts w:hint="eastAsia"/>
                <w:spacing w:val="0"/>
                <w:kern w:val="0"/>
                <w:szCs w:val="21"/>
                <w:lang w:eastAsia="zh-CN" w:bidi="ar"/>
              </w:rPr>
              <w:t>污泥，病死牲畜及屠宰废弃组织的清理、暂存，废机油收集暂存，做好危险废物台账管理。危废贮存间地面与裙脚采取表面防渗措施。</w:t>
            </w:r>
            <w:bookmarkEnd w:id="13"/>
          </w:p>
          <w:p w14:paraId="2CE49AA0">
            <w:pPr>
              <w:pStyle w:val="36"/>
              <w:spacing w:line="240" w:lineRule="auto"/>
              <w:ind w:firstLine="0" w:firstLineChars="0"/>
              <w:rPr>
                <w:spacing w:val="0"/>
                <w:lang w:eastAsia="zh-CN"/>
              </w:rPr>
            </w:pPr>
          </w:p>
        </w:tc>
      </w:tr>
    </w:tbl>
    <w:p w14:paraId="554DBD5D">
      <w:pPr>
        <w:pStyle w:val="18"/>
        <w:jc w:val="center"/>
        <w:rPr>
          <w:rFonts w:ascii="Times New Roman" w:hAnsi="Times New Roman"/>
          <w:snapToGrid w:val="0"/>
          <w:color w:val="000000" w:themeColor="text1"/>
          <w:sz w:val="36"/>
          <w:szCs w:val="36"/>
          <w14:textFill>
            <w14:solidFill>
              <w14:schemeClr w14:val="tx1"/>
            </w14:solidFill>
          </w14:textFill>
        </w:rPr>
        <w:sectPr>
          <w:footerReference r:id="rId13" w:type="default"/>
          <w:pgSz w:w="11906" w:h="16838"/>
          <w:pgMar w:top="1701" w:right="1531" w:bottom="1701" w:left="1531" w:header="1474" w:footer="1474" w:gutter="0"/>
          <w:cols w:space="720" w:num="1"/>
          <w:docGrid w:linePitch="312" w:charSpace="0"/>
        </w:sectPr>
      </w:pPr>
    </w:p>
    <w:p w14:paraId="5B845444">
      <w:pPr>
        <w:pStyle w:val="18"/>
        <w:spacing w:before="0" w:beforeAutospacing="0" w:after="0" w:afterAutospacing="0"/>
        <w:jc w:val="center"/>
        <w:outlineLvl w:val="0"/>
        <w:rPr>
          <w:rFonts w:ascii="Times New Roman" w:hAnsi="Times New Roman"/>
          <w:snapToGrid w:val="0"/>
          <w:color w:val="000000" w:themeColor="text1"/>
          <w:sz w:val="36"/>
          <w:szCs w:val="36"/>
          <w14:textFill>
            <w14:solidFill>
              <w14:schemeClr w14:val="tx1"/>
            </w14:solidFill>
          </w14:textFill>
        </w:rPr>
      </w:pPr>
      <w:bookmarkStart w:id="14" w:name="_Toc21103"/>
      <w:bookmarkStart w:id="15" w:name="_Toc218862107"/>
      <w:bookmarkStart w:id="16" w:name="_Toc28805"/>
      <w:r>
        <w:rPr>
          <w:rFonts w:hint="eastAsia" w:ascii="Times New Roman" w:hAnsi="Times New Roman"/>
          <w:snapToGrid w:val="0"/>
          <w:color w:val="000000" w:themeColor="text1"/>
          <w:sz w:val="36"/>
          <w:szCs w:val="36"/>
          <w14:textFill>
            <w14:solidFill>
              <w14:schemeClr w14:val="tx1"/>
            </w14:solidFill>
          </w14:textFill>
        </w:rPr>
        <w:t>三、区域环境质量现状、环境保护目标及评价标准</w:t>
      </w:r>
      <w:bookmarkEnd w:id="14"/>
      <w:bookmarkEnd w:id="15"/>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403"/>
      </w:tblGrid>
      <w:tr w14:paraId="311E2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dxa"/>
            <w:vAlign w:val="center"/>
          </w:tcPr>
          <w:p w14:paraId="7EA1ABC3">
            <w:pPr>
              <w:adjustRightInd w:val="0"/>
              <w:snapToGrid w:val="0"/>
              <w:jc w:val="center"/>
              <w:rPr>
                <w:rFonts w:cs="宋体"/>
                <w:color w:val="000000" w:themeColor="text1"/>
                <w:kern w:val="0"/>
                <w:sz w:val="24"/>
                <w14:textFill>
                  <w14:solidFill>
                    <w14:schemeClr w14:val="tx1"/>
                  </w14:solidFill>
                </w14:textFill>
              </w:rPr>
            </w:pPr>
            <w:r>
              <w:rPr>
                <w:rFonts w:hint="eastAsia" w:cs="宋体"/>
                <w:color w:val="000000" w:themeColor="text1"/>
                <w:kern w:val="0"/>
                <w:sz w:val="24"/>
                <w14:textFill>
                  <w14:solidFill>
                    <w14:schemeClr w14:val="tx1"/>
                  </w14:solidFill>
                </w14:textFill>
              </w:rPr>
              <w:t>区域环境质量现状</w:t>
            </w:r>
          </w:p>
        </w:tc>
        <w:tc>
          <w:tcPr>
            <w:tcW w:w="8403" w:type="dxa"/>
            <w:vAlign w:val="center"/>
          </w:tcPr>
          <w:p w14:paraId="1B4749BC">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1、环境空气</w:t>
            </w:r>
          </w:p>
          <w:p w14:paraId="18E4685F">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（1）基本污染物</w:t>
            </w:r>
          </w:p>
          <w:p w14:paraId="0D84CB66">
            <w:pPr>
              <w:pStyle w:val="36"/>
              <w:ind w:firstLine="480"/>
              <w:rPr>
                <w:rFonts w:cs="Times New Roman"/>
                <w:color w:val="000000" w:themeColor="text1"/>
                <w:spacing w:val="0"/>
                <w:lang w:eastAsia="zh-CN"/>
                <w14:textFill>
                  <w14:solidFill>
                    <w14:schemeClr w14:val="tx1"/>
                  </w14:solidFill>
                </w14:textFill>
              </w:rPr>
            </w:pPr>
            <w:r>
              <w:rPr>
                <w:rFonts w:cs="Times New Roman"/>
                <w:color w:val="000000" w:themeColor="text1"/>
                <w:spacing w:val="0"/>
                <w:lang w:eastAsia="zh-CN"/>
                <w14:textFill>
                  <w14:solidFill>
                    <w14:schemeClr w14:val="tx1"/>
                  </w14:solidFill>
                </w14:textFill>
              </w:rPr>
              <w:t>项目位于昆明市寻甸县</w:t>
            </w:r>
            <w:r>
              <w:rPr>
                <w:rFonts w:hint="eastAsia" w:cs="Times New Roman"/>
                <w:color w:val="000000" w:themeColor="text1"/>
                <w:spacing w:val="0"/>
                <w:lang w:eastAsia="zh-CN"/>
                <w14:textFill>
                  <w14:solidFill>
                    <w14:schemeClr w14:val="tx1"/>
                  </w14:solidFill>
                </w14:textFill>
              </w:rPr>
              <w:t>羊街镇</w:t>
            </w:r>
            <w:r>
              <w:rPr>
                <w:rFonts w:cs="Times New Roman"/>
                <w:color w:val="000000" w:themeColor="text1"/>
                <w:spacing w:val="0"/>
                <w:lang w:eastAsia="zh-CN"/>
                <w14:textFill>
                  <w14:solidFill>
                    <w14:schemeClr w14:val="tx1"/>
                  </w14:solidFill>
                </w14:textFill>
              </w:rPr>
              <w:t>，属于环境空气功能二类区，执行《环境空气质量标准》（GB3095-20</w:t>
            </w:r>
            <w:r>
              <w:rPr>
                <w:rFonts w:hint="eastAsia" w:cs="Times New Roman"/>
                <w:color w:val="000000" w:themeColor="text1"/>
                <w:spacing w:val="0"/>
                <w:lang w:eastAsia="zh-CN"/>
                <w14:textFill>
                  <w14:solidFill>
                    <w14:schemeClr w14:val="tx1"/>
                  </w14:solidFill>
                </w14:textFill>
              </w:rPr>
              <w:t>26</w:t>
            </w:r>
            <w:r>
              <w:rPr>
                <w:rFonts w:cs="Times New Roman"/>
                <w:color w:val="000000" w:themeColor="text1"/>
                <w:spacing w:val="0"/>
                <w:lang w:eastAsia="zh-CN"/>
                <w14:textFill>
                  <w14:solidFill>
                    <w14:schemeClr w14:val="tx1"/>
                  </w14:solidFill>
                </w14:textFill>
              </w:rPr>
              <w:t>）二级标准。</w:t>
            </w:r>
          </w:p>
          <w:p w14:paraId="3A7BB516">
            <w:pPr>
              <w:pStyle w:val="36"/>
              <w:ind w:firstLine="480"/>
              <w:rPr>
                <w:rFonts w:cs="Times New Roman"/>
                <w:color w:val="000000" w:themeColor="text1"/>
                <w:spacing w:val="0"/>
                <w:lang w:eastAsia="zh-CN"/>
                <w14:textFill>
                  <w14:solidFill>
                    <w14:schemeClr w14:val="tx1"/>
                  </w14:solidFill>
                </w14:textFill>
              </w:rPr>
            </w:pPr>
            <w:r>
              <w:rPr>
                <w:rFonts w:cs="Times New Roman"/>
                <w:color w:val="000000" w:themeColor="text1"/>
                <w:spacing w:val="0"/>
                <w:lang w:eastAsia="zh-CN"/>
                <w14:textFill>
                  <w14:solidFill>
                    <w14:schemeClr w14:val="tx1"/>
                  </w14:solidFill>
                </w14:textFill>
              </w:rPr>
              <w:t>根据《寻甸县202</w:t>
            </w:r>
            <w:r>
              <w:rPr>
                <w:rFonts w:hint="eastAsia" w:cs="Times New Roman"/>
                <w:color w:val="000000" w:themeColor="text1"/>
                <w:spacing w:val="0"/>
                <w:lang w:eastAsia="zh-CN"/>
                <w14:textFill>
                  <w14:solidFill>
                    <w14:schemeClr w14:val="tx1"/>
                  </w14:solidFill>
                </w14:textFill>
              </w:rPr>
              <w:t>6</w:t>
            </w:r>
            <w:r>
              <w:rPr>
                <w:rFonts w:cs="Times New Roman"/>
                <w:color w:val="000000" w:themeColor="text1"/>
                <w:spacing w:val="0"/>
                <w:lang w:eastAsia="zh-CN"/>
                <w14:textFill>
                  <w14:solidFill>
                    <w14:schemeClr w14:val="tx1"/>
                  </w14:solidFill>
                </w14:textFill>
              </w:rPr>
              <w:t>年第</w:t>
            </w:r>
            <w:r>
              <w:rPr>
                <w:rFonts w:hint="eastAsia" w:cs="Times New Roman"/>
                <w:color w:val="000000" w:themeColor="text1"/>
                <w:spacing w:val="0"/>
                <w:lang w:eastAsia="zh-CN"/>
                <w14:textFill>
                  <w14:solidFill>
                    <w14:schemeClr w14:val="tx1"/>
                  </w14:solidFill>
                </w14:textFill>
              </w:rPr>
              <w:t>一</w:t>
            </w:r>
            <w:r>
              <w:rPr>
                <w:rFonts w:cs="Times New Roman"/>
                <w:color w:val="000000" w:themeColor="text1"/>
                <w:spacing w:val="0"/>
                <w:lang w:eastAsia="zh-CN"/>
                <w14:textFill>
                  <w14:solidFill>
                    <w14:schemeClr w14:val="tx1"/>
                  </w14:solidFill>
                </w14:textFill>
              </w:rPr>
              <w:t>季度环境质量公报》，全县环境空气质量优良天数占比100%，PM</w:t>
            </w:r>
            <w:r>
              <w:rPr>
                <w:rFonts w:cs="Times New Roman"/>
                <w:color w:val="000000" w:themeColor="text1"/>
                <w:spacing w:val="0"/>
                <w:vertAlign w:val="subscript"/>
                <w:lang w:eastAsia="zh-CN"/>
                <w14:textFill>
                  <w14:solidFill>
                    <w14:schemeClr w14:val="tx1"/>
                  </w14:solidFill>
                </w14:textFill>
              </w:rPr>
              <w:t>2.5</w:t>
            </w:r>
            <w:r>
              <w:rPr>
                <w:rFonts w:cs="Times New Roman"/>
                <w:color w:val="000000" w:themeColor="text1"/>
                <w:spacing w:val="0"/>
                <w:lang w:eastAsia="zh-CN"/>
                <w14:textFill>
                  <w14:solidFill>
                    <w14:schemeClr w14:val="tx1"/>
                  </w14:solidFill>
                </w14:textFill>
              </w:rPr>
              <w:t>、PM</w:t>
            </w:r>
            <w:r>
              <w:rPr>
                <w:rFonts w:cs="Times New Roman"/>
                <w:color w:val="000000" w:themeColor="text1"/>
                <w:spacing w:val="0"/>
                <w:vertAlign w:val="subscript"/>
                <w:lang w:eastAsia="zh-CN"/>
                <w14:textFill>
                  <w14:solidFill>
                    <w14:schemeClr w14:val="tx1"/>
                  </w14:solidFill>
                </w14:textFill>
              </w:rPr>
              <w:t>10</w:t>
            </w:r>
            <w:r>
              <w:rPr>
                <w:rFonts w:cs="Times New Roman"/>
                <w:color w:val="000000" w:themeColor="text1"/>
                <w:spacing w:val="0"/>
                <w:lang w:eastAsia="zh-CN"/>
                <w14:textFill>
                  <w14:solidFill>
                    <w14:schemeClr w14:val="tx1"/>
                  </w14:solidFill>
                </w14:textFill>
              </w:rPr>
              <w:t> 的24h平均浓度满足《环境空气质量标准》（GB3095-20</w:t>
            </w:r>
            <w:r>
              <w:rPr>
                <w:rFonts w:hint="eastAsia" w:cs="Times New Roman"/>
                <w:color w:val="000000" w:themeColor="text1"/>
                <w:spacing w:val="0"/>
                <w:lang w:eastAsia="zh-CN"/>
                <w14:textFill>
                  <w14:solidFill>
                    <w14:schemeClr w14:val="tx1"/>
                  </w14:solidFill>
                </w14:textFill>
              </w:rPr>
              <w:t>26</w:t>
            </w:r>
            <w:r>
              <w:rPr>
                <w:rFonts w:cs="Times New Roman"/>
                <w:color w:val="000000" w:themeColor="text1"/>
                <w:spacing w:val="0"/>
                <w:lang w:eastAsia="zh-CN"/>
                <w14:textFill>
                  <w14:solidFill>
                    <w14:schemeClr w14:val="tx1"/>
                  </w14:solidFill>
                </w14:textFill>
              </w:rPr>
              <w:t>）二级标准。项目</w:t>
            </w:r>
            <w:r>
              <w:rPr>
                <w:rFonts w:hint="eastAsia" w:cs="Times New Roman"/>
                <w:color w:val="000000" w:themeColor="text1"/>
                <w:spacing w:val="0"/>
                <w:lang w:eastAsia="zh-CN"/>
                <w14:textFill>
                  <w14:solidFill>
                    <w14:schemeClr w14:val="tx1"/>
                  </w14:solidFill>
                </w14:textFill>
              </w:rPr>
              <w:t>区</w:t>
            </w:r>
            <w:r>
              <w:rPr>
                <w:rFonts w:cs="Times New Roman"/>
                <w:color w:val="000000" w:themeColor="text1"/>
                <w:spacing w:val="0"/>
                <w:lang w:eastAsia="zh-CN"/>
                <w14:textFill>
                  <w14:solidFill>
                    <w14:schemeClr w14:val="tx1"/>
                  </w14:solidFill>
                </w14:textFill>
              </w:rPr>
              <w:t>寻甸县为环境空气质量达标区。</w:t>
            </w:r>
          </w:p>
          <w:p w14:paraId="36DEED33">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（2）特征污染物</w:t>
            </w:r>
          </w:p>
          <w:p w14:paraId="213EA00F">
            <w:pPr>
              <w:pStyle w:val="36"/>
              <w:ind w:firstLine="480"/>
              <w:rPr>
                <w:rFonts w:cs="Times New Roman"/>
                <w:spacing w:val="0"/>
                <w:lang w:eastAsia="zh-CN"/>
              </w:rPr>
            </w:pPr>
            <w:r>
              <w:rPr>
                <w:rFonts w:hint="eastAsia"/>
                <w:color w:val="000000" w:themeColor="text1"/>
                <w:spacing w:val="0"/>
                <w:lang w:eastAsia="zh-CN"/>
                <w14:textFill>
                  <w14:solidFill>
                    <w14:schemeClr w14:val="tx1"/>
                  </w14:solidFill>
                </w14:textFill>
              </w:rPr>
              <w:t>项目运营期废气主要为待宰圈、屠宰加工车间、废水处理站等产生的恶臭和异味，主要污染物为NH</w:t>
            </w:r>
            <w:r>
              <w:rPr>
                <w:rFonts w:hint="eastAsia"/>
                <w:color w:val="000000" w:themeColor="text1"/>
                <w:spacing w:val="0"/>
                <w:vertAlign w:val="subscript"/>
                <w:lang w:eastAsia="zh-CN"/>
                <w14:textFill>
                  <w14:solidFill>
                    <w14:schemeClr w14:val="tx1"/>
                  </w14:solidFill>
                </w14:textFill>
              </w:rPr>
              <w:t>3</w:t>
            </w:r>
            <w:r>
              <w:rPr>
                <w:rFonts w:hint="eastAsia" w:cs="Times New Roman"/>
                <w:spacing w:val="0"/>
                <w:lang w:eastAsia="zh-CN"/>
              </w:rPr>
              <w:t>、H</w:t>
            </w:r>
            <w:r>
              <w:rPr>
                <w:rFonts w:hint="eastAsia" w:cs="Times New Roman"/>
                <w:spacing w:val="0"/>
                <w:vertAlign w:val="subscript"/>
                <w:lang w:eastAsia="zh-CN"/>
              </w:rPr>
              <w:t>2</w:t>
            </w:r>
            <w:r>
              <w:rPr>
                <w:rFonts w:hint="eastAsia" w:cs="Times New Roman"/>
                <w:spacing w:val="0"/>
                <w:lang w:eastAsia="zh-CN"/>
              </w:rPr>
              <w:t>S、臭气浓度。</w:t>
            </w:r>
          </w:p>
          <w:p w14:paraId="7A8F33D1">
            <w:pPr>
              <w:pStyle w:val="36"/>
              <w:ind w:firstLine="480"/>
              <w:rPr>
                <w:bCs/>
                <w:spacing w:val="0"/>
                <w:kern w:val="0"/>
                <w:lang w:eastAsia="zh-CN"/>
              </w:rPr>
            </w:pPr>
            <w:r>
              <w:rPr>
                <w:rFonts w:hint="eastAsia" w:cs="Times New Roman"/>
                <w:spacing w:val="0"/>
                <w:lang w:eastAsia="zh-CN"/>
              </w:rPr>
              <w:t>根据2025年2月17-19日，对拟建肉羊屠宰间</w:t>
            </w:r>
            <w:r>
              <w:rPr>
                <w:rFonts w:hint="eastAsia"/>
                <w:bCs/>
                <w:spacing w:val="0"/>
                <w:kern w:val="0"/>
                <w:lang w:eastAsia="zh-CN"/>
              </w:rPr>
              <w:t>厂界上风向2m，下风向2m（1#-3#）4个点位</w:t>
            </w:r>
            <w:r>
              <w:rPr>
                <w:rFonts w:hint="eastAsia"/>
                <w:color w:val="000000" w:themeColor="text1"/>
                <w:spacing w:val="0"/>
                <w:lang w:eastAsia="zh-CN"/>
                <w14:textFill>
                  <w14:solidFill>
                    <w14:schemeClr w14:val="tx1"/>
                  </w14:solidFill>
                </w14:textFill>
              </w:rPr>
              <w:t>NH</w:t>
            </w:r>
            <w:r>
              <w:rPr>
                <w:rFonts w:hint="eastAsia"/>
                <w:color w:val="000000" w:themeColor="text1"/>
                <w:spacing w:val="0"/>
                <w:vertAlign w:val="subscript"/>
                <w:lang w:eastAsia="zh-CN"/>
                <w14:textFill>
                  <w14:solidFill>
                    <w14:schemeClr w14:val="tx1"/>
                  </w14:solidFill>
                </w14:textFill>
              </w:rPr>
              <w:t>3</w:t>
            </w:r>
            <w:r>
              <w:rPr>
                <w:rFonts w:hint="eastAsia" w:cs="Times New Roman"/>
                <w:spacing w:val="0"/>
                <w:lang w:eastAsia="zh-CN"/>
              </w:rPr>
              <w:t>、H</w:t>
            </w:r>
            <w:r>
              <w:rPr>
                <w:rFonts w:hint="eastAsia" w:cs="Times New Roman"/>
                <w:spacing w:val="0"/>
                <w:vertAlign w:val="subscript"/>
                <w:lang w:eastAsia="zh-CN"/>
              </w:rPr>
              <w:t>2</w:t>
            </w:r>
            <w:r>
              <w:rPr>
                <w:rFonts w:hint="eastAsia" w:cs="Times New Roman"/>
                <w:spacing w:val="0"/>
                <w:lang w:eastAsia="zh-CN"/>
              </w:rPr>
              <w:t>S</w:t>
            </w:r>
            <w:r>
              <w:rPr>
                <w:rFonts w:hint="eastAsia"/>
                <w:bCs/>
                <w:spacing w:val="0"/>
                <w:kern w:val="0"/>
                <w:lang w:eastAsia="zh-CN"/>
              </w:rPr>
              <w:t>的监测：全部监测值满足</w:t>
            </w:r>
            <w:r>
              <w:rPr>
                <w:rFonts w:hint="eastAsia"/>
                <w:color w:val="000000" w:themeColor="text1"/>
                <w:spacing w:val="0"/>
                <w:lang w:eastAsia="zh-CN"/>
                <w14:textFill>
                  <w14:solidFill>
                    <w14:schemeClr w14:val="tx1"/>
                  </w14:solidFill>
                </w14:textFill>
              </w:rPr>
              <w:t>《环境影响评价技术导则 大气环境》（HJ 2.2-2018）附录D的参考限值。</w:t>
            </w:r>
          </w:p>
          <w:p w14:paraId="62C3C6FE">
            <w:pPr>
              <w:pStyle w:val="29"/>
              <w:outlineLvl w:val="9"/>
              <w:rPr>
                <w:rFonts w:hint="default"/>
              </w:rPr>
            </w:pPr>
            <w:r>
              <w:rPr>
                <w:rFonts w:hint="default"/>
              </w:rPr>
              <w:t>表</w:t>
            </w:r>
            <w:r>
              <w:t>3</w:t>
            </w:r>
            <w:r>
              <w:rPr>
                <w:rFonts w:hint="default"/>
              </w:rPr>
              <w:t>-</w:t>
            </w:r>
            <w:r>
              <w:t>1</w:t>
            </w:r>
            <w:r>
              <w:rPr>
                <w:rFonts w:hint="default"/>
              </w:rPr>
              <w:t xml:space="preserve"> </w:t>
            </w:r>
            <w:r>
              <w:t>项目区环境空气监测</w:t>
            </w:r>
            <w:r>
              <w:rPr>
                <w:rFonts w:hint="default"/>
              </w:rPr>
              <w:t>结果表</w:t>
            </w:r>
          </w:p>
          <w:tbl>
            <w:tblPr>
              <w:tblStyle w:val="23"/>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847"/>
              <w:gridCol w:w="2122"/>
              <w:gridCol w:w="2553"/>
            </w:tblGrid>
            <w:tr w14:paraId="1A75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180" w:type="pct"/>
                  <w:gridSpan w:val="2"/>
                  <w:vAlign w:val="center"/>
                </w:tcPr>
                <w:p w14:paraId="0BB5F809">
                  <w:pPr>
                    <w:pStyle w:val="31"/>
                    <w:rPr>
                      <w:b/>
                      <w:bCs/>
                    </w:rPr>
                  </w:pPr>
                  <w:r>
                    <w:rPr>
                      <w:b/>
                      <w:bCs/>
                    </w:rPr>
                    <w:t>点位</w:t>
                  </w:r>
                </w:p>
              </w:tc>
              <w:tc>
                <w:tcPr>
                  <w:tcW w:w="1280" w:type="pct"/>
                  <w:vAlign w:val="center"/>
                </w:tcPr>
                <w:p w14:paraId="5EF92B1D">
                  <w:pPr>
                    <w:pStyle w:val="31"/>
                    <w:rPr>
                      <w:b/>
                      <w:bCs/>
                    </w:rPr>
                  </w:pPr>
                  <w:r>
                    <w:rPr>
                      <w:rFonts w:hint="eastAsia"/>
                      <w:b/>
                      <w:bCs/>
                    </w:rPr>
                    <w:t>NH</w:t>
                  </w:r>
                  <w:r>
                    <w:rPr>
                      <w:rFonts w:hint="eastAsia"/>
                      <w:b/>
                      <w:bCs/>
                      <w:vertAlign w:val="subscript"/>
                    </w:rPr>
                    <w:t>3</w:t>
                  </w:r>
                  <w:r>
                    <w:rPr>
                      <w:rFonts w:hint="eastAsia"/>
                      <w:b/>
                      <w:bCs/>
                    </w:rPr>
                    <w:t>（mg/m</w:t>
                  </w:r>
                  <w:r>
                    <w:rPr>
                      <w:rFonts w:hint="eastAsia"/>
                      <w:b/>
                      <w:bCs/>
                      <w:vertAlign w:val="superscript"/>
                    </w:rPr>
                    <w:t>3</w:t>
                  </w:r>
                  <w:r>
                    <w:rPr>
                      <w:rFonts w:hint="eastAsia"/>
                      <w:b/>
                      <w:bCs/>
                    </w:rPr>
                    <w:t>）</w:t>
                  </w:r>
                </w:p>
              </w:tc>
              <w:tc>
                <w:tcPr>
                  <w:tcW w:w="1540" w:type="pct"/>
                  <w:vAlign w:val="center"/>
                </w:tcPr>
                <w:p w14:paraId="17F7DA12">
                  <w:pPr>
                    <w:pStyle w:val="31"/>
                    <w:rPr>
                      <w:b/>
                      <w:bCs/>
                    </w:rPr>
                  </w:pPr>
                  <w:r>
                    <w:rPr>
                      <w:rFonts w:hint="eastAsia"/>
                      <w:b/>
                      <w:bCs/>
                    </w:rPr>
                    <w:t>H</w:t>
                  </w:r>
                  <w:r>
                    <w:rPr>
                      <w:rFonts w:hint="eastAsia"/>
                      <w:b/>
                      <w:bCs/>
                      <w:vertAlign w:val="subscript"/>
                    </w:rPr>
                    <w:t>2</w:t>
                  </w:r>
                  <w:r>
                    <w:rPr>
                      <w:rFonts w:hint="eastAsia"/>
                      <w:b/>
                      <w:bCs/>
                    </w:rPr>
                    <w:t>S（mg/m</w:t>
                  </w:r>
                  <w:r>
                    <w:rPr>
                      <w:rFonts w:hint="eastAsia"/>
                      <w:b/>
                      <w:bCs/>
                      <w:vertAlign w:val="superscript"/>
                    </w:rPr>
                    <w:t>3</w:t>
                  </w:r>
                  <w:r>
                    <w:rPr>
                      <w:rFonts w:hint="eastAsia"/>
                      <w:b/>
                      <w:bCs/>
                    </w:rPr>
                    <w:t>）</w:t>
                  </w:r>
                </w:p>
              </w:tc>
            </w:tr>
            <w:tr w14:paraId="696E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66" w:type="pct"/>
                  <w:vMerge w:val="restart"/>
                  <w:vAlign w:val="center"/>
                </w:tcPr>
                <w:p w14:paraId="2B83CC91">
                  <w:pPr>
                    <w:pStyle w:val="31"/>
                  </w:pPr>
                  <w:r>
                    <w:t>厂界上风向2m</w:t>
                  </w:r>
                </w:p>
              </w:tc>
              <w:tc>
                <w:tcPr>
                  <w:tcW w:w="1114" w:type="pct"/>
                  <w:vAlign w:val="center"/>
                </w:tcPr>
                <w:p w14:paraId="7A4BA9FE">
                  <w:pPr>
                    <w:pStyle w:val="31"/>
                  </w:pPr>
                  <w:r>
                    <w:rPr>
                      <w:rFonts w:hint="eastAsia"/>
                    </w:rPr>
                    <w:t>检测</w:t>
                  </w:r>
                  <w:r>
                    <w:t>值范围</w:t>
                  </w:r>
                </w:p>
              </w:tc>
              <w:tc>
                <w:tcPr>
                  <w:tcW w:w="1280" w:type="pct"/>
                  <w:vAlign w:val="center"/>
                </w:tcPr>
                <w:p w14:paraId="43C574E0">
                  <w:pPr>
                    <w:pStyle w:val="31"/>
                  </w:pPr>
                  <w:r>
                    <w:rPr>
                      <w:rFonts w:hint="eastAsia"/>
                    </w:rPr>
                    <w:t>0.09-0.11</w:t>
                  </w:r>
                </w:p>
              </w:tc>
              <w:tc>
                <w:tcPr>
                  <w:tcW w:w="1540" w:type="pct"/>
                  <w:vAlign w:val="center"/>
                </w:tcPr>
                <w:p w14:paraId="09219C1B">
                  <w:pPr>
                    <w:pStyle w:val="31"/>
                  </w:pPr>
                  <w:r>
                    <w:rPr>
                      <w:rFonts w:hint="eastAsia"/>
                    </w:rPr>
                    <w:t>4.15</w:t>
                  </w:r>
                  <w:r>
                    <w:rPr>
                      <w:rFonts w:hint="eastAsia"/>
                      <w:sz w:val="15"/>
                      <w:szCs w:val="15"/>
                    </w:rPr>
                    <w:t>×</w:t>
                  </w:r>
                  <w:r>
                    <w:rPr>
                      <w:rFonts w:hint="eastAsia"/>
                    </w:rPr>
                    <w:t>10</w:t>
                  </w:r>
                  <w:r>
                    <w:rPr>
                      <w:rFonts w:hint="eastAsia"/>
                      <w:vertAlign w:val="superscript"/>
                    </w:rPr>
                    <w:t>-4</w:t>
                  </w:r>
                  <w:r>
                    <w:rPr>
                      <w:rFonts w:hint="eastAsia"/>
                    </w:rPr>
                    <w:t>-2.63</w:t>
                  </w:r>
                  <w:r>
                    <w:rPr>
                      <w:rFonts w:hint="eastAsia"/>
                      <w:sz w:val="15"/>
                      <w:szCs w:val="15"/>
                    </w:rPr>
                    <w:t>×</w:t>
                  </w:r>
                  <w:r>
                    <w:rPr>
                      <w:rFonts w:hint="eastAsia"/>
                    </w:rPr>
                    <w:t>10</w:t>
                  </w:r>
                  <w:r>
                    <w:rPr>
                      <w:rFonts w:hint="eastAsia"/>
                      <w:vertAlign w:val="superscript"/>
                    </w:rPr>
                    <w:t>-3</w:t>
                  </w:r>
                </w:p>
              </w:tc>
            </w:tr>
            <w:tr w14:paraId="41FA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66" w:type="pct"/>
                  <w:vMerge w:val="continue"/>
                  <w:vAlign w:val="center"/>
                </w:tcPr>
                <w:p w14:paraId="4C41BF40">
                  <w:pPr>
                    <w:pStyle w:val="31"/>
                  </w:pPr>
                </w:p>
              </w:tc>
              <w:tc>
                <w:tcPr>
                  <w:tcW w:w="1114" w:type="pct"/>
                  <w:vAlign w:val="center"/>
                </w:tcPr>
                <w:p w14:paraId="1152E28E">
                  <w:pPr>
                    <w:pStyle w:val="31"/>
                  </w:pPr>
                  <w:r>
                    <w:rPr>
                      <w:rFonts w:hint="eastAsia"/>
                    </w:rPr>
                    <w:t>参考</w:t>
                  </w:r>
                  <w:r>
                    <w:t>限值</w:t>
                  </w:r>
                </w:p>
              </w:tc>
              <w:tc>
                <w:tcPr>
                  <w:tcW w:w="1280" w:type="pct"/>
                  <w:vAlign w:val="center"/>
                </w:tcPr>
                <w:p w14:paraId="33CA0F12">
                  <w:pPr>
                    <w:pStyle w:val="31"/>
                  </w:pPr>
                  <w:r>
                    <w:rPr>
                      <w:rFonts w:hint="eastAsia"/>
                    </w:rPr>
                    <w:t>0.2</w:t>
                  </w:r>
                </w:p>
              </w:tc>
              <w:tc>
                <w:tcPr>
                  <w:tcW w:w="1540" w:type="pct"/>
                  <w:vAlign w:val="center"/>
                </w:tcPr>
                <w:p w14:paraId="69B0E2D4">
                  <w:pPr>
                    <w:pStyle w:val="31"/>
                  </w:pPr>
                  <w:r>
                    <w:rPr>
                      <w:rFonts w:hint="eastAsia"/>
                    </w:rPr>
                    <w:t>0.01</w:t>
                  </w:r>
                </w:p>
              </w:tc>
            </w:tr>
            <w:tr w14:paraId="191D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66" w:type="pct"/>
                  <w:vMerge w:val="continue"/>
                  <w:vAlign w:val="center"/>
                </w:tcPr>
                <w:p w14:paraId="4DEB14B1">
                  <w:pPr>
                    <w:pStyle w:val="31"/>
                  </w:pPr>
                </w:p>
              </w:tc>
              <w:tc>
                <w:tcPr>
                  <w:tcW w:w="1114" w:type="pct"/>
                  <w:vAlign w:val="center"/>
                </w:tcPr>
                <w:p w14:paraId="4E85A33D">
                  <w:pPr>
                    <w:pStyle w:val="31"/>
                  </w:pPr>
                  <w:r>
                    <w:t>达标情况</w:t>
                  </w:r>
                </w:p>
              </w:tc>
              <w:tc>
                <w:tcPr>
                  <w:tcW w:w="1280" w:type="pct"/>
                  <w:vAlign w:val="center"/>
                </w:tcPr>
                <w:p w14:paraId="77D44C4C">
                  <w:pPr>
                    <w:pStyle w:val="31"/>
                  </w:pPr>
                  <w:r>
                    <w:rPr>
                      <w:rFonts w:hint="eastAsia"/>
                    </w:rPr>
                    <w:t>达标</w:t>
                  </w:r>
                </w:p>
              </w:tc>
              <w:tc>
                <w:tcPr>
                  <w:tcW w:w="1540" w:type="pct"/>
                  <w:vAlign w:val="center"/>
                </w:tcPr>
                <w:p w14:paraId="26800A74">
                  <w:pPr>
                    <w:pStyle w:val="31"/>
                  </w:pPr>
                  <w:r>
                    <w:rPr>
                      <w:rFonts w:hint="eastAsia"/>
                    </w:rPr>
                    <w:t>达标</w:t>
                  </w:r>
                </w:p>
              </w:tc>
            </w:tr>
            <w:tr w14:paraId="232A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66" w:type="pct"/>
                  <w:vMerge w:val="restart"/>
                  <w:vAlign w:val="center"/>
                </w:tcPr>
                <w:p w14:paraId="27729388">
                  <w:pPr>
                    <w:pStyle w:val="31"/>
                  </w:pPr>
                  <w:r>
                    <w:t>厂界下风向2m（1#）</w:t>
                  </w:r>
                </w:p>
              </w:tc>
              <w:tc>
                <w:tcPr>
                  <w:tcW w:w="1114" w:type="pct"/>
                  <w:vAlign w:val="center"/>
                </w:tcPr>
                <w:p w14:paraId="7192A158">
                  <w:pPr>
                    <w:pStyle w:val="31"/>
                  </w:pPr>
                  <w:r>
                    <w:rPr>
                      <w:rFonts w:hint="eastAsia"/>
                    </w:rPr>
                    <w:t>检测</w:t>
                  </w:r>
                  <w:r>
                    <w:t>值范围</w:t>
                  </w:r>
                </w:p>
              </w:tc>
              <w:tc>
                <w:tcPr>
                  <w:tcW w:w="1280" w:type="pct"/>
                  <w:vAlign w:val="center"/>
                </w:tcPr>
                <w:p w14:paraId="21449E1D">
                  <w:pPr>
                    <w:pStyle w:val="31"/>
                  </w:pPr>
                  <w:r>
                    <w:rPr>
                      <w:rFonts w:hint="eastAsia"/>
                    </w:rPr>
                    <w:t>0.15-0.19</w:t>
                  </w:r>
                </w:p>
              </w:tc>
              <w:tc>
                <w:tcPr>
                  <w:tcW w:w="1540" w:type="pct"/>
                  <w:vAlign w:val="center"/>
                </w:tcPr>
                <w:p w14:paraId="60727CCD">
                  <w:pPr>
                    <w:pStyle w:val="31"/>
                  </w:pPr>
                  <w:r>
                    <w:rPr>
                      <w:rFonts w:hint="eastAsia"/>
                    </w:rPr>
                    <w:t>4.45</w:t>
                  </w:r>
                  <w:r>
                    <w:rPr>
                      <w:rFonts w:hint="eastAsia"/>
                      <w:sz w:val="15"/>
                      <w:szCs w:val="15"/>
                    </w:rPr>
                    <w:t>×</w:t>
                  </w:r>
                  <w:r>
                    <w:rPr>
                      <w:rFonts w:hint="eastAsia"/>
                    </w:rPr>
                    <w:t>10</w:t>
                  </w:r>
                  <w:r>
                    <w:rPr>
                      <w:rFonts w:hint="eastAsia"/>
                      <w:vertAlign w:val="superscript"/>
                    </w:rPr>
                    <w:t>-3</w:t>
                  </w:r>
                  <w:r>
                    <w:rPr>
                      <w:rFonts w:hint="eastAsia"/>
                    </w:rPr>
                    <w:t>-9.90</w:t>
                  </w:r>
                  <w:r>
                    <w:rPr>
                      <w:rFonts w:hint="eastAsia"/>
                      <w:sz w:val="15"/>
                      <w:szCs w:val="15"/>
                    </w:rPr>
                    <w:t>×</w:t>
                  </w:r>
                  <w:r>
                    <w:rPr>
                      <w:rFonts w:hint="eastAsia"/>
                    </w:rPr>
                    <w:t>10</w:t>
                  </w:r>
                  <w:r>
                    <w:rPr>
                      <w:rFonts w:hint="eastAsia"/>
                      <w:vertAlign w:val="superscript"/>
                    </w:rPr>
                    <w:t>-3</w:t>
                  </w:r>
                </w:p>
              </w:tc>
            </w:tr>
            <w:tr w14:paraId="6EDD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66" w:type="pct"/>
                  <w:vMerge w:val="continue"/>
                  <w:vAlign w:val="center"/>
                </w:tcPr>
                <w:p w14:paraId="34B4D87C">
                  <w:pPr>
                    <w:pStyle w:val="31"/>
                  </w:pPr>
                </w:p>
              </w:tc>
              <w:tc>
                <w:tcPr>
                  <w:tcW w:w="1114" w:type="pct"/>
                  <w:vAlign w:val="center"/>
                </w:tcPr>
                <w:p w14:paraId="18E1EADC">
                  <w:pPr>
                    <w:pStyle w:val="31"/>
                  </w:pPr>
                  <w:r>
                    <w:rPr>
                      <w:rFonts w:hint="eastAsia"/>
                    </w:rPr>
                    <w:t>参考</w:t>
                  </w:r>
                  <w:r>
                    <w:t>限值</w:t>
                  </w:r>
                </w:p>
              </w:tc>
              <w:tc>
                <w:tcPr>
                  <w:tcW w:w="1280" w:type="pct"/>
                  <w:vAlign w:val="center"/>
                </w:tcPr>
                <w:p w14:paraId="2DFBBD49">
                  <w:pPr>
                    <w:pStyle w:val="31"/>
                  </w:pPr>
                  <w:r>
                    <w:rPr>
                      <w:rFonts w:hint="eastAsia"/>
                    </w:rPr>
                    <w:t>0.2</w:t>
                  </w:r>
                </w:p>
              </w:tc>
              <w:tc>
                <w:tcPr>
                  <w:tcW w:w="1540" w:type="pct"/>
                  <w:vAlign w:val="center"/>
                </w:tcPr>
                <w:p w14:paraId="2D995850">
                  <w:pPr>
                    <w:pStyle w:val="31"/>
                  </w:pPr>
                  <w:r>
                    <w:rPr>
                      <w:rFonts w:hint="eastAsia"/>
                    </w:rPr>
                    <w:t>0.01</w:t>
                  </w:r>
                </w:p>
              </w:tc>
            </w:tr>
            <w:tr w14:paraId="7C13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66" w:type="pct"/>
                  <w:vMerge w:val="continue"/>
                  <w:vAlign w:val="center"/>
                </w:tcPr>
                <w:p w14:paraId="49D3B994">
                  <w:pPr>
                    <w:pStyle w:val="31"/>
                  </w:pPr>
                </w:p>
              </w:tc>
              <w:tc>
                <w:tcPr>
                  <w:tcW w:w="1114" w:type="pct"/>
                  <w:vAlign w:val="center"/>
                </w:tcPr>
                <w:p w14:paraId="5A834332">
                  <w:pPr>
                    <w:pStyle w:val="31"/>
                  </w:pPr>
                  <w:r>
                    <w:t>达标情况</w:t>
                  </w:r>
                </w:p>
              </w:tc>
              <w:tc>
                <w:tcPr>
                  <w:tcW w:w="1280" w:type="pct"/>
                  <w:vAlign w:val="center"/>
                </w:tcPr>
                <w:p w14:paraId="78B5CC99">
                  <w:pPr>
                    <w:pStyle w:val="31"/>
                  </w:pPr>
                  <w:r>
                    <w:rPr>
                      <w:rFonts w:hint="eastAsia"/>
                    </w:rPr>
                    <w:t>达标</w:t>
                  </w:r>
                </w:p>
              </w:tc>
              <w:tc>
                <w:tcPr>
                  <w:tcW w:w="1540" w:type="pct"/>
                  <w:vAlign w:val="center"/>
                </w:tcPr>
                <w:p w14:paraId="7176F7F3">
                  <w:pPr>
                    <w:pStyle w:val="31"/>
                  </w:pPr>
                  <w:r>
                    <w:rPr>
                      <w:rFonts w:hint="eastAsia"/>
                    </w:rPr>
                    <w:t>达标</w:t>
                  </w:r>
                </w:p>
              </w:tc>
            </w:tr>
            <w:tr w14:paraId="224E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66" w:type="pct"/>
                  <w:vMerge w:val="restart"/>
                  <w:vAlign w:val="center"/>
                </w:tcPr>
                <w:p w14:paraId="03080EA9">
                  <w:pPr>
                    <w:pStyle w:val="31"/>
                  </w:pPr>
                  <w:r>
                    <w:t>厂界下风向2m（2#）</w:t>
                  </w:r>
                </w:p>
              </w:tc>
              <w:tc>
                <w:tcPr>
                  <w:tcW w:w="1114" w:type="pct"/>
                  <w:vAlign w:val="center"/>
                </w:tcPr>
                <w:p w14:paraId="67272E1A">
                  <w:pPr>
                    <w:pStyle w:val="31"/>
                  </w:pPr>
                  <w:r>
                    <w:rPr>
                      <w:rFonts w:hint="eastAsia"/>
                    </w:rPr>
                    <w:t>检测</w:t>
                  </w:r>
                  <w:r>
                    <w:t>值范围</w:t>
                  </w:r>
                </w:p>
              </w:tc>
              <w:tc>
                <w:tcPr>
                  <w:tcW w:w="1280" w:type="pct"/>
                  <w:vAlign w:val="center"/>
                </w:tcPr>
                <w:p w14:paraId="65208AF0">
                  <w:pPr>
                    <w:pStyle w:val="31"/>
                  </w:pPr>
                  <w:r>
                    <w:rPr>
                      <w:rFonts w:hint="eastAsia"/>
                    </w:rPr>
                    <w:t>0.13-0.20</w:t>
                  </w:r>
                </w:p>
              </w:tc>
              <w:tc>
                <w:tcPr>
                  <w:tcW w:w="1540" w:type="pct"/>
                  <w:vAlign w:val="center"/>
                </w:tcPr>
                <w:p w14:paraId="2C7F14D2">
                  <w:pPr>
                    <w:pStyle w:val="31"/>
                  </w:pPr>
                  <w:r>
                    <w:rPr>
                      <w:rFonts w:hint="eastAsia"/>
                    </w:rPr>
                    <w:t>4.04</w:t>
                  </w:r>
                  <w:r>
                    <w:rPr>
                      <w:rFonts w:hint="eastAsia"/>
                      <w:sz w:val="15"/>
                      <w:szCs w:val="15"/>
                    </w:rPr>
                    <w:t>×</w:t>
                  </w:r>
                  <w:r>
                    <w:rPr>
                      <w:rFonts w:hint="eastAsia"/>
                    </w:rPr>
                    <w:t>10</w:t>
                  </w:r>
                  <w:r>
                    <w:rPr>
                      <w:rFonts w:hint="eastAsia"/>
                      <w:vertAlign w:val="superscript"/>
                    </w:rPr>
                    <w:t>-3</w:t>
                  </w:r>
                  <w:r>
                    <w:rPr>
                      <w:rFonts w:hint="eastAsia"/>
                    </w:rPr>
                    <w:t>-9.63</w:t>
                  </w:r>
                  <w:r>
                    <w:rPr>
                      <w:rFonts w:hint="eastAsia"/>
                      <w:sz w:val="15"/>
                      <w:szCs w:val="15"/>
                    </w:rPr>
                    <w:t>×</w:t>
                  </w:r>
                  <w:r>
                    <w:rPr>
                      <w:rFonts w:hint="eastAsia"/>
                    </w:rPr>
                    <w:t>10</w:t>
                  </w:r>
                  <w:r>
                    <w:rPr>
                      <w:rFonts w:hint="eastAsia"/>
                      <w:vertAlign w:val="superscript"/>
                    </w:rPr>
                    <w:t>-3</w:t>
                  </w:r>
                </w:p>
              </w:tc>
            </w:tr>
            <w:tr w14:paraId="55DF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66" w:type="pct"/>
                  <w:vMerge w:val="continue"/>
                  <w:vAlign w:val="center"/>
                </w:tcPr>
                <w:p w14:paraId="3A33150F">
                  <w:pPr>
                    <w:pStyle w:val="31"/>
                  </w:pPr>
                </w:p>
              </w:tc>
              <w:tc>
                <w:tcPr>
                  <w:tcW w:w="1114" w:type="pct"/>
                  <w:vAlign w:val="center"/>
                </w:tcPr>
                <w:p w14:paraId="54BBBE2F">
                  <w:pPr>
                    <w:pStyle w:val="31"/>
                  </w:pPr>
                  <w:r>
                    <w:rPr>
                      <w:rFonts w:hint="eastAsia"/>
                    </w:rPr>
                    <w:t>参考</w:t>
                  </w:r>
                  <w:r>
                    <w:t>限值</w:t>
                  </w:r>
                </w:p>
              </w:tc>
              <w:tc>
                <w:tcPr>
                  <w:tcW w:w="1280" w:type="pct"/>
                  <w:vAlign w:val="center"/>
                </w:tcPr>
                <w:p w14:paraId="417BF3D4">
                  <w:pPr>
                    <w:pStyle w:val="31"/>
                  </w:pPr>
                  <w:r>
                    <w:rPr>
                      <w:rFonts w:hint="eastAsia"/>
                    </w:rPr>
                    <w:t>0.2</w:t>
                  </w:r>
                </w:p>
              </w:tc>
              <w:tc>
                <w:tcPr>
                  <w:tcW w:w="1540" w:type="pct"/>
                  <w:vAlign w:val="center"/>
                </w:tcPr>
                <w:p w14:paraId="4B45F54A">
                  <w:pPr>
                    <w:pStyle w:val="31"/>
                  </w:pPr>
                  <w:r>
                    <w:rPr>
                      <w:rFonts w:hint="eastAsia"/>
                    </w:rPr>
                    <w:t>0.01</w:t>
                  </w:r>
                </w:p>
              </w:tc>
            </w:tr>
            <w:tr w14:paraId="49E2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66" w:type="pct"/>
                  <w:vMerge w:val="continue"/>
                  <w:vAlign w:val="center"/>
                </w:tcPr>
                <w:p w14:paraId="0C76EA4E">
                  <w:pPr>
                    <w:pStyle w:val="31"/>
                  </w:pPr>
                </w:p>
              </w:tc>
              <w:tc>
                <w:tcPr>
                  <w:tcW w:w="1114" w:type="pct"/>
                  <w:vAlign w:val="center"/>
                </w:tcPr>
                <w:p w14:paraId="49075AA6">
                  <w:pPr>
                    <w:pStyle w:val="31"/>
                  </w:pPr>
                  <w:r>
                    <w:t>达标情况</w:t>
                  </w:r>
                </w:p>
              </w:tc>
              <w:tc>
                <w:tcPr>
                  <w:tcW w:w="1280" w:type="pct"/>
                  <w:vAlign w:val="center"/>
                </w:tcPr>
                <w:p w14:paraId="3A2D6181">
                  <w:pPr>
                    <w:pStyle w:val="31"/>
                  </w:pPr>
                  <w:r>
                    <w:rPr>
                      <w:rFonts w:hint="eastAsia"/>
                    </w:rPr>
                    <w:t>达标</w:t>
                  </w:r>
                </w:p>
              </w:tc>
              <w:tc>
                <w:tcPr>
                  <w:tcW w:w="1540" w:type="pct"/>
                  <w:vAlign w:val="center"/>
                </w:tcPr>
                <w:p w14:paraId="7A026B79">
                  <w:pPr>
                    <w:pStyle w:val="31"/>
                  </w:pPr>
                  <w:r>
                    <w:rPr>
                      <w:rFonts w:hint="eastAsia"/>
                    </w:rPr>
                    <w:t>达标</w:t>
                  </w:r>
                </w:p>
              </w:tc>
            </w:tr>
            <w:tr w14:paraId="6405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66" w:type="pct"/>
                  <w:vMerge w:val="restart"/>
                  <w:vAlign w:val="center"/>
                </w:tcPr>
                <w:p w14:paraId="7FB7C39A">
                  <w:pPr>
                    <w:pStyle w:val="31"/>
                  </w:pPr>
                  <w:r>
                    <w:t>厂界下风向2m（3#）</w:t>
                  </w:r>
                </w:p>
              </w:tc>
              <w:tc>
                <w:tcPr>
                  <w:tcW w:w="1114" w:type="pct"/>
                  <w:vAlign w:val="center"/>
                </w:tcPr>
                <w:p w14:paraId="47D7E561">
                  <w:pPr>
                    <w:pStyle w:val="31"/>
                  </w:pPr>
                  <w:r>
                    <w:rPr>
                      <w:rFonts w:hint="eastAsia"/>
                    </w:rPr>
                    <w:t>检测</w:t>
                  </w:r>
                  <w:r>
                    <w:t>值范围</w:t>
                  </w:r>
                </w:p>
              </w:tc>
              <w:tc>
                <w:tcPr>
                  <w:tcW w:w="1280" w:type="pct"/>
                  <w:vAlign w:val="center"/>
                </w:tcPr>
                <w:p w14:paraId="40878C96">
                  <w:pPr>
                    <w:pStyle w:val="31"/>
                  </w:pPr>
                  <w:r>
                    <w:rPr>
                      <w:rFonts w:hint="eastAsia"/>
                    </w:rPr>
                    <w:t>0.13-0.20</w:t>
                  </w:r>
                </w:p>
              </w:tc>
              <w:tc>
                <w:tcPr>
                  <w:tcW w:w="1540" w:type="pct"/>
                  <w:vAlign w:val="center"/>
                </w:tcPr>
                <w:p w14:paraId="2B2921DF">
                  <w:pPr>
                    <w:pStyle w:val="31"/>
                  </w:pPr>
                  <w:r>
                    <w:rPr>
                      <w:rFonts w:hint="eastAsia"/>
                    </w:rPr>
                    <w:t>6.28</w:t>
                  </w:r>
                  <w:r>
                    <w:rPr>
                      <w:rFonts w:hint="eastAsia"/>
                      <w:sz w:val="15"/>
                      <w:szCs w:val="15"/>
                    </w:rPr>
                    <w:t>×</w:t>
                  </w:r>
                  <w:r>
                    <w:rPr>
                      <w:rFonts w:hint="eastAsia"/>
                    </w:rPr>
                    <w:t>10</w:t>
                  </w:r>
                  <w:r>
                    <w:rPr>
                      <w:rFonts w:hint="eastAsia"/>
                      <w:vertAlign w:val="superscript"/>
                    </w:rPr>
                    <w:t>-3</w:t>
                  </w:r>
                  <w:r>
                    <w:rPr>
                      <w:rFonts w:hint="eastAsia"/>
                    </w:rPr>
                    <w:t>-9.60</w:t>
                  </w:r>
                  <w:r>
                    <w:rPr>
                      <w:rFonts w:hint="eastAsia"/>
                      <w:sz w:val="15"/>
                      <w:szCs w:val="15"/>
                    </w:rPr>
                    <w:t>×</w:t>
                  </w:r>
                  <w:r>
                    <w:rPr>
                      <w:rFonts w:hint="eastAsia"/>
                    </w:rPr>
                    <w:t>10</w:t>
                  </w:r>
                  <w:r>
                    <w:rPr>
                      <w:rFonts w:hint="eastAsia"/>
                      <w:vertAlign w:val="superscript"/>
                    </w:rPr>
                    <w:t>-3</w:t>
                  </w:r>
                </w:p>
              </w:tc>
            </w:tr>
            <w:tr w14:paraId="67A1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66" w:type="pct"/>
                  <w:vMerge w:val="continue"/>
                  <w:vAlign w:val="center"/>
                </w:tcPr>
                <w:p w14:paraId="372F6BB7">
                  <w:pPr>
                    <w:pStyle w:val="31"/>
                  </w:pPr>
                </w:p>
              </w:tc>
              <w:tc>
                <w:tcPr>
                  <w:tcW w:w="1114" w:type="pct"/>
                  <w:vAlign w:val="center"/>
                </w:tcPr>
                <w:p w14:paraId="31441E21">
                  <w:pPr>
                    <w:pStyle w:val="31"/>
                  </w:pPr>
                  <w:r>
                    <w:rPr>
                      <w:rFonts w:hint="eastAsia"/>
                    </w:rPr>
                    <w:t>参考</w:t>
                  </w:r>
                  <w:r>
                    <w:t>限值</w:t>
                  </w:r>
                </w:p>
              </w:tc>
              <w:tc>
                <w:tcPr>
                  <w:tcW w:w="1280" w:type="pct"/>
                  <w:vAlign w:val="center"/>
                </w:tcPr>
                <w:p w14:paraId="1D4498E1">
                  <w:pPr>
                    <w:pStyle w:val="31"/>
                  </w:pPr>
                  <w:r>
                    <w:rPr>
                      <w:rFonts w:hint="eastAsia"/>
                    </w:rPr>
                    <w:t>0.2</w:t>
                  </w:r>
                </w:p>
              </w:tc>
              <w:tc>
                <w:tcPr>
                  <w:tcW w:w="1540" w:type="pct"/>
                  <w:vAlign w:val="center"/>
                </w:tcPr>
                <w:p w14:paraId="6BA9AEC0">
                  <w:pPr>
                    <w:pStyle w:val="31"/>
                  </w:pPr>
                  <w:r>
                    <w:rPr>
                      <w:rFonts w:hint="eastAsia"/>
                    </w:rPr>
                    <w:t>0.01</w:t>
                  </w:r>
                </w:p>
              </w:tc>
            </w:tr>
            <w:tr w14:paraId="2E0F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66" w:type="pct"/>
                  <w:vMerge w:val="continue"/>
                  <w:vAlign w:val="center"/>
                </w:tcPr>
                <w:p w14:paraId="4AEA0138">
                  <w:pPr>
                    <w:pStyle w:val="31"/>
                  </w:pPr>
                </w:p>
              </w:tc>
              <w:tc>
                <w:tcPr>
                  <w:tcW w:w="1114" w:type="pct"/>
                  <w:vAlign w:val="center"/>
                </w:tcPr>
                <w:p w14:paraId="0E3DA2E7">
                  <w:pPr>
                    <w:pStyle w:val="31"/>
                  </w:pPr>
                  <w:r>
                    <w:t>达标情况</w:t>
                  </w:r>
                </w:p>
              </w:tc>
              <w:tc>
                <w:tcPr>
                  <w:tcW w:w="1280" w:type="pct"/>
                  <w:vAlign w:val="center"/>
                </w:tcPr>
                <w:p w14:paraId="6D9F3E6C">
                  <w:pPr>
                    <w:pStyle w:val="31"/>
                  </w:pPr>
                  <w:r>
                    <w:rPr>
                      <w:rFonts w:hint="eastAsia"/>
                    </w:rPr>
                    <w:t>达标</w:t>
                  </w:r>
                </w:p>
              </w:tc>
              <w:tc>
                <w:tcPr>
                  <w:tcW w:w="1540" w:type="pct"/>
                  <w:vAlign w:val="center"/>
                </w:tcPr>
                <w:p w14:paraId="112AB285">
                  <w:pPr>
                    <w:pStyle w:val="31"/>
                  </w:pPr>
                  <w:r>
                    <w:rPr>
                      <w:rFonts w:hint="eastAsia"/>
                    </w:rPr>
                    <w:t>达标</w:t>
                  </w:r>
                </w:p>
              </w:tc>
            </w:tr>
          </w:tbl>
          <w:p w14:paraId="1A269014">
            <w:pPr>
              <w:pStyle w:val="36"/>
              <w:spacing w:line="240" w:lineRule="auto"/>
              <w:ind w:firstLine="0" w:firstLineChars="0"/>
              <w:rPr>
                <w:rFonts w:cs="Times New Roman"/>
                <w:spacing w:val="0"/>
                <w:lang w:eastAsia="zh-CN"/>
              </w:rPr>
            </w:pPr>
          </w:p>
          <w:p w14:paraId="54720EE1">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2、地表水环境</w:t>
            </w:r>
          </w:p>
          <w:p w14:paraId="36B1AFBF">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项目区地表水体为果马河，果马河为牛栏江的上游段，发源于寻甸县羊街镇金银坟山。根据</w:t>
            </w:r>
            <w:r>
              <w:rPr>
                <w:rFonts w:cs="Times New Roman"/>
                <w:color w:val="000000" w:themeColor="text1"/>
                <w:spacing w:val="0"/>
                <w:lang w:eastAsia="zh-CN"/>
                <w14:textFill>
                  <w14:solidFill>
                    <w14:schemeClr w14:val="tx1"/>
                  </w14:solidFill>
                </w14:textFill>
              </w:rPr>
              <w:t>《昆明市和滇中产业新区水功能区划</w:t>
            </w:r>
            <w:r>
              <w:rPr>
                <w:rFonts w:hint="eastAsia" w:cs="Times New Roman"/>
                <w:color w:val="000000" w:themeColor="text1"/>
                <w:spacing w:val="0"/>
                <w:lang w:eastAsia="zh-CN"/>
                <w14:textFill>
                  <w14:solidFill>
                    <w14:schemeClr w14:val="tx1"/>
                  </w14:solidFill>
                </w14:textFill>
              </w:rPr>
              <w:t>（2010-2030年）</w:t>
            </w:r>
            <w:r>
              <w:rPr>
                <w:rFonts w:cs="Times New Roman"/>
                <w:color w:val="000000" w:themeColor="text1"/>
                <w:spacing w:val="0"/>
                <w:lang w:eastAsia="zh-CN"/>
                <w14:textFill>
                  <w14:solidFill>
                    <w14:schemeClr w14:val="tx1"/>
                  </w14:solidFill>
                </w14:textFill>
              </w:rPr>
              <w:t>》</w:t>
            </w:r>
            <w:r>
              <w:rPr>
                <w:rFonts w:hint="eastAsia" w:cs="Times New Roman"/>
                <w:color w:val="000000" w:themeColor="text1"/>
                <w:spacing w:val="0"/>
                <w:lang w:eastAsia="zh-CN"/>
                <w14:textFill>
                  <w14:solidFill>
                    <w14:schemeClr w14:val="tx1"/>
                  </w14:solidFill>
                </w14:textFill>
              </w:rPr>
              <w:t>，项目区果马河涉及水功能区为</w:t>
            </w:r>
            <w:r>
              <w:rPr>
                <w:rFonts w:cs="Times New Roman"/>
                <w:color w:val="000000" w:themeColor="text1"/>
                <w:spacing w:val="0"/>
                <w:lang w:eastAsia="zh-CN"/>
                <w14:textFill>
                  <w14:solidFill>
                    <w14:schemeClr w14:val="tx1"/>
                  </w14:solidFill>
                </w14:textFill>
              </w:rPr>
              <w:t>牛栏江</w:t>
            </w:r>
            <w:r>
              <w:rPr>
                <w:rFonts w:hint="eastAsia" w:cs="Times New Roman"/>
                <w:color w:val="000000" w:themeColor="text1"/>
                <w:spacing w:val="0"/>
                <w:lang w:eastAsia="zh-CN"/>
                <w14:textFill>
                  <w14:solidFill>
                    <w14:schemeClr w14:val="tx1"/>
                  </w14:solidFill>
                </w14:textFill>
              </w:rPr>
              <w:t>-</w:t>
            </w:r>
            <w:r>
              <w:rPr>
                <w:rFonts w:cs="Times New Roman"/>
                <w:color w:val="000000" w:themeColor="text1"/>
                <w:spacing w:val="0"/>
                <w:lang w:eastAsia="zh-CN"/>
                <w14:textFill>
                  <w14:solidFill>
                    <w14:schemeClr w14:val="tx1"/>
                  </w14:solidFill>
                </w14:textFill>
              </w:rPr>
              <w:t>滇池补水水源保护区</w:t>
            </w:r>
            <w:r>
              <w:rPr>
                <w:rFonts w:hint="eastAsia" w:cs="Times New Roman"/>
                <w:color w:val="000000" w:themeColor="text1"/>
                <w:spacing w:val="0"/>
                <w:lang w:eastAsia="zh-CN"/>
                <w14:textFill>
                  <w14:solidFill>
                    <w14:schemeClr w14:val="tx1"/>
                  </w14:solidFill>
                </w14:textFill>
              </w:rPr>
              <w:t>，</w:t>
            </w:r>
            <w:r>
              <w:rPr>
                <w:rFonts w:hint="eastAsia"/>
                <w:color w:val="000000" w:themeColor="text1"/>
                <w:spacing w:val="0"/>
                <w:lang w:eastAsia="zh-CN"/>
                <w14:textFill>
                  <w14:solidFill>
                    <w14:schemeClr w14:val="tx1"/>
                  </w14:solidFill>
                </w14:textFill>
              </w:rPr>
              <w:t>规划水平年2030年水质目标为</w:t>
            </w:r>
            <w:r>
              <w:rPr>
                <w:rFonts w:ascii="宋体" w:hAnsi="宋体" w:cs="Times New Roman"/>
                <w:color w:val="000000" w:themeColor="text1"/>
                <w:spacing w:val="0"/>
                <w:lang w:eastAsia="zh-CN"/>
                <w14:textFill>
                  <w14:solidFill>
                    <w14:schemeClr w14:val="tx1"/>
                  </w14:solidFill>
                </w14:textFill>
              </w:rPr>
              <w:t>Ⅲ</w:t>
            </w:r>
            <w:r>
              <w:rPr>
                <w:rFonts w:hint="eastAsia"/>
                <w:color w:val="000000" w:themeColor="text1"/>
                <w:spacing w:val="0"/>
                <w:lang w:eastAsia="zh-CN"/>
                <w14:textFill>
                  <w14:solidFill>
                    <w14:schemeClr w14:val="tx1"/>
                  </w14:solidFill>
                </w14:textFill>
              </w:rPr>
              <w:t>类，执行《地表水环境质量标准》（GB3838-2002）</w:t>
            </w:r>
            <w:r>
              <w:rPr>
                <w:rFonts w:ascii="宋体" w:hAnsi="宋体" w:cs="Times New Roman"/>
                <w:color w:val="000000" w:themeColor="text1"/>
                <w:spacing w:val="0"/>
                <w:lang w:eastAsia="zh-CN"/>
                <w14:textFill>
                  <w14:solidFill>
                    <w14:schemeClr w14:val="tx1"/>
                  </w14:solidFill>
                </w14:textFill>
              </w:rPr>
              <w:t>Ⅲ</w:t>
            </w:r>
            <w:r>
              <w:rPr>
                <w:rFonts w:hint="eastAsia"/>
                <w:color w:val="000000" w:themeColor="text1"/>
                <w:spacing w:val="0"/>
                <w:lang w:eastAsia="zh-CN"/>
                <w14:textFill>
                  <w14:solidFill>
                    <w14:schemeClr w14:val="tx1"/>
                  </w14:solidFill>
                </w14:textFill>
              </w:rPr>
              <w:t>类标准。</w:t>
            </w:r>
          </w:p>
          <w:p w14:paraId="59AFFC57">
            <w:pPr>
              <w:pStyle w:val="36"/>
              <w:ind w:firstLine="480"/>
              <w:rPr>
                <w:color w:val="000000" w:themeColor="text1"/>
                <w:spacing w:val="0"/>
                <w:lang w:val="zh-CN" w:eastAsia="zh-CN"/>
                <w14:textFill>
                  <w14:solidFill>
                    <w14:schemeClr w14:val="tx1"/>
                  </w14:solidFill>
                </w14:textFill>
              </w:rPr>
            </w:pPr>
            <w:r>
              <w:rPr>
                <w:rFonts w:hint="eastAsia"/>
                <w:color w:val="000000" w:themeColor="text1"/>
                <w:spacing w:val="0"/>
                <w:lang w:val="zh-CN" w:eastAsia="zh-CN"/>
                <w14:textFill>
                  <w14:solidFill>
                    <w14:schemeClr w14:val="tx1"/>
                  </w14:solidFill>
                </w14:textFill>
              </w:rPr>
              <w:t>根据《寻甸县2026年第一季度环境质量公报》，</w:t>
            </w:r>
            <w:r>
              <w:rPr>
                <w:rFonts w:hint="eastAsia"/>
                <w:color w:val="000000" w:themeColor="text1"/>
                <w:spacing w:val="0"/>
                <w:lang w:eastAsia="zh-CN"/>
                <w14:textFill>
                  <w14:solidFill>
                    <w14:schemeClr w14:val="tx1"/>
                  </w14:solidFill>
                </w14:textFill>
              </w:rPr>
              <w:t>果马河李家坝断面水质类别满足水质目标的《地表水环境质量标准》（GB3838-2002）</w:t>
            </w:r>
            <w:r>
              <w:rPr>
                <w:rFonts w:ascii="宋体" w:hAnsi="宋体" w:cs="Times New Roman"/>
                <w:color w:val="000000" w:themeColor="text1"/>
                <w:spacing w:val="0"/>
                <w:lang w:eastAsia="zh-CN"/>
                <w14:textFill>
                  <w14:solidFill>
                    <w14:schemeClr w14:val="tx1"/>
                  </w14:solidFill>
                </w14:textFill>
              </w:rPr>
              <w:t>Ⅲ</w:t>
            </w:r>
            <w:r>
              <w:rPr>
                <w:rFonts w:hint="eastAsia"/>
                <w:color w:val="000000" w:themeColor="text1"/>
                <w:spacing w:val="0"/>
                <w:lang w:eastAsia="zh-CN"/>
                <w14:textFill>
                  <w14:solidFill>
                    <w14:schemeClr w14:val="tx1"/>
                  </w14:solidFill>
                </w14:textFill>
              </w:rPr>
              <w:t>类标准。</w:t>
            </w:r>
          </w:p>
          <w:p w14:paraId="4F707A29">
            <w:pPr>
              <w:widowControl/>
              <w:spacing w:line="360" w:lineRule="auto"/>
              <w:jc w:val="left"/>
              <w:rPr>
                <w:b/>
                <w:bCs/>
                <w:color w:val="000000" w:themeColor="text1"/>
                <w:kern w:val="0"/>
                <w:sz w:val="28"/>
                <w:szCs w:val="28"/>
                <w:lang w:bidi="ar"/>
                <w14:textFill>
                  <w14:solidFill>
                    <w14:schemeClr w14:val="tx1"/>
                  </w14:solidFill>
                </w14:textFill>
              </w:rPr>
            </w:pPr>
            <w:r>
              <w:rPr>
                <w:b/>
                <w:bCs/>
                <w:color w:val="000000" w:themeColor="text1"/>
                <w:kern w:val="0"/>
                <w:sz w:val="28"/>
                <w:szCs w:val="28"/>
                <w:lang w:bidi="ar"/>
                <w14:textFill>
                  <w14:solidFill>
                    <w14:schemeClr w14:val="tx1"/>
                  </w14:solidFill>
                </w14:textFill>
              </w:rPr>
              <w:t>3</w:t>
            </w:r>
            <w:r>
              <w:rPr>
                <w:rFonts w:hint="eastAsia"/>
                <w:b/>
                <w:bCs/>
                <w:color w:val="000000" w:themeColor="text1"/>
                <w:kern w:val="0"/>
                <w:sz w:val="28"/>
                <w:szCs w:val="28"/>
                <w:lang w:bidi="ar"/>
                <w14:textFill>
                  <w14:solidFill>
                    <w14:schemeClr w14:val="tx1"/>
                  </w14:solidFill>
                </w14:textFill>
              </w:rPr>
              <w:t>、声环境</w:t>
            </w:r>
          </w:p>
          <w:p w14:paraId="290B4798">
            <w:pPr>
              <w:pStyle w:val="36"/>
              <w:ind w:firstLine="480"/>
              <w:rPr>
                <w:rFonts w:cs="Times New Roman"/>
                <w:color w:val="000000" w:themeColor="text1"/>
                <w:spacing w:val="0"/>
                <w:lang w:eastAsia="zh-CN"/>
                <w14:textFill>
                  <w14:solidFill>
                    <w14:schemeClr w14:val="tx1"/>
                  </w14:solidFill>
                </w14:textFill>
              </w:rPr>
            </w:pPr>
            <w:r>
              <w:rPr>
                <w:rFonts w:cs="Times New Roman"/>
                <w:color w:val="000000" w:themeColor="text1"/>
                <w:spacing w:val="0"/>
                <w:lang w:eastAsia="zh-CN"/>
                <w14:textFill>
                  <w14:solidFill>
                    <w14:schemeClr w14:val="tx1"/>
                  </w14:solidFill>
                </w14:textFill>
              </w:rPr>
              <w:t>项目位于昆明市寻甸县羊街镇，主要功能为集市贸易，属于2类声环境功能区，执行《</w:t>
            </w:r>
            <w:r>
              <w:rPr>
                <w:rFonts w:hint="eastAsia" w:cs="Times New Roman"/>
                <w:color w:val="000000" w:themeColor="text1"/>
                <w:spacing w:val="0"/>
                <w:lang w:eastAsia="zh-CN"/>
                <w14:textFill>
                  <w14:solidFill>
                    <w14:schemeClr w14:val="tx1"/>
                  </w14:solidFill>
                </w14:textFill>
              </w:rPr>
              <w:t>声环境质量标准</w:t>
            </w:r>
            <w:r>
              <w:rPr>
                <w:rFonts w:cs="Times New Roman"/>
                <w:color w:val="000000" w:themeColor="text1"/>
                <w:spacing w:val="0"/>
                <w:lang w:eastAsia="zh-CN"/>
                <w14:textFill>
                  <w14:solidFill>
                    <w14:schemeClr w14:val="tx1"/>
                  </w14:solidFill>
                </w14:textFill>
              </w:rPr>
              <w:t>》</w:t>
            </w:r>
            <w:r>
              <w:rPr>
                <w:rFonts w:hint="eastAsia" w:cs="Times New Roman"/>
                <w:color w:val="000000" w:themeColor="text1"/>
                <w:spacing w:val="0"/>
                <w:lang w:eastAsia="zh-CN"/>
                <w14:textFill>
                  <w14:solidFill>
                    <w14:schemeClr w14:val="tx1"/>
                  </w14:solidFill>
                </w14:textFill>
              </w:rPr>
              <w:t>（GB3096-2008）2类标准。</w:t>
            </w:r>
          </w:p>
          <w:p w14:paraId="30C65DBF">
            <w:pPr>
              <w:pStyle w:val="36"/>
              <w:ind w:firstLine="480"/>
              <w:rPr>
                <w:bCs/>
                <w:spacing w:val="0"/>
                <w:kern w:val="0"/>
                <w:lang w:eastAsia="zh-CN"/>
              </w:rPr>
            </w:pPr>
            <w:r>
              <w:rPr>
                <w:rFonts w:hint="eastAsia"/>
                <w:color w:val="000000" w:themeColor="text1"/>
                <w:spacing w:val="0"/>
                <w:lang w:eastAsia="zh-CN"/>
                <w14:textFill>
                  <w14:solidFill>
                    <w14:schemeClr w14:val="tx1"/>
                  </w14:solidFill>
                </w14:textFill>
              </w:rPr>
              <w:t>根据</w:t>
            </w:r>
            <w:r>
              <w:rPr>
                <w:rFonts w:hint="eastAsia" w:cs="Times New Roman"/>
                <w:spacing w:val="0"/>
                <w:lang w:eastAsia="zh-CN"/>
              </w:rPr>
              <w:t>2025年2月17、18日，对拟建肉羊屠宰间</w:t>
            </w:r>
            <w:r>
              <w:rPr>
                <w:rFonts w:hint="eastAsia"/>
                <w:bCs/>
                <w:spacing w:val="0"/>
                <w:kern w:val="0"/>
                <w:lang w:eastAsia="zh-CN"/>
              </w:rPr>
              <w:t>厂界（1#-4#）的监测：厂界东、南、西、北噪声满足</w:t>
            </w:r>
            <w:r>
              <w:rPr>
                <w:rFonts w:cs="Times New Roman"/>
                <w:color w:val="000000" w:themeColor="text1"/>
                <w:spacing w:val="0"/>
                <w:lang w:eastAsia="zh-CN"/>
                <w14:textFill>
                  <w14:solidFill>
                    <w14:schemeClr w14:val="tx1"/>
                  </w14:solidFill>
                </w14:textFill>
              </w:rPr>
              <w:t>《</w:t>
            </w:r>
            <w:r>
              <w:rPr>
                <w:rFonts w:hint="eastAsia" w:cs="Times New Roman"/>
                <w:color w:val="000000" w:themeColor="text1"/>
                <w:spacing w:val="0"/>
                <w:lang w:eastAsia="zh-CN"/>
                <w14:textFill>
                  <w14:solidFill>
                    <w14:schemeClr w14:val="tx1"/>
                  </w14:solidFill>
                </w14:textFill>
              </w:rPr>
              <w:t>声环境质量标准</w:t>
            </w:r>
            <w:r>
              <w:rPr>
                <w:rFonts w:cs="Times New Roman"/>
                <w:color w:val="000000" w:themeColor="text1"/>
                <w:spacing w:val="0"/>
                <w:lang w:eastAsia="zh-CN"/>
                <w14:textFill>
                  <w14:solidFill>
                    <w14:schemeClr w14:val="tx1"/>
                  </w14:solidFill>
                </w14:textFill>
              </w:rPr>
              <w:t>》</w:t>
            </w:r>
            <w:r>
              <w:rPr>
                <w:rFonts w:hint="eastAsia" w:cs="Times New Roman"/>
                <w:color w:val="000000" w:themeColor="text1"/>
                <w:spacing w:val="0"/>
                <w:lang w:eastAsia="zh-CN"/>
                <w14:textFill>
                  <w14:solidFill>
                    <w14:schemeClr w14:val="tx1"/>
                  </w14:solidFill>
                </w14:textFill>
              </w:rPr>
              <w:t>（GB3096-2008）2类标准。</w:t>
            </w:r>
          </w:p>
          <w:p w14:paraId="450745D3">
            <w:pPr>
              <w:keepNext/>
              <w:keepLine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表3-2 项目区声环境监测结果表</w:t>
            </w:r>
          </w:p>
          <w:tbl>
            <w:tblPr>
              <w:tblStyle w:val="22"/>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1559"/>
              <w:gridCol w:w="1560"/>
              <w:gridCol w:w="1560"/>
              <w:gridCol w:w="1560"/>
            </w:tblGrid>
            <w:tr w14:paraId="794F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7" w:type="pct"/>
                  <w:vMerge w:val="restart"/>
                  <w:vAlign w:val="center"/>
                </w:tcPr>
                <w:p w14:paraId="430E7689">
                  <w:pPr>
                    <w:pStyle w:val="31"/>
                    <w:rPr>
                      <w:b/>
                      <w:bCs/>
                    </w:rPr>
                  </w:pPr>
                  <w:r>
                    <w:rPr>
                      <w:rFonts w:hint="eastAsia"/>
                      <w:b/>
                      <w:bCs/>
                    </w:rPr>
                    <w:t>点位</w:t>
                  </w:r>
                </w:p>
              </w:tc>
              <w:tc>
                <w:tcPr>
                  <w:tcW w:w="1881" w:type="pct"/>
                  <w:gridSpan w:val="2"/>
                  <w:vAlign w:val="center"/>
                </w:tcPr>
                <w:p w14:paraId="1CE6392B">
                  <w:pPr>
                    <w:pStyle w:val="31"/>
                    <w:rPr>
                      <w:b/>
                      <w:bCs/>
                    </w:rPr>
                  </w:pPr>
                  <w:r>
                    <w:rPr>
                      <w:rFonts w:hint="eastAsia"/>
                      <w:b/>
                      <w:bCs/>
                    </w:rPr>
                    <w:t>昼间dB（A）</w:t>
                  </w:r>
                </w:p>
              </w:tc>
              <w:tc>
                <w:tcPr>
                  <w:tcW w:w="1882" w:type="pct"/>
                  <w:gridSpan w:val="2"/>
                  <w:vAlign w:val="center"/>
                </w:tcPr>
                <w:p w14:paraId="472BE077">
                  <w:pPr>
                    <w:pStyle w:val="31"/>
                    <w:rPr>
                      <w:b/>
                      <w:bCs/>
                    </w:rPr>
                  </w:pPr>
                  <w:r>
                    <w:rPr>
                      <w:rFonts w:hint="eastAsia"/>
                      <w:b/>
                      <w:bCs/>
                    </w:rPr>
                    <w:t>夜间dB（A）</w:t>
                  </w:r>
                </w:p>
              </w:tc>
            </w:tr>
            <w:tr w14:paraId="3FCC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7" w:type="pct"/>
                  <w:vMerge w:val="continue"/>
                  <w:vAlign w:val="center"/>
                </w:tcPr>
                <w:p w14:paraId="6A4F6835">
                  <w:pPr>
                    <w:pStyle w:val="31"/>
                  </w:pPr>
                </w:p>
              </w:tc>
              <w:tc>
                <w:tcPr>
                  <w:tcW w:w="940" w:type="pct"/>
                  <w:vAlign w:val="center"/>
                </w:tcPr>
                <w:p w14:paraId="035DA77A">
                  <w:pPr>
                    <w:pStyle w:val="31"/>
                  </w:pPr>
                  <w:r>
                    <w:rPr>
                      <w:rFonts w:hint="eastAsia"/>
                    </w:rPr>
                    <w:t>监测时间</w:t>
                  </w:r>
                </w:p>
              </w:tc>
              <w:tc>
                <w:tcPr>
                  <w:tcW w:w="941" w:type="pct"/>
                  <w:vAlign w:val="center"/>
                </w:tcPr>
                <w:p w14:paraId="3AEEAE37">
                  <w:pPr>
                    <w:pStyle w:val="31"/>
                  </w:pPr>
                  <w:r>
                    <w:rPr>
                      <w:rFonts w:hint="eastAsia"/>
                    </w:rPr>
                    <w:t>监测值</w:t>
                  </w:r>
                </w:p>
              </w:tc>
              <w:tc>
                <w:tcPr>
                  <w:tcW w:w="941" w:type="pct"/>
                  <w:vAlign w:val="center"/>
                </w:tcPr>
                <w:p w14:paraId="719E44FA">
                  <w:pPr>
                    <w:pStyle w:val="31"/>
                  </w:pPr>
                  <w:r>
                    <w:rPr>
                      <w:rFonts w:hint="eastAsia"/>
                    </w:rPr>
                    <w:t>监测时间</w:t>
                  </w:r>
                </w:p>
              </w:tc>
              <w:tc>
                <w:tcPr>
                  <w:tcW w:w="941" w:type="pct"/>
                  <w:vAlign w:val="center"/>
                </w:tcPr>
                <w:p w14:paraId="5FC91238">
                  <w:pPr>
                    <w:pStyle w:val="31"/>
                  </w:pPr>
                  <w:r>
                    <w:rPr>
                      <w:rFonts w:hint="eastAsia"/>
                    </w:rPr>
                    <w:t>监测值</w:t>
                  </w:r>
                </w:p>
              </w:tc>
            </w:tr>
            <w:tr w14:paraId="3572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7" w:type="pct"/>
                  <w:vMerge w:val="restart"/>
                  <w:vAlign w:val="center"/>
                </w:tcPr>
                <w:p w14:paraId="31F9D8C7">
                  <w:pPr>
                    <w:pStyle w:val="31"/>
                  </w:pPr>
                  <w:r>
                    <w:rPr>
                      <w:rFonts w:hint="eastAsia"/>
                    </w:rPr>
                    <w:t>厂界东侧</w:t>
                  </w:r>
                </w:p>
              </w:tc>
              <w:tc>
                <w:tcPr>
                  <w:tcW w:w="940" w:type="pct"/>
                  <w:vAlign w:val="center"/>
                </w:tcPr>
                <w:p w14:paraId="58FE0F9A">
                  <w:pPr>
                    <w:pStyle w:val="31"/>
                  </w:pPr>
                  <w:r>
                    <w:rPr>
                      <w:rFonts w:hint="eastAsia"/>
                    </w:rPr>
                    <w:t>2.17</w:t>
                  </w:r>
                </w:p>
              </w:tc>
              <w:tc>
                <w:tcPr>
                  <w:tcW w:w="941" w:type="pct"/>
                  <w:vAlign w:val="center"/>
                </w:tcPr>
                <w:p w14:paraId="25A96176">
                  <w:pPr>
                    <w:pStyle w:val="31"/>
                  </w:pPr>
                  <w:r>
                    <w:rPr>
                      <w:rFonts w:hint="eastAsia"/>
                    </w:rPr>
                    <w:t>51</w:t>
                  </w:r>
                </w:p>
              </w:tc>
              <w:tc>
                <w:tcPr>
                  <w:tcW w:w="941" w:type="pct"/>
                  <w:vAlign w:val="center"/>
                </w:tcPr>
                <w:p w14:paraId="6E0CAF86">
                  <w:pPr>
                    <w:pStyle w:val="31"/>
                  </w:pPr>
                  <w:r>
                    <w:rPr>
                      <w:rFonts w:hint="eastAsia"/>
                    </w:rPr>
                    <w:t>2.17</w:t>
                  </w:r>
                </w:p>
              </w:tc>
              <w:tc>
                <w:tcPr>
                  <w:tcW w:w="941" w:type="pct"/>
                  <w:vAlign w:val="center"/>
                </w:tcPr>
                <w:p w14:paraId="77B6A8B4">
                  <w:pPr>
                    <w:pStyle w:val="31"/>
                  </w:pPr>
                  <w:r>
                    <w:rPr>
                      <w:rFonts w:hint="eastAsia"/>
                    </w:rPr>
                    <w:t>41</w:t>
                  </w:r>
                </w:p>
              </w:tc>
            </w:tr>
            <w:tr w14:paraId="24F6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7" w:type="pct"/>
                  <w:vMerge w:val="continue"/>
                  <w:vAlign w:val="center"/>
                </w:tcPr>
                <w:p w14:paraId="16DA83F0">
                  <w:pPr>
                    <w:pStyle w:val="31"/>
                  </w:pPr>
                </w:p>
              </w:tc>
              <w:tc>
                <w:tcPr>
                  <w:tcW w:w="940" w:type="pct"/>
                  <w:vAlign w:val="center"/>
                </w:tcPr>
                <w:p w14:paraId="580438E5">
                  <w:pPr>
                    <w:pStyle w:val="31"/>
                  </w:pPr>
                  <w:r>
                    <w:rPr>
                      <w:rFonts w:hint="eastAsia"/>
                    </w:rPr>
                    <w:t>2.18</w:t>
                  </w:r>
                </w:p>
              </w:tc>
              <w:tc>
                <w:tcPr>
                  <w:tcW w:w="941" w:type="pct"/>
                  <w:vAlign w:val="center"/>
                </w:tcPr>
                <w:p w14:paraId="35079790">
                  <w:pPr>
                    <w:pStyle w:val="31"/>
                  </w:pPr>
                  <w:r>
                    <w:rPr>
                      <w:rFonts w:hint="eastAsia"/>
                    </w:rPr>
                    <w:t>52</w:t>
                  </w:r>
                </w:p>
              </w:tc>
              <w:tc>
                <w:tcPr>
                  <w:tcW w:w="941" w:type="pct"/>
                  <w:vAlign w:val="center"/>
                </w:tcPr>
                <w:p w14:paraId="7F4E3824">
                  <w:pPr>
                    <w:pStyle w:val="31"/>
                  </w:pPr>
                  <w:r>
                    <w:rPr>
                      <w:rFonts w:hint="eastAsia"/>
                    </w:rPr>
                    <w:t>2.18</w:t>
                  </w:r>
                </w:p>
              </w:tc>
              <w:tc>
                <w:tcPr>
                  <w:tcW w:w="941" w:type="pct"/>
                  <w:vAlign w:val="center"/>
                </w:tcPr>
                <w:p w14:paraId="76CCAC32">
                  <w:pPr>
                    <w:pStyle w:val="31"/>
                  </w:pPr>
                  <w:r>
                    <w:rPr>
                      <w:rFonts w:hint="eastAsia"/>
                    </w:rPr>
                    <w:t>44</w:t>
                  </w:r>
                </w:p>
              </w:tc>
            </w:tr>
            <w:tr w14:paraId="4AF0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7" w:type="pct"/>
                  <w:vMerge w:val="restart"/>
                  <w:vAlign w:val="center"/>
                </w:tcPr>
                <w:p w14:paraId="2E57E348">
                  <w:pPr>
                    <w:pStyle w:val="31"/>
                  </w:pPr>
                  <w:r>
                    <w:rPr>
                      <w:rFonts w:hint="eastAsia"/>
                    </w:rPr>
                    <w:t>厂界南侧</w:t>
                  </w:r>
                </w:p>
              </w:tc>
              <w:tc>
                <w:tcPr>
                  <w:tcW w:w="940" w:type="pct"/>
                  <w:vAlign w:val="center"/>
                </w:tcPr>
                <w:p w14:paraId="7CB70989">
                  <w:pPr>
                    <w:pStyle w:val="31"/>
                  </w:pPr>
                  <w:r>
                    <w:rPr>
                      <w:rFonts w:hint="eastAsia"/>
                    </w:rPr>
                    <w:t>2.17</w:t>
                  </w:r>
                </w:p>
              </w:tc>
              <w:tc>
                <w:tcPr>
                  <w:tcW w:w="941" w:type="pct"/>
                  <w:vAlign w:val="center"/>
                </w:tcPr>
                <w:p w14:paraId="14F5B872">
                  <w:pPr>
                    <w:pStyle w:val="31"/>
                  </w:pPr>
                  <w:r>
                    <w:rPr>
                      <w:rFonts w:hint="eastAsia"/>
                    </w:rPr>
                    <w:t>51</w:t>
                  </w:r>
                </w:p>
              </w:tc>
              <w:tc>
                <w:tcPr>
                  <w:tcW w:w="941" w:type="pct"/>
                  <w:vAlign w:val="center"/>
                </w:tcPr>
                <w:p w14:paraId="31B1A1A4">
                  <w:pPr>
                    <w:pStyle w:val="31"/>
                  </w:pPr>
                  <w:r>
                    <w:rPr>
                      <w:rFonts w:hint="eastAsia"/>
                    </w:rPr>
                    <w:t>2.17</w:t>
                  </w:r>
                </w:p>
              </w:tc>
              <w:tc>
                <w:tcPr>
                  <w:tcW w:w="941" w:type="pct"/>
                  <w:vAlign w:val="center"/>
                </w:tcPr>
                <w:p w14:paraId="0692DB36">
                  <w:pPr>
                    <w:pStyle w:val="31"/>
                  </w:pPr>
                  <w:r>
                    <w:rPr>
                      <w:rFonts w:hint="eastAsia"/>
                    </w:rPr>
                    <w:t>43</w:t>
                  </w:r>
                </w:p>
              </w:tc>
            </w:tr>
            <w:tr w14:paraId="757B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7" w:type="pct"/>
                  <w:vMerge w:val="continue"/>
                  <w:vAlign w:val="center"/>
                </w:tcPr>
                <w:p w14:paraId="013EA216">
                  <w:pPr>
                    <w:pStyle w:val="31"/>
                  </w:pPr>
                </w:p>
              </w:tc>
              <w:tc>
                <w:tcPr>
                  <w:tcW w:w="940" w:type="pct"/>
                  <w:vAlign w:val="center"/>
                </w:tcPr>
                <w:p w14:paraId="5ADCCE87">
                  <w:pPr>
                    <w:pStyle w:val="31"/>
                  </w:pPr>
                  <w:r>
                    <w:rPr>
                      <w:rFonts w:hint="eastAsia"/>
                    </w:rPr>
                    <w:t>2.18</w:t>
                  </w:r>
                </w:p>
              </w:tc>
              <w:tc>
                <w:tcPr>
                  <w:tcW w:w="941" w:type="pct"/>
                  <w:vAlign w:val="center"/>
                </w:tcPr>
                <w:p w14:paraId="63EBF525">
                  <w:pPr>
                    <w:pStyle w:val="31"/>
                  </w:pPr>
                  <w:r>
                    <w:rPr>
                      <w:rFonts w:hint="eastAsia"/>
                    </w:rPr>
                    <w:t>54</w:t>
                  </w:r>
                </w:p>
              </w:tc>
              <w:tc>
                <w:tcPr>
                  <w:tcW w:w="941" w:type="pct"/>
                  <w:vAlign w:val="center"/>
                </w:tcPr>
                <w:p w14:paraId="6E288B84">
                  <w:pPr>
                    <w:pStyle w:val="31"/>
                  </w:pPr>
                  <w:r>
                    <w:rPr>
                      <w:rFonts w:hint="eastAsia"/>
                    </w:rPr>
                    <w:t>2.18</w:t>
                  </w:r>
                </w:p>
              </w:tc>
              <w:tc>
                <w:tcPr>
                  <w:tcW w:w="941" w:type="pct"/>
                  <w:vAlign w:val="center"/>
                </w:tcPr>
                <w:p w14:paraId="247D498E">
                  <w:pPr>
                    <w:pStyle w:val="31"/>
                  </w:pPr>
                  <w:r>
                    <w:rPr>
                      <w:rFonts w:hint="eastAsia"/>
                    </w:rPr>
                    <w:t>42</w:t>
                  </w:r>
                </w:p>
              </w:tc>
            </w:tr>
            <w:tr w14:paraId="6778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7" w:type="pct"/>
                  <w:vMerge w:val="restart"/>
                  <w:vAlign w:val="center"/>
                </w:tcPr>
                <w:p w14:paraId="21620FA7">
                  <w:pPr>
                    <w:pStyle w:val="31"/>
                  </w:pPr>
                  <w:r>
                    <w:rPr>
                      <w:rFonts w:hint="eastAsia"/>
                    </w:rPr>
                    <w:t>厂界西侧</w:t>
                  </w:r>
                </w:p>
              </w:tc>
              <w:tc>
                <w:tcPr>
                  <w:tcW w:w="940" w:type="pct"/>
                  <w:vAlign w:val="center"/>
                </w:tcPr>
                <w:p w14:paraId="49FF4FE9">
                  <w:pPr>
                    <w:pStyle w:val="31"/>
                  </w:pPr>
                  <w:r>
                    <w:rPr>
                      <w:rFonts w:hint="eastAsia"/>
                    </w:rPr>
                    <w:t>2.17</w:t>
                  </w:r>
                </w:p>
              </w:tc>
              <w:tc>
                <w:tcPr>
                  <w:tcW w:w="941" w:type="pct"/>
                  <w:vAlign w:val="center"/>
                </w:tcPr>
                <w:p w14:paraId="62A97A1B">
                  <w:pPr>
                    <w:pStyle w:val="31"/>
                  </w:pPr>
                  <w:r>
                    <w:rPr>
                      <w:rFonts w:hint="eastAsia"/>
                    </w:rPr>
                    <w:t>52</w:t>
                  </w:r>
                </w:p>
              </w:tc>
              <w:tc>
                <w:tcPr>
                  <w:tcW w:w="941" w:type="pct"/>
                  <w:vAlign w:val="center"/>
                </w:tcPr>
                <w:p w14:paraId="1ABE3D32">
                  <w:pPr>
                    <w:pStyle w:val="31"/>
                  </w:pPr>
                  <w:r>
                    <w:rPr>
                      <w:rFonts w:hint="eastAsia"/>
                    </w:rPr>
                    <w:t>2.17</w:t>
                  </w:r>
                </w:p>
              </w:tc>
              <w:tc>
                <w:tcPr>
                  <w:tcW w:w="941" w:type="pct"/>
                  <w:vAlign w:val="center"/>
                </w:tcPr>
                <w:p w14:paraId="0F3E6369">
                  <w:pPr>
                    <w:pStyle w:val="31"/>
                  </w:pPr>
                  <w:r>
                    <w:rPr>
                      <w:rFonts w:hint="eastAsia"/>
                    </w:rPr>
                    <w:t>42</w:t>
                  </w:r>
                </w:p>
              </w:tc>
            </w:tr>
            <w:tr w14:paraId="3C30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7" w:type="pct"/>
                  <w:vMerge w:val="continue"/>
                  <w:vAlign w:val="center"/>
                </w:tcPr>
                <w:p w14:paraId="113F30DA">
                  <w:pPr>
                    <w:pStyle w:val="31"/>
                  </w:pPr>
                </w:p>
              </w:tc>
              <w:tc>
                <w:tcPr>
                  <w:tcW w:w="940" w:type="pct"/>
                  <w:vAlign w:val="center"/>
                </w:tcPr>
                <w:p w14:paraId="4041C887">
                  <w:pPr>
                    <w:pStyle w:val="31"/>
                  </w:pPr>
                  <w:r>
                    <w:rPr>
                      <w:rFonts w:hint="eastAsia"/>
                    </w:rPr>
                    <w:t>2.18</w:t>
                  </w:r>
                </w:p>
              </w:tc>
              <w:tc>
                <w:tcPr>
                  <w:tcW w:w="941" w:type="pct"/>
                  <w:vAlign w:val="center"/>
                </w:tcPr>
                <w:p w14:paraId="36B6B8C3">
                  <w:pPr>
                    <w:pStyle w:val="31"/>
                  </w:pPr>
                  <w:r>
                    <w:rPr>
                      <w:rFonts w:hint="eastAsia"/>
                    </w:rPr>
                    <w:t>51</w:t>
                  </w:r>
                </w:p>
              </w:tc>
              <w:tc>
                <w:tcPr>
                  <w:tcW w:w="941" w:type="pct"/>
                  <w:vAlign w:val="center"/>
                </w:tcPr>
                <w:p w14:paraId="1ADAE2E4">
                  <w:pPr>
                    <w:pStyle w:val="31"/>
                  </w:pPr>
                  <w:r>
                    <w:rPr>
                      <w:rFonts w:hint="eastAsia"/>
                    </w:rPr>
                    <w:t>2.18</w:t>
                  </w:r>
                </w:p>
              </w:tc>
              <w:tc>
                <w:tcPr>
                  <w:tcW w:w="941" w:type="pct"/>
                  <w:vAlign w:val="center"/>
                </w:tcPr>
                <w:p w14:paraId="5A3EF455">
                  <w:pPr>
                    <w:pStyle w:val="31"/>
                  </w:pPr>
                  <w:r>
                    <w:rPr>
                      <w:rFonts w:hint="eastAsia"/>
                    </w:rPr>
                    <w:t>41</w:t>
                  </w:r>
                </w:p>
              </w:tc>
            </w:tr>
            <w:tr w14:paraId="2708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7" w:type="pct"/>
                  <w:vMerge w:val="restart"/>
                  <w:vAlign w:val="center"/>
                </w:tcPr>
                <w:p w14:paraId="22352BEA">
                  <w:pPr>
                    <w:pStyle w:val="31"/>
                  </w:pPr>
                  <w:r>
                    <w:rPr>
                      <w:rFonts w:hint="eastAsia"/>
                    </w:rPr>
                    <w:t>厂界北侧</w:t>
                  </w:r>
                </w:p>
              </w:tc>
              <w:tc>
                <w:tcPr>
                  <w:tcW w:w="940" w:type="pct"/>
                  <w:vAlign w:val="center"/>
                </w:tcPr>
                <w:p w14:paraId="6CE26A60">
                  <w:pPr>
                    <w:pStyle w:val="31"/>
                  </w:pPr>
                  <w:r>
                    <w:rPr>
                      <w:rFonts w:hint="eastAsia"/>
                    </w:rPr>
                    <w:t>2.17</w:t>
                  </w:r>
                </w:p>
              </w:tc>
              <w:tc>
                <w:tcPr>
                  <w:tcW w:w="941" w:type="pct"/>
                  <w:vAlign w:val="center"/>
                </w:tcPr>
                <w:p w14:paraId="4517D1D2">
                  <w:pPr>
                    <w:pStyle w:val="31"/>
                  </w:pPr>
                  <w:r>
                    <w:rPr>
                      <w:rFonts w:hint="eastAsia"/>
                    </w:rPr>
                    <w:t>53</w:t>
                  </w:r>
                </w:p>
              </w:tc>
              <w:tc>
                <w:tcPr>
                  <w:tcW w:w="941" w:type="pct"/>
                  <w:vAlign w:val="center"/>
                </w:tcPr>
                <w:p w14:paraId="3DD94353">
                  <w:pPr>
                    <w:pStyle w:val="31"/>
                  </w:pPr>
                  <w:r>
                    <w:rPr>
                      <w:rFonts w:hint="eastAsia"/>
                    </w:rPr>
                    <w:t>2.17</w:t>
                  </w:r>
                </w:p>
              </w:tc>
              <w:tc>
                <w:tcPr>
                  <w:tcW w:w="941" w:type="pct"/>
                  <w:vAlign w:val="center"/>
                </w:tcPr>
                <w:p w14:paraId="52F89F6B">
                  <w:pPr>
                    <w:pStyle w:val="31"/>
                  </w:pPr>
                  <w:r>
                    <w:rPr>
                      <w:rFonts w:hint="eastAsia"/>
                    </w:rPr>
                    <w:t>42</w:t>
                  </w:r>
                </w:p>
              </w:tc>
            </w:tr>
            <w:tr w14:paraId="66BA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7" w:type="pct"/>
                  <w:vMerge w:val="continue"/>
                  <w:vAlign w:val="center"/>
                </w:tcPr>
                <w:p w14:paraId="11A1CA9A">
                  <w:pPr>
                    <w:pStyle w:val="31"/>
                  </w:pPr>
                </w:p>
              </w:tc>
              <w:tc>
                <w:tcPr>
                  <w:tcW w:w="940" w:type="pct"/>
                  <w:vAlign w:val="center"/>
                </w:tcPr>
                <w:p w14:paraId="06E63C4F">
                  <w:pPr>
                    <w:pStyle w:val="31"/>
                  </w:pPr>
                  <w:r>
                    <w:rPr>
                      <w:rFonts w:hint="eastAsia"/>
                    </w:rPr>
                    <w:t>2.18</w:t>
                  </w:r>
                </w:p>
              </w:tc>
              <w:tc>
                <w:tcPr>
                  <w:tcW w:w="941" w:type="pct"/>
                  <w:vAlign w:val="center"/>
                </w:tcPr>
                <w:p w14:paraId="49A44551">
                  <w:pPr>
                    <w:pStyle w:val="31"/>
                  </w:pPr>
                  <w:r>
                    <w:rPr>
                      <w:rFonts w:hint="eastAsia"/>
                    </w:rPr>
                    <w:t>52</w:t>
                  </w:r>
                </w:p>
              </w:tc>
              <w:tc>
                <w:tcPr>
                  <w:tcW w:w="941" w:type="pct"/>
                  <w:vAlign w:val="center"/>
                </w:tcPr>
                <w:p w14:paraId="3E040B1E">
                  <w:pPr>
                    <w:pStyle w:val="31"/>
                  </w:pPr>
                  <w:r>
                    <w:rPr>
                      <w:rFonts w:hint="eastAsia"/>
                    </w:rPr>
                    <w:t>2.18</w:t>
                  </w:r>
                </w:p>
              </w:tc>
              <w:tc>
                <w:tcPr>
                  <w:tcW w:w="941" w:type="pct"/>
                  <w:vAlign w:val="center"/>
                </w:tcPr>
                <w:p w14:paraId="3C2B5DCF">
                  <w:pPr>
                    <w:pStyle w:val="31"/>
                  </w:pPr>
                  <w:r>
                    <w:rPr>
                      <w:rFonts w:hint="eastAsia"/>
                    </w:rPr>
                    <w:t>41</w:t>
                  </w:r>
                </w:p>
              </w:tc>
            </w:tr>
            <w:tr w14:paraId="6DBC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7" w:type="pct"/>
                  <w:vAlign w:val="center"/>
                </w:tcPr>
                <w:p w14:paraId="1EED7A6A">
                  <w:pPr>
                    <w:pStyle w:val="31"/>
                  </w:pPr>
                  <w:r>
                    <w:rPr>
                      <w:rFonts w:hint="eastAsia"/>
                    </w:rPr>
                    <w:t>执行标准</w:t>
                  </w:r>
                </w:p>
              </w:tc>
              <w:tc>
                <w:tcPr>
                  <w:tcW w:w="1881" w:type="pct"/>
                  <w:gridSpan w:val="2"/>
                  <w:vAlign w:val="center"/>
                </w:tcPr>
                <w:p w14:paraId="177DFAB8">
                  <w:pPr>
                    <w:pStyle w:val="31"/>
                  </w:pPr>
                  <w:r>
                    <w:rPr>
                      <w:rFonts w:hint="eastAsia"/>
                    </w:rPr>
                    <w:t>60</w:t>
                  </w:r>
                </w:p>
              </w:tc>
              <w:tc>
                <w:tcPr>
                  <w:tcW w:w="1882" w:type="pct"/>
                  <w:gridSpan w:val="2"/>
                  <w:vAlign w:val="center"/>
                </w:tcPr>
                <w:p w14:paraId="57081FE3">
                  <w:pPr>
                    <w:pStyle w:val="31"/>
                  </w:pPr>
                  <w:r>
                    <w:rPr>
                      <w:rFonts w:hint="eastAsia"/>
                    </w:rPr>
                    <w:t>50</w:t>
                  </w:r>
                </w:p>
              </w:tc>
            </w:tr>
            <w:tr w14:paraId="2857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7" w:type="pct"/>
                  <w:vAlign w:val="center"/>
                </w:tcPr>
                <w:p w14:paraId="6619F636">
                  <w:pPr>
                    <w:pStyle w:val="31"/>
                  </w:pPr>
                  <w:r>
                    <w:rPr>
                      <w:rFonts w:hint="eastAsia"/>
                    </w:rPr>
                    <w:t>达标情况</w:t>
                  </w:r>
                </w:p>
              </w:tc>
              <w:tc>
                <w:tcPr>
                  <w:tcW w:w="1881" w:type="pct"/>
                  <w:gridSpan w:val="2"/>
                  <w:vAlign w:val="center"/>
                </w:tcPr>
                <w:p w14:paraId="0D0769D6">
                  <w:pPr>
                    <w:pStyle w:val="31"/>
                  </w:pPr>
                  <w:r>
                    <w:rPr>
                      <w:rFonts w:hint="eastAsia"/>
                    </w:rPr>
                    <w:t>达标</w:t>
                  </w:r>
                </w:p>
              </w:tc>
              <w:tc>
                <w:tcPr>
                  <w:tcW w:w="1882" w:type="pct"/>
                  <w:gridSpan w:val="2"/>
                  <w:vAlign w:val="center"/>
                </w:tcPr>
                <w:p w14:paraId="7073DFA7">
                  <w:pPr>
                    <w:pStyle w:val="31"/>
                  </w:pPr>
                  <w:r>
                    <w:rPr>
                      <w:rFonts w:hint="eastAsia"/>
                    </w:rPr>
                    <w:t>达标</w:t>
                  </w:r>
                </w:p>
              </w:tc>
            </w:tr>
          </w:tbl>
          <w:p w14:paraId="4FC27855">
            <w:pPr>
              <w:pStyle w:val="36"/>
              <w:spacing w:line="240" w:lineRule="auto"/>
              <w:ind w:firstLine="0" w:firstLineChars="0"/>
              <w:rPr>
                <w:color w:val="000000" w:themeColor="text1"/>
                <w:spacing w:val="0"/>
                <w:lang w:eastAsia="zh-CN"/>
                <w14:textFill>
                  <w14:solidFill>
                    <w14:schemeClr w14:val="tx1"/>
                  </w14:solidFill>
                </w14:textFill>
              </w:rPr>
            </w:pPr>
          </w:p>
          <w:p w14:paraId="728F41F9">
            <w:pPr>
              <w:widowControl/>
              <w:spacing w:line="360" w:lineRule="auto"/>
              <w:jc w:val="left"/>
              <w:rPr>
                <w:b/>
                <w:bCs/>
                <w:color w:val="000000" w:themeColor="text1"/>
                <w:kern w:val="0"/>
                <w:sz w:val="28"/>
                <w:szCs w:val="28"/>
                <w:lang w:bidi="ar"/>
                <w14:textFill>
                  <w14:solidFill>
                    <w14:schemeClr w14:val="tx1"/>
                  </w14:solidFill>
                </w14:textFill>
              </w:rPr>
            </w:pPr>
            <w:r>
              <w:rPr>
                <w:b/>
                <w:bCs/>
                <w:color w:val="000000" w:themeColor="text1"/>
                <w:kern w:val="0"/>
                <w:sz w:val="28"/>
                <w:szCs w:val="28"/>
                <w:lang w:bidi="ar"/>
                <w14:textFill>
                  <w14:solidFill>
                    <w14:schemeClr w14:val="tx1"/>
                  </w14:solidFill>
                </w14:textFill>
              </w:rPr>
              <w:t>4</w:t>
            </w:r>
            <w:r>
              <w:rPr>
                <w:rFonts w:hint="eastAsia"/>
                <w:b/>
                <w:bCs/>
                <w:color w:val="000000" w:themeColor="text1"/>
                <w:kern w:val="0"/>
                <w:sz w:val="28"/>
                <w:szCs w:val="28"/>
                <w:lang w:bidi="ar"/>
                <w14:textFill>
                  <w14:solidFill>
                    <w14:schemeClr w14:val="tx1"/>
                  </w14:solidFill>
                </w14:textFill>
              </w:rPr>
              <w:t>、生态环境</w:t>
            </w:r>
          </w:p>
          <w:p w14:paraId="7CE2D947">
            <w:pPr>
              <w:pStyle w:val="36"/>
              <w:ind w:firstLine="480"/>
              <w:rPr>
                <w:color w:val="000000" w:themeColor="text1"/>
                <w:spacing w:val="0"/>
                <w:lang w:eastAsia="zh-CN"/>
                <w14:textFill>
                  <w14:solidFill>
                    <w14:schemeClr w14:val="tx1"/>
                  </w14:solidFill>
                </w14:textFill>
              </w:rPr>
            </w:pPr>
            <w:r>
              <w:rPr>
                <w:rFonts w:hint="eastAsia"/>
                <w:spacing w:val="0"/>
                <w:lang w:eastAsia="zh-CN"/>
              </w:rPr>
              <w:t>项目位于</w:t>
            </w:r>
            <w:r>
              <w:rPr>
                <w:spacing w:val="0"/>
                <w:lang w:eastAsia="zh-CN"/>
              </w:rPr>
              <w:t>原听牧肉牛屠宰及优质</w:t>
            </w:r>
            <w:r>
              <w:rPr>
                <w:rFonts w:hint="eastAsia"/>
                <w:spacing w:val="0"/>
                <w:lang w:eastAsia="zh-CN"/>
              </w:rPr>
              <w:t>牛肉</w:t>
            </w:r>
            <w:r>
              <w:rPr>
                <w:spacing w:val="0"/>
                <w:lang w:eastAsia="zh-CN"/>
              </w:rPr>
              <w:t>精深加工厂区</w:t>
            </w:r>
            <w:r>
              <w:rPr>
                <w:rFonts w:hint="eastAsia"/>
                <w:spacing w:val="0"/>
                <w:lang w:eastAsia="zh-CN"/>
              </w:rPr>
              <w:t>用地范围</w:t>
            </w:r>
            <w:r>
              <w:rPr>
                <w:spacing w:val="0"/>
                <w:lang w:eastAsia="zh-CN"/>
              </w:rPr>
              <w:t>内，</w:t>
            </w:r>
            <w:r>
              <w:rPr>
                <w:rFonts w:hint="eastAsia"/>
                <w:color w:val="000000" w:themeColor="text1"/>
                <w:spacing w:val="0"/>
                <w:lang w:eastAsia="zh-CN"/>
                <w14:textFill>
                  <w14:solidFill>
                    <w14:schemeClr w14:val="tx1"/>
                  </w14:solidFill>
                </w14:textFill>
              </w:rPr>
              <w:t>项目用地性质为工业用地，无新增占地，厂区已进行地面硬化，种植有人工绿化植被。项目区外寻甸县羊街镇人类生产、农耕活动频繁，植被类型单一，生物多样性低，以人工农田植被为主，分布的动植物种类和数量较少，以常见啮齿类和小型哺乳类为主。</w:t>
            </w:r>
          </w:p>
          <w:p w14:paraId="25B66152">
            <w:pPr>
              <w:pStyle w:val="36"/>
              <w:ind w:firstLine="0" w:firstLineChars="0"/>
              <w:jc w:val="left"/>
              <w:rPr>
                <w:color w:val="000000" w:themeColor="text1"/>
                <w:spacing w:val="0"/>
                <w:lang w:eastAsia="zh-CN"/>
                <w14:textFill>
                  <w14:solidFill>
                    <w14:schemeClr w14:val="tx1"/>
                  </w14:solidFill>
                </w14:textFill>
              </w:rPr>
            </w:pPr>
            <w:r>
              <w:rPr>
                <w:rFonts w:hint="eastAsia"/>
                <w:b/>
                <w:bCs/>
                <w:color w:val="000000" w:themeColor="text1"/>
                <w:spacing w:val="0"/>
                <w:kern w:val="0"/>
                <w:sz w:val="28"/>
                <w:szCs w:val="28"/>
                <w:lang w:eastAsia="zh-CN" w:bidi="ar"/>
                <w14:textFill>
                  <w14:solidFill>
                    <w14:schemeClr w14:val="tx1"/>
                  </w14:solidFill>
                </w14:textFill>
              </w:rPr>
              <w:t>5、地下水环境、土壤环境</w:t>
            </w:r>
          </w:p>
          <w:p w14:paraId="60C04940">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根据《环境影响评价技术导则 地下水环境》（HJ 610-2016）附录A，项目属于“轻工”屠宰类中“其他”，为编制环境影响报告表的</w:t>
            </w:r>
            <w:r>
              <w:rPr>
                <w:rFonts w:cs="Times New Roman" w:asciiTheme="minorEastAsia" w:hAnsiTheme="minorEastAsia" w:eastAsiaTheme="minorEastAsia"/>
                <w:color w:val="000000" w:themeColor="text1"/>
                <w:spacing w:val="0"/>
                <w:lang w:eastAsia="zh-CN"/>
                <w14:textFill>
                  <w14:solidFill>
                    <w14:schemeClr w14:val="tx1"/>
                  </w14:solidFill>
                </w14:textFill>
              </w:rPr>
              <w:t>Ⅳ</w:t>
            </w:r>
            <w:r>
              <w:rPr>
                <w:rFonts w:hint="eastAsia" w:cs="Times New Roman" w:asciiTheme="minorEastAsia" w:hAnsiTheme="minorEastAsia" w:eastAsiaTheme="minorEastAsia"/>
                <w:color w:val="000000" w:themeColor="text1"/>
                <w:spacing w:val="0"/>
                <w:lang w:eastAsia="zh-CN"/>
                <w14:textFill>
                  <w14:solidFill>
                    <w14:schemeClr w14:val="tx1"/>
                  </w14:solidFill>
                </w14:textFill>
              </w:rPr>
              <w:t>类项目。</w:t>
            </w:r>
            <w:r>
              <w:rPr>
                <w:rFonts w:cs="Times New Roman" w:asciiTheme="minorEastAsia" w:hAnsiTheme="minorEastAsia" w:eastAsiaTheme="minorEastAsia"/>
                <w:color w:val="000000" w:themeColor="text1"/>
                <w:spacing w:val="0"/>
                <w:lang w:eastAsia="zh-CN"/>
                <w14:textFill>
                  <w14:solidFill>
                    <w14:schemeClr w14:val="tx1"/>
                  </w14:solidFill>
                </w14:textFill>
              </w:rPr>
              <w:t>Ⅳ</w:t>
            </w:r>
            <w:r>
              <w:rPr>
                <w:rFonts w:hint="eastAsia" w:cs="Times New Roman" w:asciiTheme="minorEastAsia" w:hAnsiTheme="minorEastAsia" w:eastAsiaTheme="minorEastAsia"/>
                <w:color w:val="000000" w:themeColor="text1"/>
                <w:spacing w:val="0"/>
                <w:lang w:eastAsia="zh-CN"/>
                <w14:textFill>
                  <w14:solidFill>
                    <w14:schemeClr w14:val="tx1"/>
                  </w14:solidFill>
                </w14:textFill>
              </w:rPr>
              <w:t>类项目不开展地下水环境影响评价。</w:t>
            </w:r>
          </w:p>
          <w:p w14:paraId="4BC6FA82">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根据《环境影响评价技术导则 土壤环境（试行）》（HJ 964-2018）附录A，项目属于“其他行业”，项目类别为</w:t>
            </w:r>
            <w:r>
              <w:rPr>
                <w:rFonts w:cs="Times New Roman" w:asciiTheme="minorEastAsia" w:hAnsiTheme="minorEastAsia" w:eastAsiaTheme="minorEastAsia"/>
                <w:color w:val="000000" w:themeColor="text1"/>
                <w:spacing w:val="0"/>
                <w:lang w:eastAsia="zh-CN"/>
                <w14:textFill>
                  <w14:solidFill>
                    <w14:schemeClr w14:val="tx1"/>
                  </w14:solidFill>
                </w14:textFill>
              </w:rPr>
              <w:t>Ⅳ</w:t>
            </w:r>
            <w:r>
              <w:rPr>
                <w:rFonts w:hint="eastAsia" w:cs="Times New Roman" w:asciiTheme="minorEastAsia" w:hAnsiTheme="minorEastAsia" w:eastAsiaTheme="minorEastAsia"/>
                <w:color w:val="000000" w:themeColor="text1"/>
                <w:spacing w:val="0"/>
                <w:lang w:eastAsia="zh-CN"/>
                <w14:textFill>
                  <w14:solidFill>
                    <w14:schemeClr w14:val="tx1"/>
                  </w14:solidFill>
                </w14:textFill>
              </w:rPr>
              <w:t>类。</w:t>
            </w:r>
            <w:r>
              <w:rPr>
                <w:rFonts w:cs="Times New Roman" w:asciiTheme="minorEastAsia" w:hAnsiTheme="minorEastAsia" w:eastAsiaTheme="minorEastAsia"/>
                <w:color w:val="000000" w:themeColor="text1"/>
                <w:spacing w:val="0"/>
                <w:lang w:eastAsia="zh-CN"/>
                <w14:textFill>
                  <w14:solidFill>
                    <w14:schemeClr w14:val="tx1"/>
                  </w14:solidFill>
                </w14:textFill>
              </w:rPr>
              <w:t>Ⅳ</w:t>
            </w:r>
            <w:r>
              <w:rPr>
                <w:rFonts w:hint="eastAsia" w:cs="Times New Roman" w:asciiTheme="minorEastAsia" w:hAnsiTheme="minorEastAsia" w:eastAsiaTheme="minorEastAsia"/>
                <w:color w:val="000000" w:themeColor="text1"/>
                <w:spacing w:val="0"/>
                <w:lang w:eastAsia="zh-CN"/>
                <w14:textFill>
                  <w14:solidFill>
                    <w14:schemeClr w14:val="tx1"/>
                  </w14:solidFill>
                </w14:textFill>
              </w:rPr>
              <w:t>类项目可不开展土壤环境影响评价。</w:t>
            </w:r>
          </w:p>
          <w:p w14:paraId="2B853A66">
            <w:pPr>
              <w:pStyle w:val="36"/>
              <w:ind w:firstLine="480"/>
              <w:rPr>
                <w:color w:val="000000" w:themeColor="text1"/>
                <w:spacing w:val="0"/>
                <w:lang w:eastAsia="zh-CN"/>
                <w14:textFill>
                  <w14:solidFill>
                    <w14:schemeClr w14:val="tx1"/>
                  </w14:solidFill>
                </w14:textFill>
              </w:rPr>
            </w:pPr>
            <w:r>
              <w:rPr>
                <w:rFonts w:hint="eastAsia"/>
                <w:spacing w:val="0"/>
                <w:lang w:eastAsia="zh-CN"/>
              </w:rPr>
              <w:t>项目位于</w:t>
            </w:r>
            <w:r>
              <w:rPr>
                <w:spacing w:val="0"/>
                <w:lang w:eastAsia="zh-CN"/>
              </w:rPr>
              <w:t>原听牧肉牛屠宰及优质</w:t>
            </w:r>
            <w:r>
              <w:rPr>
                <w:rFonts w:hint="eastAsia"/>
                <w:spacing w:val="0"/>
                <w:lang w:eastAsia="zh-CN"/>
              </w:rPr>
              <w:t>牛肉</w:t>
            </w:r>
            <w:r>
              <w:rPr>
                <w:spacing w:val="0"/>
                <w:lang w:eastAsia="zh-CN"/>
              </w:rPr>
              <w:t>精深加工厂区</w:t>
            </w:r>
            <w:r>
              <w:rPr>
                <w:rFonts w:hint="eastAsia"/>
                <w:spacing w:val="0"/>
                <w:lang w:eastAsia="zh-CN"/>
              </w:rPr>
              <w:t>用地范围</w:t>
            </w:r>
            <w:r>
              <w:rPr>
                <w:spacing w:val="0"/>
                <w:lang w:eastAsia="zh-CN"/>
              </w:rPr>
              <w:t>内，</w:t>
            </w:r>
            <w:r>
              <w:rPr>
                <w:rFonts w:hint="eastAsia"/>
                <w:color w:val="000000" w:themeColor="text1"/>
                <w:spacing w:val="0"/>
                <w:lang w:eastAsia="zh-CN"/>
                <w14:textFill>
                  <w14:solidFill>
                    <w14:schemeClr w14:val="tx1"/>
                  </w14:solidFill>
                </w14:textFill>
              </w:rPr>
              <w:t>项目用地性质为工业用地，无新增占地和地表开挖，施工期短，工程量小，对地下水环境、土壤环境的影响较小，本次评价不开展地下水环境、土壤环境现状调查。</w:t>
            </w:r>
          </w:p>
        </w:tc>
      </w:tr>
      <w:tr w14:paraId="126A7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459" w:type="dxa"/>
            <w:vAlign w:val="center"/>
          </w:tcPr>
          <w:p w14:paraId="6CDD7E03">
            <w:pPr>
              <w:adjustRightInd w:val="0"/>
              <w:snapToGrid w:val="0"/>
              <w:jc w:val="center"/>
              <w:rPr>
                <w:rFonts w:cs="宋体"/>
                <w:color w:val="000000" w:themeColor="text1"/>
                <w:kern w:val="0"/>
                <w:sz w:val="24"/>
                <w14:textFill>
                  <w14:solidFill>
                    <w14:schemeClr w14:val="tx1"/>
                  </w14:solidFill>
                </w14:textFill>
              </w:rPr>
            </w:pPr>
            <w:r>
              <w:rPr>
                <w:rFonts w:hint="eastAsia" w:cs="宋体"/>
                <w:color w:val="000000" w:themeColor="text1"/>
                <w:kern w:val="0"/>
                <w:sz w:val="24"/>
                <w14:textFill>
                  <w14:solidFill>
                    <w14:schemeClr w14:val="tx1"/>
                  </w14:solidFill>
                </w14:textFill>
              </w:rPr>
              <w:t>环境保护目标</w:t>
            </w:r>
          </w:p>
        </w:tc>
        <w:tc>
          <w:tcPr>
            <w:tcW w:w="8403" w:type="dxa"/>
            <w:vAlign w:val="center"/>
          </w:tcPr>
          <w:p w14:paraId="08381B40">
            <w:pPr>
              <w:widowControl/>
              <w:spacing w:line="360" w:lineRule="auto"/>
              <w:ind w:firstLine="480" w:firstLineChars="200"/>
              <w:rPr>
                <w:rFonts w:cs="宋体"/>
                <w:sz w:val="24"/>
                <w:lang w:val="zh-CN"/>
              </w:rPr>
            </w:pPr>
            <w:r>
              <w:rPr>
                <w:rFonts w:hint="eastAsia" w:cs="宋体"/>
                <w:sz w:val="24"/>
                <w:lang w:val="zh-CN"/>
              </w:rPr>
              <w:t>根据《建设项目环境影响报告表编制技术指南（污染影响类）（试行）》，确定项目环境保护目标如下：</w:t>
            </w:r>
          </w:p>
          <w:p w14:paraId="6B7A17ED">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1、地表水环境</w:t>
            </w:r>
          </w:p>
          <w:p w14:paraId="45F4C959">
            <w:pPr>
              <w:pStyle w:val="36"/>
              <w:ind w:firstLine="480"/>
              <w:rPr>
                <w:spacing w:val="0"/>
                <w:lang w:eastAsia="zh-CN"/>
              </w:rPr>
            </w:pPr>
            <w:r>
              <w:rPr>
                <w:rFonts w:hint="eastAsia"/>
                <w:spacing w:val="0"/>
                <w:lang w:val="zh-CN" w:eastAsia="zh-CN"/>
              </w:rPr>
              <w:t>地表水环境保护目标为项目区外的</w:t>
            </w:r>
            <w:r>
              <w:rPr>
                <w:rFonts w:hint="eastAsia"/>
                <w:spacing w:val="0"/>
                <w:lang w:eastAsia="zh-CN"/>
              </w:rPr>
              <w:t>果马河，执行《地表水环境质量标准》（GB3838-2002）</w:t>
            </w:r>
            <w:r>
              <w:rPr>
                <w:rFonts w:ascii="宋体" w:hAnsi="宋体" w:cs="Times New Roman"/>
                <w:color w:val="000000" w:themeColor="text1"/>
                <w:spacing w:val="0"/>
                <w:lang w:eastAsia="zh-CN"/>
                <w14:textFill>
                  <w14:solidFill>
                    <w14:schemeClr w14:val="tx1"/>
                  </w14:solidFill>
                </w14:textFill>
              </w:rPr>
              <w:t>Ⅲ</w:t>
            </w:r>
            <w:r>
              <w:rPr>
                <w:rFonts w:hint="eastAsia"/>
                <w:color w:val="000000" w:themeColor="text1"/>
                <w:spacing w:val="0"/>
                <w:lang w:eastAsia="zh-CN"/>
                <w14:textFill>
                  <w14:solidFill>
                    <w14:schemeClr w14:val="tx1"/>
                  </w14:solidFill>
                </w14:textFill>
              </w:rPr>
              <w:t>类标准。</w:t>
            </w:r>
          </w:p>
          <w:p w14:paraId="5ADD24AF">
            <w:pPr>
              <w:pStyle w:val="36"/>
              <w:ind w:firstLine="0" w:firstLineChars="0"/>
              <w:jc w:val="left"/>
              <w:rPr>
                <w:spacing w:val="0"/>
                <w:shd w:val="clear" w:color="FFFFFF" w:fill="D9D9D9"/>
                <w:lang w:val="zh-CN" w:eastAsia="zh-CN"/>
              </w:rPr>
            </w:pPr>
            <w:r>
              <w:rPr>
                <w:rFonts w:hint="eastAsia"/>
                <w:b/>
                <w:bCs/>
                <w:color w:val="000000" w:themeColor="text1"/>
                <w:spacing w:val="0"/>
                <w:kern w:val="0"/>
                <w:sz w:val="28"/>
                <w:szCs w:val="28"/>
                <w:shd w:val="clear" w:color="FFFFFF" w:fill="auto"/>
                <w:lang w:eastAsia="zh-CN" w:bidi="ar"/>
                <w14:textFill>
                  <w14:solidFill>
                    <w14:schemeClr w14:val="tx1"/>
                  </w14:solidFill>
                </w14:textFill>
              </w:rPr>
              <w:t>2、大气环境</w:t>
            </w:r>
          </w:p>
          <w:p w14:paraId="70D5471B">
            <w:pPr>
              <w:pStyle w:val="36"/>
              <w:ind w:firstLine="480"/>
              <w:rPr>
                <w:spacing w:val="0"/>
                <w:shd w:val="clear" w:color="FFFFFF" w:fill="D9D9D9"/>
                <w:lang w:eastAsia="zh-CN"/>
              </w:rPr>
            </w:pPr>
            <w:r>
              <w:rPr>
                <w:rFonts w:hint="eastAsia"/>
                <w:spacing w:val="0"/>
                <w:shd w:val="clear" w:color="FFFFFF" w:fill="auto"/>
                <w:lang w:val="zh-CN" w:eastAsia="zh-CN"/>
              </w:rPr>
              <w:t>大气环境保护目标为</w:t>
            </w:r>
            <w:r>
              <w:rPr>
                <w:rFonts w:hint="eastAsia"/>
                <w:spacing w:val="0"/>
                <w:shd w:val="clear" w:color="FFFFFF" w:fill="auto"/>
                <w:lang w:eastAsia="zh-CN"/>
              </w:rPr>
              <w:t>项目厂界外，</w:t>
            </w:r>
            <w:r>
              <w:rPr>
                <w:spacing w:val="0"/>
                <w:shd w:val="clear" w:color="FFFFFF" w:fill="auto"/>
                <w:lang w:eastAsia="zh-CN"/>
              </w:rPr>
              <w:t>西北侧</w:t>
            </w:r>
            <w:r>
              <w:rPr>
                <w:rFonts w:hint="eastAsia"/>
                <w:spacing w:val="0"/>
                <w:shd w:val="clear" w:color="FFFFFF" w:fill="auto"/>
                <w:lang w:eastAsia="zh-CN"/>
              </w:rPr>
              <w:t>200m</w:t>
            </w:r>
            <w:r>
              <w:rPr>
                <w:spacing w:val="0"/>
                <w:shd w:val="clear" w:color="FFFFFF" w:fill="auto"/>
                <w:lang w:eastAsia="zh-CN"/>
              </w:rPr>
              <w:t>的龙池村，</w:t>
            </w:r>
            <w:r>
              <w:rPr>
                <w:rFonts w:hint="eastAsia"/>
                <w:spacing w:val="0"/>
                <w:shd w:val="clear" w:color="FFFFFF" w:fill="auto"/>
                <w:lang w:eastAsia="zh-CN"/>
              </w:rPr>
              <w:t>执行《环境空气质量标准》（GB3095-2026）二级标准。</w:t>
            </w:r>
          </w:p>
          <w:p w14:paraId="4115C87A">
            <w:pPr>
              <w:pStyle w:val="36"/>
              <w:ind w:firstLine="0" w:firstLineChars="0"/>
              <w:jc w:val="left"/>
              <w:rPr>
                <w:spacing w:val="0"/>
                <w:lang w:val="zh-CN" w:eastAsia="zh-CN"/>
              </w:rPr>
            </w:pPr>
            <w:r>
              <w:rPr>
                <w:rFonts w:hint="eastAsia"/>
                <w:b/>
                <w:bCs/>
                <w:color w:val="000000" w:themeColor="text1"/>
                <w:spacing w:val="0"/>
                <w:kern w:val="0"/>
                <w:sz w:val="28"/>
                <w:szCs w:val="28"/>
                <w:lang w:eastAsia="zh-CN" w:bidi="ar"/>
                <w14:textFill>
                  <w14:solidFill>
                    <w14:schemeClr w14:val="tx1"/>
                  </w14:solidFill>
                </w14:textFill>
              </w:rPr>
              <w:t>3、声环境</w:t>
            </w:r>
          </w:p>
          <w:p w14:paraId="7BB8B8EC">
            <w:pPr>
              <w:pStyle w:val="36"/>
              <w:ind w:firstLine="480"/>
              <w:rPr>
                <w:spacing w:val="0"/>
                <w:lang w:eastAsia="zh-CN"/>
              </w:rPr>
            </w:pPr>
            <w:r>
              <w:rPr>
                <w:rFonts w:hint="eastAsia"/>
                <w:spacing w:val="0"/>
                <w:lang w:eastAsia="zh-CN"/>
              </w:rPr>
              <w:t>项目厂界外50m范围内</w:t>
            </w:r>
            <w:r>
              <w:rPr>
                <w:spacing w:val="0"/>
                <w:lang w:eastAsia="zh-CN"/>
              </w:rPr>
              <w:t>无</w:t>
            </w:r>
            <w:r>
              <w:rPr>
                <w:rFonts w:hint="eastAsia"/>
                <w:spacing w:val="0"/>
                <w:lang w:eastAsia="zh-CN"/>
              </w:rPr>
              <w:t>声环境保护目标。</w:t>
            </w:r>
          </w:p>
          <w:p w14:paraId="789B364F">
            <w:pPr>
              <w:pStyle w:val="36"/>
              <w:ind w:firstLine="0" w:firstLineChars="0"/>
              <w:jc w:val="left"/>
              <w:rPr>
                <w:b/>
                <w:bCs/>
                <w:color w:val="000000" w:themeColor="text1"/>
                <w:spacing w:val="0"/>
                <w:kern w:val="0"/>
                <w:sz w:val="28"/>
                <w:szCs w:val="28"/>
                <w:lang w:eastAsia="zh-CN" w:bidi="ar"/>
                <w14:textFill>
                  <w14:solidFill>
                    <w14:schemeClr w14:val="tx1"/>
                  </w14:solidFill>
                </w14:textFill>
              </w:rPr>
            </w:pPr>
            <w:r>
              <w:rPr>
                <w:rFonts w:hint="eastAsia"/>
                <w:b/>
                <w:bCs/>
                <w:color w:val="000000" w:themeColor="text1"/>
                <w:spacing w:val="0"/>
                <w:kern w:val="0"/>
                <w:sz w:val="28"/>
                <w:szCs w:val="28"/>
                <w:lang w:eastAsia="zh-CN" w:bidi="ar"/>
                <w14:textFill>
                  <w14:solidFill>
                    <w14:schemeClr w14:val="tx1"/>
                  </w14:solidFill>
                </w14:textFill>
              </w:rPr>
              <w:t>4、地下水环境</w:t>
            </w:r>
          </w:p>
          <w:p w14:paraId="757F6936">
            <w:pPr>
              <w:pStyle w:val="36"/>
              <w:ind w:firstLine="480"/>
              <w:rPr>
                <w:spacing w:val="0"/>
                <w:lang w:val="zh-CN" w:eastAsia="zh-CN"/>
              </w:rPr>
            </w:pPr>
            <w:r>
              <w:rPr>
                <w:rFonts w:hint="eastAsia"/>
                <w:spacing w:val="0"/>
                <w:lang w:val="zh-CN" w:eastAsia="zh-CN"/>
              </w:rPr>
              <w:t>项目厂界外500m范围内无地下水</w:t>
            </w:r>
            <w:r>
              <w:rPr>
                <w:spacing w:val="0"/>
                <w:kern w:val="21"/>
                <w:szCs w:val="21"/>
                <w:lang w:eastAsia="zh-CN"/>
              </w:rPr>
              <w:t>集中式饮用水水源和热水、矿泉水、温泉等特殊地下水资源。</w:t>
            </w:r>
          </w:p>
          <w:p w14:paraId="33F427D7">
            <w:pPr>
              <w:pStyle w:val="29"/>
              <w:outlineLvl w:val="9"/>
              <w:rPr>
                <w:rFonts w:hint="default"/>
              </w:rPr>
            </w:pPr>
            <w:r>
              <w:t>表3-3 项目环境保护目标表</w:t>
            </w:r>
          </w:p>
          <w:tbl>
            <w:tblPr>
              <w:tblStyle w:val="22"/>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85"/>
              <w:gridCol w:w="973"/>
              <w:gridCol w:w="975"/>
              <w:gridCol w:w="734"/>
              <w:gridCol w:w="889"/>
              <w:gridCol w:w="710"/>
              <w:gridCol w:w="2276"/>
            </w:tblGrid>
            <w:tr w14:paraId="7FEE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511" w:type="pct"/>
                  <w:vMerge w:val="restart"/>
                  <w:vAlign w:val="center"/>
                </w:tcPr>
                <w:p w14:paraId="38A93A3F">
                  <w:pPr>
                    <w:keepNext/>
                    <w:keepLine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环境</w:t>
                  </w:r>
                </w:p>
                <w:p w14:paraId="4F2C663E">
                  <w:pPr>
                    <w:keepNext/>
                    <w:keepLine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要素</w:t>
                  </w:r>
                </w:p>
              </w:tc>
              <w:tc>
                <w:tcPr>
                  <w:tcW w:w="534" w:type="pct"/>
                  <w:vMerge w:val="restart"/>
                  <w:vAlign w:val="center"/>
                </w:tcPr>
                <w:p w14:paraId="755B2CD1">
                  <w:pPr>
                    <w:keepNext/>
                    <w:keepLine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保护</w:t>
                  </w:r>
                </w:p>
                <w:p w14:paraId="45D33507">
                  <w:pPr>
                    <w:keepNext/>
                    <w:keepLine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目标</w:t>
                  </w:r>
                </w:p>
              </w:tc>
              <w:tc>
                <w:tcPr>
                  <w:tcW w:w="1175" w:type="pct"/>
                  <w:gridSpan w:val="2"/>
                  <w:vAlign w:val="center"/>
                </w:tcPr>
                <w:p w14:paraId="52A624FC">
                  <w:pPr>
                    <w:keepNext/>
                    <w:keepLine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坐标</w:t>
                  </w:r>
                </w:p>
              </w:tc>
              <w:tc>
                <w:tcPr>
                  <w:tcW w:w="443" w:type="pct"/>
                  <w:vMerge w:val="restart"/>
                  <w:vAlign w:val="center"/>
                </w:tcPr>
                <w:p w14:paraId="4AE5B069">
                  <w:pPr>
                    <w:keepNext/>
                    <w:keepLine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方位</w:t>
                  </w:r>
                </w:p>
              </w:tc>
              <w:tc>
                <w:tcPr>
                  <w:tcW w:w="536" w:type="pct"/>
                  <w:vMerge w:val="restart"/>
                  <w:vAlign w:val="center"/>
                </w:tcPr>
                <w:p w14:paraId="68AD9651">
                  <w:pPr>
                    <w:keepNext/>
                    <w:keepLine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相对厂界距离（m）</w:t>
                  </w:r>
                </w:p>
              </w:tc>
              <w:tc>
                <w:tcPr>
                  <w:tcW w:w="428" w:type="pct"/>
                  <w:vMerge w:val="restart"/>
                  <w:vAlign w:val="center"/>
                </w:tcPr>
                <w:p w14:paraId="666C8A06">
                  <w:pPr>
                    <w:keepNext/>
                    <w:keepLine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保护对象</w:t>
                  </w:r>
                </w:p>
              </w:tc>
              <w:tc>
                <w:tcPr>
                  <w:tcW w:w="1373" w:type="pct"/>
                  <w:vMerge w:val="restart"/>
                  <w:vAlign w:val="center"/>
                </w:tcPr>
                <w:p w14:paraId="6CF7F7E5">
                  <w:pPr>
                    <w:keepNext/>
                    <w:keepLine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保护要求</w:t>
                  </w:r>
                </w:p>
              </w:tc>
            </w:tr>
            <w:tr w14:paraId="58CD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511" w:type="pct"/>
                  <w:vMerge w:val="continue"/>
                  <w:vAlign w:val="center"/>
                </w:tcPr>
                <w:p w14:paraId="695E7C05">
                  <w:pPr>
                    <w:keepNext/>
                    <w:keepLines/>
                    <w:jc w:val="center"/>
                    <w:rPr>
                      <w:color w:val="000000" w:themeColor="text1"/>
                      <w:szCs w:val="21"/>
                      <w14:textFill>
                        <w14:solidFill>
                          <w14:schemeClr w14:val="tx1"/>
                        </w14:solidFill>
                      </w14:textFill>
                    </w:rPr>
                  </w:pPr>
                </w:p>
              </w:tc>
              <w:tc>
                <w:tcPr>
                  <w:tcW w:w="534" w:type="pct"/>
                  <w:vMerge w:val="continue"/>
                  <w:vAlign w:val="center"/>
                </w:tcPr>
                <w:p w14:paraId="68C8C8B8">
                  <w:pPr>
                    <w:keepNext/>
                    <w:keepLines/>
                    <w:jc w:val="center"/>
                    <w:rPr>
                      <w:color w:val="000000" w:themeColor="text1"/>
                      <w:szCs w:val="21"/>
                      <w14:textFill>
                        <w14:solidFill>
                          <w14:schemeClr w14:val="tx1"/>
                        </w14:solidFill>
                      </w14:textFill>
                    </w:rPr>
                  </w:pPr>
                </w:p>
              </w:tc>
              <w:tc>
                <w:tcPr>
                  <w:tcW w:w="587" w:type="pct"/>
                  <w:vAlign w:val="center"/>
                </w:tcPr>
                <w:p w14:paraId="79C9332D">
                  <w:pPr>
                    <w:keepNext/>
                    <w:keepLine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东经</w:t>
                  </w:r>
                </w:p>
              </w:tc>
              <w:tc>
                <w:tcPr>
                  <w:tcW w:w="587" w:type="pct"/>
                  <w:vAlign w:val="center"/>
                </w:tcPr>
                <w:p w14:paraId="36BD3A9D">
                  <w:pPr>
                    <w:keepNext/>
                    <w:keepLine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北纬</w:t>
                  </w:r>
                </w:p>
              </w:tc>
              <w:tc>
                <w:tcPr>
                  <w:tcW w:w="443" w:type="pct"/>
                  <w:vMerge w:val="continue"/>
                  <w:vAlign w:val="center"/>
                </w:tcPr>
                <w:p w14:paraId="147E56DB">
                  <w:pPr>
                    <w:keepNext/>
                    <w:keepLines/>
                    <w:jc w:val="center"/>
                    <w:rPr>
                      <w:color w:val="000000" w:themeColor="text1"/>
                      <w:szCs w:val="21"/>
                      <w14:textFill>
                        <w14:solidFill>
                          <w14:schemeClr w14:val="tx1"/>
                        </w14:solidFill>
                      </w14:textFill>
                    </w:rPr>
                  </w:pPr>
                </w:p>
              </w:tc>
              <w:tc>
                <w:tcPr>
                  <w:tcW w:w="536" w:type="pct"/>
                  <w:vMerge w:val="continue"/>
                  <w:vAlign w:val="center"/>
                </w:tcPr>
                <w:p w14:paraId="4DD6BD6A">
                  <w:pPr>
                    <w:keepNext/>
                    <w:keepLines/>
                    <w:jc w:val="center"/>
                    <w:rPr>
                      <w:color w:val="000000" w:themeColor="text1"/>
                      <w:szCs w:val="21"/>
                      <w14:textFill>
                        <w14:solidFill>
                          <w14:schemeClr w14:val="tx1"/>
                        </w14:solidFill>
                      </w14:textFill>
                    </w:rPr>
                  </w:pPr>
                </w:p>
              </w:tc>
              <w:tc>
                <w:tcPr>
                  <w:tcW w:w="428" w:type="pct"/>
                  <w:vMerge w:val="continue"/>
                  <w:vAlign w:val="center"/>
                </w:tcPr>
                <w:p w14:paraId="422D6BA4">
                  <w:pPr>
                    <w:keepNext/>
                    <w:keepLines/>
                    <w:jc w:val="center"/>
                    <w:rPr>
                      <w:color w:val="000000" w:themeColor="text1"/>
                      <w:szCs w:val="21"/>
                      <w14:textFill>
                        <w14:solidFill>
                          <w14:schemeClr w14:val="tx1"/>
                        </w14:solidFill>
                      </w14:textFill>
                    </w:rPr>
                  </w:pPr>
                </w:p>
              </w:tc>
              <w:tc>
                <w:tcPr>
                  <w:tcW w:w="1373" w:type="pct"/>
                  <w:vMerge w:val="continue"/>
                  <w:vAlign w:val="center"/>
                </w:tcPr>
                <w:p w14:paraId="63874E23">
                  <w:pPr>
                    <w:keepNext/>
                    <w:keepLines/>
                    <w:jc w:val="center"/>
                    <w:rPr>
                      <w:color w:val="000000" w:themeColor="text1"/>
                      <w:szCs w:val="21"/>
                      <w14:textFill>
                        <w14:solidFill>
                          <w14:schemeClr w14:val="tx1"/>
                        </w14:solidFill>
                      </w14:textFill>
                    </w:rPr>
                  </w:pPr>
                </w:p>
              </w:tc>
            </w:tr>
            <w:tr w14:paraId="63C1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511" w:type="pct"/>
                  <w:vAlign w:val="center"/>
                </w:tcPr>
                <w:p w14:paraId="61A30F5E">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w:t>
                  </w:r>
                </w:p>
                <w:p w14:paraId="4791865A">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空气</w:t>
                  </w:r>
                </w:p>
              </w:tc>
              <w:tc>
                <w:tcPr>
                  <w:tcW w:w="534" w:type="pct"/>
                  <w:vAlign w:val="center"/>
                </w:tcPr>
                <w:p w14:paraId="34DC188B">
                  <w:pPr>
                    <w:widowControl/>
                    <w:jc w:val="center"/>
                    <w:rPr>
                      <w:color w:val="000000" w:themeColor="text1"/>
                      <w:szCs w:val="21"/>
                      <w14:textFill>
                        <w14:solidFill>
                          <w14:schemeClr w14:val="tx1"/>
                        </w14:solidFill>
                      </w14:textFill>
                    </w:rPr>
                  </w:pPr>
                  <w:r>
                    <w:rPr>
                      <w:rFonts w:hint="eastAsia"/>
                    </w:rPr>
                    <w:t>龙池村</w:t>
                  </w:r>
                </w:p>
              </w:tc>
              <w:tc>
                <w:tcPr>
                  <w:tcW w:w="587" w:type="pct"/>
                  <w:vAlign w:val="center"/>
                </w:tcPr>
                <w:p w14:paraId="7AA64AE8">
                  <w:pPr>
                    <w:keepNext/>
                    <w:keepLine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103°07′49.596″</w:t>
                  </w:r>
                </w:p>
              </w:tc>
              <w:tc>
                <w:tcPr>
                  <w:tcW w:w="587" w:type="pct"/>
                  <w:vAlign w:val="center"/>
                </w:tcPr>
                <w:p w14:paraId="5894B23F">
                  <w:pPr>
                    <w:keepNext/>
                    <w:keepLine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25°26′</w:t>
                  </w:r>
                </w:p>
                <w:p w14:paraId="5B87006A">
                  <w:pPr>
                    <w:keepNext/>
                    <w:keepLine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44.283″</w:t>
                  </w:r>
                </w:p>
              </w:tc>
              <w:tc>
                <w:tcPr>
                  <w:tcW w:w="443" w:type="pct"/>
                  <w:vAlign w:val="center"/>
                </w:tcPr>
                <w:p w14:paraId="6527C111">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西北侧</w:t>
                  </w:r>
                </w:p>
              </w:tc>
              <w:tc>
                <w:tcPr>
                  <w:tcW w:w="536" w:type="pct"/>
                  <w:vAlign w:val="center"/>
                </w:tcPr>
                <w:p w14:paraId="41268BDB">
                  <w:pPr>
                    <w:keepNext/>
                    <w:keepLines/>
                    <w:jc w:val="center"/>
                    <w:rPr>
                      <w:color w:val="000000" w:themeColor="text1"/>
                      <w:szCs w:val="21"/>
                      <w14:textFill>
                        <w14:solidFill>
                          <w14:schemeClr w14:val="tx1"/>
                        </w14:solidFill>
                      </w14:textFill>
                    </w:rPr>
                  </w:pPr>
                  <w:r>
                    <w:rPr>
                      <w:rFonts w:hint="eastAsia"/>
                    </w:rPr>
                    <w:t>200</w:t>
                  </w:r>
                </w:p>
              </w:tc>
              <w:tc>
                <w:tcPr>
                  <w:tcW w:w="428" w:type="pct"/>
                  <w:vAlign w:val="center"/>
                </w:tcPr>
                <w:p w14:paraId="7ED032DC">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300人</w:t>
                  </w:r>
                </w:p>
              </w:tc>
              <w:tc>
                <w:tcPr>
                  <w:tcW w:w="1373" w:type="pct"/>
                  <w:vAlign w:val="center"/>
                </w:tcPr>
                <w:p w14:paraId="143C2E1E">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《环境空气质量标准》（GB3095-20</w:t>
                  </w:r>
                  <w:r>
                    <w:rPr>
                      <w:rFonts w:hint="eastAsia"/>
                      <w:color w:val="000000" w:themeColor="text1"/>
                      <w:kern w:val="0"/>
                      <w:szCs w:val="21"/>
                      <w:lang w:bidi="ar"/>
                      <w14:textFill>
                        <w14:solidFill>
                          <w14:schemeClr w14:val="tx1"/>
                        </w14:solidFill>
                      </w14:textFill>
                    </w:rPr>
                    <w:t>26</w:t>
                  </w:r>
                  <w:r>
                    <w:rPr>
                      <w:color w:val="000000" w:themeColor="text1"/>
                      <w:kern w:val="0"/>
                      <w:szCs w:val="21"/>
                      <w:lang w:bidi="ar"/>
                      <w14:textFill>
                        <w14:solidFill>
                          <w14:schemeClr w14:val="tx1"/>
                        </w14:solidFill>
                      </w14:textFill>
                    </w:rPr>
                    <w:t>）二级标准</w:t>
                  </w:r>
                </w:p>
              </w:tc>
            </w:tr>
            <w:tr w14:paraId="4FCC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511" w:type="pct"/>
                  <w:vAlign w:val="center"/>
                </w:tcPr>
                <w:p w14:paraId="20220661">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水环境</w:t>
                  </w:r>
                </w:p>
              </w:tc>
              <w:tc>
                <w:tcPr>
                  <w:tcW w:w="534" w:type="pct"/>
                  <w:vAlign w:val="center"/>
                </w:tcPr>
                <w:p w14:paraId="545B708F">
                  <w:pPr>
                    <w:widowControl/>
                    <w:jc w:val="center"/>
                  </w:pPr>
                  <w:r>
                    <w:rPr>
                      <w:rFonts w:hint="eastAsia"/>
                    </w:rPr>
                    <w:t>果马河</w:t>
                  </w:r>
                </w:p>
              </w:tc>
              <w:tc>
                <w:tcPr>
                  <w:tcW w:w="587" w:type="pct"/>
                  <w:vAlign w:val="center"/>
                </w:tcPr>
                <w:p w14:paraId="52F9F610">
                  <w:pPr>
                    <w:keepNext/>
                    <w:keepLine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103°07′25.47″</w:t>
                  </w:r>
                </w:p>
              </w:tc>
              <w:tc>
                <w:tcPr>
                  <w:tcW w:w="587" w:type="pct"/>
                  <w:vAlign w:val="center"/>
                </w:tcPr>
                <w:p w14:paraId="5A61B507">
                  <w:pPr>
                    <w:keepNext/>
                    <w:keepLine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25°27′</w:t>
                  </w:r>
                </w:p>
                <w:p w14:paraId="716AB8FD">
                  <w:pPr>
                    <w:keepNext/>
                    <w:keepLine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15.65″</w:t>
                  </w:r>
                </w:p>
              </w:tc>
              <w:tc>
                <w:tcPr>
                  <w:tcW w:w="443" w:type="pct"/>
                  <w:vAlign w:val="center"/>
                </w:tcPr>
                <w:p w14:paraId="2647ADE2">
                  <w:pPr>
                    <w:keepNext/>
                    <w:keepLine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西侧</w:t>
                  </w:r>
                </w:p>
              </w:tc>
              <w:tc>
                <w:tcPr>
                  <w:tcW w:w="536" w:type="pct"/>
                  <w:vAlign w:val="center"/>
                </w:tcPr>
                <w:p w14:paraId="26E68734">
                  <w:pPr>
                    <w:keepNext/>
                    <w:keepLines/>
                    <w:jc w:val="center"/>
                  </w:pPr>
                  <w:r>
                    <w:rPr>
                      <w:rFonts w:hint="eastAsia"/>
                    </w:rPr>
                    <w:t>1100</w:t>
                  </w:r>
                </w:p>
              </w:tc>
              <w:tc>
                <w:tcPr>
                  <w:tcW w:w="428" w:type="pct"/>
                  <w:vAlign w:val="center"/>
                </w:tcPr>
                <w:p w14:paraId="74DD9008">
                  <w:pPr>
                    <w:keepNext/>
                    <w:keepLines/>
                    <w:jc w:val="center"/>
                    <w:rPr>
                      <w:color w:val="000000" w:themeColor="text1"/>
                      <w:szCs w:val="21"/>
                      <w14:textFill>
                        <w14:solidFill>
                          <w14:schemeClr w14:val="tx1"/>
                        </w14:solidFill>
                      </w14:textFill>
                    </w:rPr>
                  </w:pPr>
                  <w:r>
                    <w:rPr>
                      <w:rFonts w:hint="eastAsia"/>
                    </w:rPr>
                    <w:t>水质</w:t>
                  </w:r>
                </w:p>
              </w:tc>
              <w:tc>
                <w:tcPr>
                  <w:tcW w:w="1373" w:type="pct"/>
                  <w:vAlign w:val="center"/>
                </w:tcPr>
                <w:p w14:paraId="72EB814F">
                  <w:pPr>
                    <w:widowControl/>
                    <w:jc w:val="center"/>
                    <w:rPr>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《地表水环境质量标准》（GB3838-2002）</w:t>
                  </w:r>
                  <w:r>
                    <w:rPr>
                      <w:rFonts w:ascii="宋体" w:hAnsi="宋体"/>
                      <w:color w:val="000000" w:themeColor="text1"/>
                      <w14:textFill>
                        <w14:solidFill>
                          <w14:schemeClr w14:val="tx1"/>
                        </w14:solidFill>
                      </w14:textFill>
                    </w:rPr>
                    <w:t>Ⅲ</w:t>
                  </w:r>
                  <w:r>
                    <w:rPr>
                      <w:rFonts w:hint="eastAsia"/>
                      <w:color w:val="000000" w:themeColor="text1"/>
                      <w14:textFill>
                        <w14:solidFill>
                          <w14:schemeClr w14:val="tx1"/>
                        </w14:solidFill>
                      </w14:textFill>
                    </w:rPr>
                    <w:t>类标准</w:t>
                  </w:r>
                </w:p>
              </w:tc>
            </w:tr>
          </w:tbl>
          <w:p w14:paraId="77D71C6D">
            <w:pPr>
              <w:adjustRightInd w:val="0"/>
              <w:snapToGrid w:val="0"/>
              <w:rPr>
                <w:kern w:val="21"/>
                <w:szCs w:val="21"/>
              </w:rPr>
            </w:pPr>
          </w:p>
        </w:tc>
      </w:tr>
      <w:tr w14:paraId="4EB074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59" w:type="dxa"/>
            <w:tcMar>
              <w:left w:w="28" w:type="dxa"/>
              <w:right w:w="28" w:type="dxa"/>
            </w:tcMar>
            <w:vAlign w:val="center"/>
          </w:tcPr>
          <w:p w14:paraId="185925F3">
            <w:pPr>
              <w:adjustRightInd w:val="0"/>
              <w:snapToGrid w:val="0"/>
              <w:jc w:val="center"/>
              <w:rPr>
                <w:rFonts w:cs="宋体"/>
                <w:color w:val="000000" w:themeColor="text1"/>
                <w:kern w:val="0"/>
                <w:szCs w:val="21"/>
                <w14:textFill>
                  <w14:solidFill>
                    <w14:schemeClr w14:val="tx1"/>
                  </w14:solidFill>
                </w14:textFill>
              </w:rPr>
            </w:pPr>
            <w:r>
              <w:rPr>
                <w:rFonts w:hint="eastAsia" w:cs="宋体"/>
                <w:color w:val="000000" w:themeColor="text1"/>
                <w:kern w:val="0"/>
                <w:sz w:val="24"/>
                <w14:textFill>
                  <w14:solidFill>
                    <w14:schemeClr w14:val="tx1"/>
                  </w14:solidFill>
                </w14:textFill>
              </w:rPr>
              <w:t>污染物排放控制标准</w:t>
            </w:r>
          </w:p>
        </w:tc>
        <w:tc>
          <w:tcPr>
            <w:tcW w:w="8403" w:type="dxa"/>
            <w:vAlign w:val="center"/>
          </w:tcPr>
          <w:p w14:paraId="2F11877D">
            <w:pPr>
              <w:widowControl/>
              <w:spacing w:line="360" w:lineRule="auto"/>
              <w:jc w:val="left"/>
              <w:rPr>
                <w:b/>
                <w:bCs/>
                <w:color w:val="000000" w:themeColor="text1"/>
                <w:kern w:val="0"/>
                <w:sz w:val="28"/>
                <w:szCs w:val="28"/>
                <w:lang w:bidi="ar"/>
                <w14:textFill>
                  <w14:solidFill>
                    <w14:schemeClr w14:val="tx1"/>
                  </w14:solidFill>
                </w14:textFill>
              </w:rPr>
            </w:pPr>
            <w:r>
              <w:rPr>
                <w:b/>
                <w:bCs/>
                <w:color w:val="000000" w:themeColor="text1"/>
                <w:kern w:val="0"/>
                <w:sz w:val="28"/>
                <w:szCs w:val="28"/>
                <w:lang w:bidi="ar"/>
                <w14:textFill>
                  <w14:solidFill>
                    <w14:schemeClr w14:val="tx1"/>
                  </w14:solidFill>
                </w14:textFill>
              </w:rPr>
              <w:t>1</w:t>
            </w:r>
            <w:r>
              <w:rPr>
                <w:rFonts w:hint="eastAsia"/>
                <w:b/>
                <w:bCs/>
                <w:color w:val="000000" w:themeColor="text1"/>
                <w:kern w:val="0"/>
                <w:sz w:val="28"/>
                <w:szCs w:val="28"/>
                <w:lang w:bidi="ar"/>
                <w14:textFill>
                  <w14:solidFill>
                    <w14:schemeClr w14:val="tx1"/>
                  </w14:solidFill>
                </w14:textFill>
              </w:rPr>
              <w:t>、废气</w:t>
            </w:r>
          </w:p>
          <w:p w14:paraId="4E878054">
            <w:pPr>
              <w:widowControl/>
              <w:spacing w:line="360" w:lineRule="auto"/>
              <w:ind w:firstLine="482" w:firstLineChars="200"/>
              <w:jc w:val="left"/>
              <w:rPr>
                <w:b/>
                <w:bCs/>
                <w:color w:val="000000" w:themeColor="text1"/>
                <w14:textFill>
                  <w14:solidFill>
                    <w14:schemeClr w14:val="tx1"/>
                  </w14:solidFill>
                </w14:textFill>
              </w:rPr>
            </w:pPr>
            <w:r>
              <w:rPr>
                <w:rFonts w:hint="eastAsia" w:cs="宋体"/>
                <w:b/>
                <w:bCs/>
                <w:color w:val="000000" w:themeColor="text1"/>
                <w:kern w:val="0"/>
                <w:sz w:val="24"/>
                <w:lang w:bidi="ar"/>
                <w14:textFill>
                  <w14:solidFill>
                    <w14:schemeClr w14:val="tx1"/>
                  </w14:solidFill>
                </w14:textFill>
              </w:rPr>
              <w:t>（</w:t>
            </w:r>
            <w:r>
              <w:rPr>
                <w:b/>
                <w:bCs/>
                <w:color w:val="000000" w:themeColor="text1"/>
                <w:kern w:val="0"/>
                <w:sz w:val="24"/>
                <w:lang w:bidi="ar"/>
                <w14:textFill>
                  <w14:solidFill>
                    <w14:schemeClr w14:val="tx1"/>
                  </w14:solidFill>
                </w14:textFill>
              </w:rPr>
              <w:t>1</w:t>
            </w:r>
            <w:r>
              <w:rPr>
                <w:rFonts w:hint="eastAsia" w:cs="宋体"/>
                <w:b/>
                <w:bCs/>
                <w:color w:val="000000" w:themeColor="text1"/>
                <w:kern w:val="0"/>
                <w:sz w:val="24"/>
                <w:lang w:bidi="ar"/>
                <w14:textFill>
                  <w14:solidFill>
                    <w14:schemeClr w14:val="tx1"/>
                  </w14:solidFill>
                </w14:textFill>
              </w:rPr>
              <w:t>）施工期</w:t>
            </w:r>
          </w:p>
          <w:p w14:paraId="3F530004">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项目施工期扬尘执行《大气污染物综合排放标准》（</w:t>
            </w:r>
            <w:r>
              <w:rPr>
                <w:color w:val="000000" w:themeColor="text1"/>
                <w:spacing w:val="0"/>
                <w:lang w:eastAsia="zh-CN"/>
                <w14:textFill>
                  <w14:solidFill>
                    <w14:schemeClr w14:val="tx1"/>
                  </w14:solidFill>
                </w14:textFill>
              </w:rPr>
              <w:t>GB16297-1996</w:t>
            </w:r>
            <w:r>
              <w:rPr>
                <w:rFonts w:hint="eastAsia"/>
                <w:color w:val="000000" w:themeColor="text1"/>
                <w:spacing w:val="0"/>
                <w:lang w:eastAsia="zh-CN"/>
                <w14:textFill>
                  <w14:solidFill>
                    <w14:schemeClr w14:val="tx1"/>
                  </w14:solidFill>
                </w14:textFill>
              </w:rPr>
              <w:t>）表</w:t>
            </w:r>
            <w:r>
              <w:rPr>
                <w:color w:val="000000" w:themeColor="text1"/>
                <w:spacing w:val="0"/>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无组织排放浓度限值。</w:t>
            </w:r>
          </w:p>
          <w:p w14:paraId="6E3469B3">
            <w:pPr>
              <w:pStyle w:val="36"/>
              <w:spacing w:line="240" w:lineRule="auto"/>
              <w:ind w:firstLine="0" w:firstLineChars="0"/>
              <w:rPr>
                <w:color w:val="000000" w:themeColor="text1"/>
                <w:spacing w:val="0"/>
                <w:lang w:eastAsia="zh-CN"/>
                <w14:textFill>
                  <w14:solidFill>
                    <w14:schemeClr w14:val="tx1"/>
                  </w14:solidFill>
                </w14:textFill>
              </w:rPr>
            </w:pPr>
          </w:p>
          <w:p w14:paraId="2B9E85BF">
            <w:pPr>
              <w:pStyle w:val="36"/>
              <w:spacing w:line="240" w:lineRule="auto"/>
              <w:ind w:firstLine="0" w:firstLineChars="0"/>
              <w:rPr>
                <w:color w:val="000000" w:themeColor="text1"/>
                <w:spacing w:val="0"/>
                <w:lang w:eastAsia="zh-CN"/>
                <w14:textFill>
                  <w14:solidFill>
                    <w14:schemeClr w14:val="tx1"/>
                  </w14:solidFill>
                </w14:textFill>
              </w:rPr>
            </w:pPr>
          </w:p>
          <w:p w14:paraId="1EC79E2A">
            <w:pPr>
              <w:pStyle w:val="36"/>
              <w:spacing w:line="240" w:lineRule="auto"/>
              <w:ind w:firstLine="0" w:firstLineChars="0"/>
              <w:rPr>
                <w:color w:val="000000" w:themeColor="text1"/>
                <w:spacing w:val="0"/>
                <w:lang w:eastAsia="zh-CN"/>
                <w14:textFill>
                  <w14:solidFill>
                    <w14:schemeClr w14:val="tx1"/>
                  </w14:solidFill>
                </w14:textFill>
              </w:rPr>
            </w:pPr>
          </w:p>
          <w:p w14:paraId="6BC7E678">
            <w:pPr>
              <w:pStyle w:val="29"/>
              <w:outlineLvl w:val="9"/>
              <w:rPr>
                <w:rFonts w:hint="default"/>
              </w:rPr>
            </w:pPr>
            <w:r>
              <w:t>表3-4 大气污染物综合排放标准</w:t>
            </w:r>
          </w:p>
          <w:tbl>
            <w:tblPr>
              <w:tblStyle w:val="22"/>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5"/>
              <w:gridCol w:w="4145"/>
            </w:tblGrid>
            <w:tr w14:paraId="568D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145" w:type="dxa"/>
                  <w:vAlign w:val="center"/>
                </w:tcPr>
                <w:p w14:paraId="6EE17FE7">
                  <w:pPr>
                    <w:adjustRightInd w:val="0"/>
                    <w:snapToGrid w:val="0"/>
                    <w:jc w:val="center"/>
                    <w:rPr>
                      <w:rFonts w:cs="宋体"/>
                      <w:b/>
                      <w:bCs/>
                      <w:color w:val="000000" w:themeColor="text1"/>
                      <w:kern w:val="0"/>
                      <w:szCs w:val="21"/>
                      <w14:textFill>
                        <w14:solidFill>
                          <w14:schemeClr w14:val="tx1"/>
                        </w14:solidFill>
                      </w14:textFill>
                    </w:rPr>
                  </w:pPr>
                  <w:r>
                    <w:rPr>
                      <w:rFonts w:hint="eastAsia" w:cs="宋体"/>
                      <w:b/>
                      <w:bCs/>
                      <w:color w:val="000000" w:themeColor="text1"/>
                      <w:kern w:val="0"/>
                      <w:szCs w:val="21"/>
                      <w14:textFill>
                        <w14:solidFill>
                          <w14:schemeClr w14:val="tx1"/>
                        </w14:solidFill>
                      </w14:textFill>
                    </w:rPr>
                    <w:t>污染物</w:t>
                  </w:r>
                </w:p>
              </w:tc>
              <w:tc>
                <w:tcPr>
                  <w:tcW w:w="4145" w:type="dxa"/>
                  <w:vAlign w:val="center"/>
                </w:tcPr>
                <w:p w14:paraId="5BF4B9ED">
                  <w:pPr>
                    <w:adjustRightInd w:val="0"/>
                    <w:snapToGrid w:val="0"/>
                    <w:jc w:val="center"/>
                    <w:rPr>
                      <w:rFonts w:cs="宋体"/>
                      <w:b/>
                      <w:bCs/>
                      <w:color w:val="000000" w:themeColor="text1"/>
                      <w:kern w:val="0"/>
                      <w:szCs w:val="21"/>
                      <w14:textFill>
                        <w14:solidFill>
                          <w14:schemeClr w14:val="tx1"/>
                        </w14:solidFill>
                      </w14:textFill>
                    </w:rPr>
                  </w:pPr>
                  <w:r>
                    <w:rPr>
                      <w:rFonts w:hint="eastAsia" w:cs="宋体"/>
                      <w:b/>
                      <w:bCs/>
                      <w:color w:val="000000" w:themeColor="text1"/>
                      <w:kern w:val="0"/>
                      <w:szCs w:val="21"/>
                      <w14:textFill>
                        <w14:solidFill>
                          <w14:schemeClr w14:val="tx1"/>
                        </w14:solidFill>
                      </w14:textFill>
                    </w:rPr>
                    <w:t>无组织排放监控浓度限值（mg/m</w:t>
                  </w:r>
                  <w:r>
                    <w:rPr>
                      <w:rFonts w:hint="eastAsia" w:cs="宋体"/>
                      <w:b/>
                      <w:bCs/>
                      <w:color w:val="000000" w:themeColor="text1"/>
                      <w:kern w:val="0"/>
                      <w:szCs w:val="21"/>
                      <w:vertAlign w:val="superscript"/>
                      <w14:textFill>
                        <w14:solidFill>
                          <w14:schemeClr w14:val="tx1"/>
                        </w14:solidFill>
                      </w14:textFill>
                    </w:rPr>
                    <w:t>3</w:t>
                  </w:r>
                  <w:r>
                    <w:rPr>
                      <w:rFonts w:hint="eastAsia" w:cs="宋体"/>
                      <w:b/>
                      <w:bCs/>
                      <w:color w:val="000000" w:themeColor="text1"/>
                      <w:kern w:val="0"/>
                      <w:szCs w:val="21"/>
                      <w14:textFill>
                        <w14:solidFill>
                          <w14:schemeClr w14:val="tx1"/>
                        </w14:solidFill>
                      </w14:textFill>
                    </w:rPr>
                    <w:t>）</w:t>
                  </w:r>
                </w:p>
              </w:tc>
            </w:tr>
            <w:tr w14:paraId="4F34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145" w:type="dxa"/>
                  <w:vAlign w:val="center"/>
                </w:tcPr>
                <w:p w14:paraId="12503B95">
                  <w:pPr>
                    <w:adjustRightInd w:val="0"/>
                    <w:snapToGrid w:val="0"/>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SS</w:t>
                  </w:r>
                </w:p>
              </w:tc>
              <w:tc>
                <w:tcPr>
                  <w:tcW w:w="4145" w:type="dxa"/>
                  <w:vAlign w:val="center"/>
                </w:tcPr>
                <w:p w14:paraId="2B0A8FA2">
                  <w:pPr>
                    <w:adjustRightInd w:val="0"/>
                    <w:snapToGrid w:val="0"/>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1.0</w:t>
                  </w:r>
                </w:p>
              </w:tc>
            </w:tr>
          </w:tbl>
          <w:p w14:paraId="3F1F430E">
            <w:pPr>
              <w:widowControl/>
              <w:rPr>
                <w:rFonts w:cs="宋体"/>
                <w:color w:val="000000" w:themeColor="text1"/>
                <w:kern w:val="0"/>
                <w:sz w:val="24"/>
                <w:lang w:bidi="ar"/>
                <w14:textFill>
                  <w14:solidFill>
                    <w14:schemeClr w14:val="tx1"/>
                  </w14:solidFill>
                </w14:textFill>
              </w:rPr>
            </w:pPr>
          </w:p>
          <w:p w14:paraId="2D5C485A">
            <w:pPr>
              <w:widowControl/>
              <w:spacing w:line="360" w:lineRule="auto"/>
              <w:ind w:firstLine="482" w:firstLineChars="200"/>
              <w:jc w:val="left"/>
              <w:rPr>
                <w:rFonts w:cs="宋体"/>
                <w:b/>
                <w:bCs/>
                <w:color w:val="000000" w:themeColor="text1"/>
                <w:kern w:val="0"/>
                <w:sz w:val="24"/>
                <w:lang w:bidi="ar"/>
                <w14:textFill>
                  <w14:solidFill>
                    <w14:schemeClr w14:val="tx1"/>
                  </w14:solidFill>
                </w14:textFill>
              </w:rPr>
            </w:pPr>
            <w:r>
              <w:rPr>
                <w:rFonts w:hint="eastAsia" w:cs="宋体"/>
                <w:b/>
                <w:bCs/>
                <w:color w:val="000000" w:themeColor="text1"/>
                <w:kern w:val="0"/>
                <w:sz w:val="24"/>
                <w:lang w:bidi="ar"/>
                <w14:textFill>
                  <w14:solidFill>
                    <w14:schemeClr w14:val="tx1"/>
                  </w14:solidFill>
                </w14:textFill>
              </w:rPr>
              <w:t>（2）运营期</w:t>
            </w:r>
          </w:p>
          <w:p w14:paraId="48507D7C">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项目运营期废气执行《恶臭污染物排放标准》（GB14554-93）表1标准。</w:t>
            </w:r>
          </w:p>
          <w:p w14:paraId="52EAE140">
            <w:pPr>
              <w:pStyle w:val="29"/>
              <w:outlineLvl w:val="9"/>
              <w:rPr>
                <w:rFonts w:hint="default"/>
              </w:rPr>
            </w:pPr>
            <w:r>
              <w:t>表3-5 恶臭污染物排放标准</w:t>
            </w:r>
          </w:p>
          <w:tbl>
            <w:tblPr>
              <w:tblStyle w:val="22"/>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5"/>
              <w:gridCol w:w="4145"/>
            </w:tblGrid>
            <w:tr w14:paraId="1DC8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145" w:type="dxa"/>
                  <w:vAlign w:val="center"/>
                </w:tcPr>
                <w:p w14:paraId="17D040F9">
                  <w:pPr>
                    <w:pStyle w:val="31"/>
                    <w:rPr>
                      <w:b/>
                      <w:bCs/>
                    </w:rPr>
                  </w:pPr>
                  <w:r>
                    <w:rPr>
                      <w:rFonts w:hint="eastAsia"/>
                      <w:b/>
                      <w:bCs/>
                    </w:rPr>
                    <w:t>污染物</w:t>
                  </w:r>
                </w:p>
              </w:tc>
              <w:tc>
                <w:tcPr>
                  <w:tcW w:w="4145" w:type="dxa"/>
                  <w:vAlign w:val="center"/>
                </w:tcPr>
                <w:p w14:paraId="2B595970">
                  <w:pPr>
                    <w:pStyle w:val="31"/>
                    <w:rPr>
                      <w:b/>
                      <w:bCs/>
                    </w:rPr>
                  </w:pPr>
                  <w:r>
                    <w:rPr>
                      <w:rFonts w:hint="eastAsia"/>
                      <w:b/>
                      <w:bCs/>
                    </w:rPr>
                    <w:t>厂界标准限值</w:t>
                  </w:r>
                </w:p>
              </w:tc>
            </w:tr>
            <w:tr w14:paraId="3A3B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145" w:type="dxa"/>
                  <w:vAlign w:val="center"/>
                </w:tcPr>
                <w:p w14:paraId="41540D26">
                  <w:pPr>
                    <w:pStyle w:val="31"/>
                  </w:pPr>
                  <w:r>
                    <w:rPr>
                      <w:rFonts w:hint="eastAsia"/>
                    </w:rPr>
                    <w:t>臭气浓度（无量纲）</w:t>
                  </w:r>
                </w:p>
              </w:tc>
              <w:tc>
                <w:tcPr>
                  <w:tcW w:w="4145" w:type="dxa"/>
                  <w:vAlign w:val="center"/>
                </w:tcPr>
                <w:p w14:paraId="50893176">
                  <w:pPr>
                    <w:pStyle w:val="31"/>
                  </w:pPr>
                  <w:r>
                    <w:rPr>
                      <w:rFonts w:hint="eastAsia"/>
                    </w:rPr>
                    <w:t>20</w:t>
                  </w:r>
                </w:p>
              </w:tc>
            </w:tr>
            <w:tr w14:paraId="594C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145" w:type="dxa"/>
                  <w:vAlign w:val="center"/>
                </w:tcPr>
                <w:p w14:paraId="12FA5F6B">
                  <w:pPr>
                    <w:pStyle w:val="31"/>
                  </w:pPr>
                  <w:r>
                    <w:rPr>
                      <w:rFonts w:hint="eastAsia" w:cs="宋体"/>
                      <w:color w:val="000000" w:themeColor="text1"/>
                      <w14:textFill>
                        <w14:solidFill>
                          <w14:schemeClr w14:val="tx1"/>
                        </w14:solidFill>
                      </w14:textFill>
                    </w:rPr>
                    <w:t>NH</w:t>
                  </w:r>
                  <w:r>
                    <w:rPr>
                      <w:rFonts w:hint="eastAsia" w:cs="宋体"/>
                      <w:color w:val="000000" w:themeColor="text1"/>
                      <w:vertAlign w:val="subscript"/>
                      <w14:textFill>
                        <w14:solidFill>
                          <w14:schemeClr w14:val="tx1"/>
                        </w14:solidFill>
                      </w14:textFill>
                    </w:rPr>
                    <w:t>3</w:t>
                  </w:r>
                  <w:r>
                    <w:rPr>
                      <w:rFonts w:hint="eastAsia" w:cs="宋体"/>
                      <w:color w:val="000000" w:themeColor="text1"/>
                      <w14:textFill>
                        <w14:solidFill>
                          <w14:schemeClr w14:val="tx1"/>
                        </w14:solidFill>
                      </w14:textFill>
                    </w:rPr>
                    <w:t>（mg/m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w:t>
                  </w:r>
                </w:p>
              </w:tc>
              <w:tc>
                <w:tcPr>
                  <w:tcW w:w="4145" w:type="dxa"/>
                  <w:vAlign w:val="center"/>
                </w:tcPr>
                <w:p w14:paraId="2A2B46EB">
                  <w:pPr>
                    <w:pStyle w:val="31"/>
                  </w:pPr>
                  <w:r>
                    <w:rPr>
                      <w:rFonts w:hint="eastAsia"/>
                    </w:rPr>
                    <w:t>1.5</w:t>
                  </w:r>
                </w:p>
              </w:tc>
            </w:tr>
            <w:tr w14:paraId="0134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145" w:type="dxa"/>
                  <w:vAlign w:val="center"/>
                </w:tcPr>
                <w:p w14:paraId="61BCC5B5">
                  <w:pPr>
                    <w:pStyle w:val="31"/>
                  </w:pPr>
                  <w:r>
                    <w:rPr>
                      <w:rFonts w:hint="eastAsia"/>
                    </w:rPr>
                    <w:t>H</w:t>
                  </w:r>
                  <w:r>
                    <w:rPr>
                      <w:rFonts w:hint="eastAsia"/>
                      <w:vertAlign w:val="subscript"/>
                    </w:rPr>
                    <w:t>2</w:t>
                  </w:r>
                  <w:r>
                    <w:rPr>
                      <w:rFonts w:hint="eastAsia"/>
                    </w:rPr>
                    <w:t>S</w:t>
                  </w:r>
                  <w:r>
                    <w:rPr>
                      <w:rFonts w:hint="eastAsia" w:cs="宋体"/>
                      <w:color w:val="000000" w:themeColor="text1"/>
                      <w14:textFill>
                        <w14:solidFill>
                          <w14:schemeClr w14:val="tx1"/>
                        </w14:solidFill>
                      </w14:textFill>
                    </w:rPr>
                    <w:t>（mg/m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w:t>
                  </w:r>
                </w:p>
              </w:tc>
              <w:tc>
                <w:tcPr>
                  <w:tcW w:w="4145" w:type="dxa"/>
                  <w:vAlign w:val="center"/>
                </w:tcPr>
                <w:p w14:paraId="21F9A4D2">
                  <w:pPr>
                    <w:pStyle w:val="31"/>
                  </w:pPr>
                  <w:r>
                    <w:rPr>
                      <w:rFonts w:hint="eastAsia"/>
                    </w:rPr>
                    <w:t>0.06</w:t>
                  </w:r>
                </w:p>
              </w:tc>
            </w:tr>
          </w:tbl>
          <w:p w14:paraId="61C15BF3">
            <w:pPr>
              <w:pStyle w:val="29"/>
              <w:jc w:val="both"/>
              <w:outlineLvl w:val="9"/>
              <w:rPr>
                <w:rFonts w:hint="default"/>
                <w:b w:val="0"/>
                <w:bCs w:val="0"/>
                <w:sz w:val="24"/>
                <w:szCs w:val="24"/>
              </w:rPr>
            </w:pPr>
          </w:p>
          <w:p w14:paraId="51F1578A">
            <w:pPr>
              <w:widowControl/>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职工食堂油烟执行《饮食业油烟排放标准（试行）》（GB18483-2001）。</w:t>
            </w:r>
          </w:p>
          <w:p w14:paraId="32B81B68">
            <w:pPr>
              <w:pStyle w:val="29"/>
              <w:rPr>
                <w:rFonts w:hint="default"/>
              </w:rPr>
            </w:pPr>
            <w:r>
              <w:t>表3-6 饮食业油烟排放标准（试行）</w:t>
            </w:r>
          </w:p>
          <w:tbl>
            <w:tblPr>
              <w:tblStyle w:val="22"/>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5"/>
              <w:gridCol w:w="4145"/>
            </w:tblGrid>
            <w:tr w14:paraId="6137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145" w:type="dxa"/>
                  <w:vAlign w:val="center"/>
                </w:tcPr>
                <w:p w14:paraId="5C002930">
                  <w:pPr>
                    <w:pStyle w:val="31"/>
                    <w:rPr>
                      <w:b/>
                      <w:bCs/>
                    </w:rPr>
                  </w:pPr>
                  <w:r>
                    <w:rPr>
                      <w:rFonts w:hint="eastAsia"/>
                      <w:b/>
                      <w:bCs/>
                    </w:rPr>
                    <w:t>规模</w:t>
                  </w:r>
                </w:p>
              </w:tc>
              <w:tc>
                <w:tcPr>
                  <w:tcW w:w="4145" w:type="dxa"/>
                  <w:vAlign w:val="center"/>
                </w:tcPr>
                <w:p w14:paraId="0D39106D">
                  <w:pPr>
                    <w:pStyle w:val="31"/>
                    <w:rPr>
                      <w:b/>
                      <w:bCs/>
                    </w:rPr>
                  </w:pPr>
                  <w:r>
                    <w:rPr>
                      <w:rFonts w:hint="eastAsia"/>
                      <w:b/>
                      <w:bCs/>
                    </w:rPr>
                    <w:t>小型标准</w:t>
                  </w:r>
                </w:p>
              </w:tc>
            </w:tr>
            <w:tr w14:paraId="4465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145" w:type="dxa"/>
                  <w:vAlign w:val="center"/>
                </w:tcPr>
                <w:p w14:paraId="34E612B7">
                  <w:pPr>
                    <w:pStyle w:val="31"/>
                  </w:pPr>
                  <w:r>
                    <w:rPr>
                      <w:rFonts w:hint="eastAsia"/>
                    </w:rPr>
                    <w:t>基准灶头数</w:t>
                  </w:r>
                </w:p>
              </w:tc>
              <w:tc>
                <w:tcPr>
                  <w:tcW w:w="4145" w:type="dxa"/>
                  <w:vAlign w:val="center"/>
                </w:tcPr>
                <w:p w14:paraId="7968CBF8">
                  <w:pPr>
                    <w:pStyle w:val="31"/>
                    <w:rPr>
                      <w:rFonts w:eastAsia="微软雅黑"/>
                    </w:rPr>
                  </w:pPr>
                  <w:r>
                    <w:t>≥1</w:t>
                  </w:r>
                  <w:r>
                    <w:rPr>
                      <w:rFonts w:hint="eastAsia"/>
                    </w:rPr>
                    <w:t>，</w:t>
                  </w:r>
                  <w:r>
                    <w:rPr>
                      <w:rFonts w:eastAsia="微软雅黑"/>
                    </w:rPr>
                    <w:t>&lt;3</w:t>
                  </w:r>
                </w:p>
              </w:tc>
            </w:tr>
            <w:tr w14:paraId="4D86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145" w:type="dxa"/>
                  <w:vAlign w:val="center"/>
                </w:tcPr>
                <w:p w14:paraId="1626A99A">
                  <w:pPr>
                    <w:pStyle w:val="31"/>
                  </w:pPr>
                  <w:r>
                    <w:rPr>
                      <w:rFonts w:hint="eastAsia"/>
                    </w:rPr>
                    <w:t>最高允许排放浓度（mg/m</w:t>
                  </w:r>
                  <w:r>
                    <w:rPr>
                      <w:rFonts w:hint="eastAsia"/>
                      <w:vertAlign w:val="superscript"/>
                    </w:rPr>
                    <w:t>3</w:t>
                  </w:r>
                  <w:r>
                    <w:rPr>
                      <w:rFonts w:hint="eastAsia"/>
                    </w:rPr>
                    <w:t>）</w:t>
                  </w:r>
                </w:p>
              </w:tc>
              <w:tc>
                <w:tcPr>
                  <w:tcW w:w="4145" w:type="dxa"/>
                  <w:vAlign w:val="center"/>
                </w:tcPr>
                <w:p w14:paraId="64453170">
                  <w:pPr>
                    <w:pStyle w:val="31"/>
                  </w:pPr>
                  <w:r>
                    <w:t>2.0</w:t>
                  </w:r>
                </w:p>
              </w:tc>
            </w:tr>
            <w:tr w14:paraId="7145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145" w:type="dxa"/>
                  <w:vAlign w:val="center"/>
                </w:tcPr>
                <w:p w14:paraId="3EF1E058">
                  <w:pPr>
                    <w:pStyle w:val="31"/>
                  </w:pPr>
                  <w:r>
                    <w:rPr>
                      <w:rFonts w:hint="eastAsia"/>
                    </w:rPr>
                    <w:t>净化设施最低去除率（%）</w:t>
                  </w:r>
                </w:p>
              </w:tc>
              <w:tc>
                <w:tcPr>
                  <w:tcW w:w="4145" w:type="dxa"/>
                  <w:vAlign w:val="center"/>
                </w:tcPr>
                <w:p w14:paraId="6038774B">
                  <w:pPr>
                    <w:pStyle w:val="31"/>
                  </w:pPr>
                  <w:r>
                    <w:t>60</w:t>
                  </w:r>
                </w:p>
              </w:tc>
            </w:tr>
          </w:tbl>
          <w:p w14:paraId="0E30E7B9">
            <w:pPr>
              <w:widowControl/>
              <w:rPr>
                <w:color w:val="000000" w:themeColor="text1"/>
                <w:kern w:val="0"/>
                <w:sz w:val="24"/>
                <w:lang w:bidi="ar"/>
                <w14:textFill>
                  <w14:solidFill>
                    <w14:schemeClr w14:val="tx1"/>
                  </w14:solidFill>
                </w14:textFill>
              </w:rPr>
            </w:pPr>
          </w:p>
          <w:p w14:paraId="05366938">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2、废水</w:t>
            </w:r>
          </w:p>
          <w:p w14:paraId="136F47FD">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（1）施工期</w:t>
            </w:r>
          </w:p>
          <w:p w14:paraId="2F2962B1">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项目施工期，生产废水收集沉淀后用于洒水降尘，不外排。生活污水依托厂区现有生产废水处理站处理达标后用于厂区绿化、洒水降尘，不外排。</w:t>
            </w:r>
          </w:p>
          <w:p w14:paraId="61BBF977">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（2）运营期</w:t>
            </w:r>
          </w:p>
          <w:p w14:paraId="035E29EB">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项目运营期，生产废水依托厂区现有生产废水处理站处理达《城市污水再生利用 城市杂用水水质》（GB/T 18920-2020）后用于厂区绿化、洒水降尘，不外排。</w:t>
            </w:r>
          </w:p>
          <w:p w14:paraId="4E7ACE1F">
            <w:pPr>
              <w:pStyle w:val="36"/>
              <w:ind w:firstLine="480"/>
              <w:rPr>
                <w:rStyle w:val="28"/>
                <w:spacing w:val="0"/>
                <w:sz w:val="24"/>
                <w:lang w:eastAsia="zh-CN"/>
              </w:rPr>
            </w:pPr>
            <w:r>
              <w:rPr>
                <w:rFonts w:hint="eastAsia"/>
                <w:spacing w:val="0"/>
                <w:lang w:eastAsia="zh-CN"/>
              </w:rPr>
              <w:t>生活污水经现有隔油池、化粪池预处理达</w:t>
            </w:r>
            <w:r>
              <w:rPr>
                <w:rFonts w:hint="eastAsia"/>
                <w:spacing w:val="0"/>
                <w:kern w:val="0"/>
                <w:lang w:eastAsia="zh-CN" w:bidi="ar"/>
              </w:rPr>
              <w:t>《污水排入城镇下水道水质标准》（GB/T 31962-2015）表1 B级标准</w:t>
            </w:r>
            <w:r>
              <w:rPr>
                <w:rFonts w:hint="eastAsia"/>
                <w:spacing w:val="0"/>
                <w:lang w:eastAsia="zh-CN"/>
              </w:rPr>
              <w:t>后接入市政污水管网，最终进入</w:t>
            </w:r>
            <w:r>
              <w:rPr>
                <w:rFonts w:hint="eastAsia"/>
                <w:spacing w:val="0"/>
                <w:kern w:val="0"/>
                <w:lang w:eastAsia="zh-CN" w:bidi="ar"/>
              </w:rPr>
              <w:t>羊街镇污水处理站处理。</w:t>
            </w:r>
          </w:p>
          <w:p w14:paraId="58426C7A">
            <w:pPr>
              <w:pStyle w:val="29"/>
              <w:outlineLvl w:val="9"/>
              <w:rPr>
                <w:rFonts w:hint="default"/>
              </w:rPr>
            </w:pPr>
            <w:r>
              <w:t xml:space="preserve">表3-7 </w:t>
            </w:r>
            <w:r>
              <w:rPr>
                <w:color w:val="000000" w:themeColor="text1"/>
                <w14:textFill>
                  <w14:solidFill>
                    <w14:schemeClr w14:val="tx1"/>
                  </w14:solidFill>
                </w14:textFill>
              </w:rPr>
              <w:t>城市污水再生利用 城市杂用水水质</w:t>
            </w:r>
          </w:p>
          <w:tbl>
            <w:tblPr>
              <w:tblStyle w:val="22"/>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7"/>
              <w:gridCol w:w="2489"/>
              <w:gridCol w:w="2764"/>
            </w:tblGrid>
            <w:tr w14:paraId="12FF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07486FC5">
                  <w:pPr>
                    <w:pStyle w:val="31"/>
                    <w:rPr>
                      <w:b/>
                      <w:bCs/>
                    </w:rPr>
                  </w:pPr>
                  <w:r>
                    <w:rPr>
                      <w:rFonts w:hint="eastAsia"/>
                      <w:b/>
                      <w:bCs/>
                    </w:rPr>
                    <w:t>污染物</w:t>
                  </w:r>
                </w:p>
              </w:tc>
              <w:tc>
                <w:tcPr>
                  <w:tcW w:w="1501" w:type="pct"/>
                  <w:vAlign w:val="center"/>
                </w:tcPr>
                <w:p w14:paraId="00F49E2E">
                  <w:pPr>
                    <w:pStyle w:val="31"/>
                    <w:rPr>
                      <w:b/>
                      <w:bCs/>
                    </w:rPr>
                  </w:pPr>
                  <w:r>
                    <w:rPr>
                      <w:rFonts w:hint="eastAsia"/>
                      <w:b/>
                      <w:bCs/>
                    </w:rPr>
                    <w:t>单位</w:t>
                  </w:r>
                </w:p>
              </w:tc>
              <w:tc>
                <w:tcPr>
                  <w:tcW w:w="1667" w:type="pct"/>
                  <w:vAlign w:val="center"/>
                </w:tcPr>
                <w:p w14:paraId="4364F45F">
                  <w:pPr>
                    <w:pStyle w:val="31"/>
                    <w:rPr>
                      <w:b/>
                      <w:bCs/>
                    </w:rPr>
                  </w:pPr>
                  <w:r>
                    <w:rPr>
                      <w:rFonts w:hint="eastAsia"/>
                      <w:b/>
                      <w:bCs/>
                    </w:rPr>
                    <w:t>城市绿化、道路洒水标准</w:t>
                  </w:r>
                </w:p>
              </w:tc>
            </w:tr>
            <w:tr w14:paraId="4D73F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77916C58">
                  <w:pPr>
                    <w:pStyle w:val="31"/>
                  </w:pPr>
                  <w:r>
                    <w:rPr>
                      <w:rFonts w:hint="eastAsia"/>
                    </w:rPr>
                    <w:t>pH</w:t>
                  </w:r>
                </w:p>
              </w:tc>
              <w:tc>
                <w:tcPr>
                  <w:tcW w:w="1501" w:type="pct"/>
                  <w:vAlign w:val="center"/>
                </w:tcPr>
                <w:p w14:paraId="20F67431">
                  <w:pPr>
                    <w:pStyle w:val="31"/>
                  </w:pPr>
                  <w:r>
                    <w:rPr>
                      <w:rFonts w:hint="eastAsia"/>
                    </w:rPr>
                    <w:t>无量纲</w:t>
                  </w:r>
                </w:p>
              </w:tc>
              <w:tc>
                <w:tcPr>
                  <w:tcW w:w="1667" w:type="pct"/>
                  <w:vAlign w:val="center"/>
                </w:tcPr>
                <w:p w14:paraId="29D437F8">
                  <w:pPr>
                    <w:pStyle w:val="31"/>
                  </w:pPr>
                  <w:r>
                    <w:rPr>
                      <w:rFonts w:hint="eastAsia"/>
                    </w:rPr>
                    <w:t>6-9</w:t>
                  </w:r>
                </w:p>
              </w:tc>
            </w:tr>
            <w:tr w14:paraId="611C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753611EF">
                  <w:pPr>
                    <w:pStyle w:val="31"/>
                  </w:pPr>
                  <w:r>
                    <w:rPr>
                      <w:rFonts w:hint="eastAsia"/>
                    </w:rPr>
                    <w:t>BOD</w:t>
                  </w:r>
                  <w:r>
                    <w:rPr>
                      <w:rFonts w:hint="eastAsia"/>
                      <w:vertAlign w:val="subscript"/>
                    </w:rPr>
                    <w:t>5</w:t>
                  </w:r>
                </w:p>
              </w:tc>
              <w:tc>
                <w:tcPr>
                  <w:tcW w:w="1501" w:type="pct"/>
                  <w:vAlign w:val="center"/>
                </w:tcPr>
                <w:p w14:paraId="365AF782">
                  <w:pPr>
                    <w:pStyle w:val="31"/>
                  </w:pPr>
                  <w:r>
                    <w:rPr>
                      <w:rFonts w:hint="eastAsia"/>
                    </w:rPr>
                    <w:t>mg/L</w:t>
                  </w:r>
                </w:p>
              </w:tc>
              <w:tc>
                <w:tcPr>
                  <w:tcW w:w="1667" w:type="pct"/>
                  <w:vAlign w:val="center"/>
                </w:tcPr>
                <w:p w14:paraId="5AD60F77">
                  <w:pPr>
                    <w:pStyle w:val="31"/>
                  </w:pPr>
                  <w:r>
                    <w:rPr>
                      <w:rFonts w:hint="eastAsia"/>
                    </w:rPr>
                    <w:t>10</w:t>
                  </w:r>
                </w:p>
              </w:tc>
            </w:tr>
            <w:tr w14:paraId="22B1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113F6819">
                  <w:pPr>
                    <w:pStyle w:val="31"/>
                  </w:pPr>
                  <w:r>
                    <w:rPr>
                      <w:rFonts w:hint="eastAsia"/>
                    </w:rPr>
                    <w:t>NH</w:t>
                  </w:r>
                  <w:r>
                    <w:rPr>
                      <w:rFonts w:hint="eastAsia"/>
                      <w:vertAlign w:val="subscript"/>
                    </w:rPr>
                    <w:t>3</w:t>
                  </w:r>
                  <w:r>
                    <w:rPr>
                      <w:rFonts w:hint="eastAsia"/>
                    </w:rPr>
                    <w:t>-N</w:t>
                  </w:r>
                </w:p>
              </w:tc>
              <w:tc>
                <w:tcPr>
                  <w:tcW w:w="1501" w:type="pct"/>
                  <w:vAlign w:val="center"/>
                </w:tcPr>
                <w:p w14:paraId="4889524F">
                  <w:pPr>
                    <w:pStyle w:val="31"/>
                  </w:pPr>
                  <w:r>
                    <w:rPr>
                      <w:rFonts w:hint="eastAsia"/>
                    </w:rPr>
                    <w:t>mg/L</w:t>
                  </w:r>
                </w:p>
              </w:tc>
              <w:tc>
                <w:tcPr>
                  <w:tcW w:w="1667" w:type="pct"/>
                  <w:vAlign w:val="center"/>
                </w:tcPr>
                <w:p w14:paraId="572788A0">
                  <w:pPr>
                    <w:pStyle w:val="31"/>
                  </w:pPr>
                  <w:r>
                    <w:rPr>
                      <w:rFonts w:hint="eastAsia"/>
                    </w:rPr>
                    <w:t>8</w:t>
                  </w:r>
                </w:p>
              </w:tc>
            </w:tr>
            <w:tr w14:paraId="09CAE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03F768AD">
                  <w:pPr>
                    <w:pStyle w:val="31"/>
                  </w:pPr>
                  <w:r>
                    <w:rPr>
                      <w:rFonts w:hint="eastAsia"/>
                    </w:rPr>
                    <w:t>阴离子表面活性剂</w:t>
                  </w:r>
                </w:p>
              </w:tc>
              <w:tc>
                <w:tcPr>
                  <w:tcW w:w="1501" w:type="pct"/>
                  <w:vAlign w:val="center"/>
                </w:tcPr>
                <w:p w14:paraId="4577566A">
                  <w:pPr>
                    <w:pStyle w:val="31"/>
                  </w:pPr>
                  <w:r>
                    <w:rPr>
                      <w:rFonts w:hint="eastAsia"/>
                    </w:rPr>
                    <w:t>mg/L</w:t>
                  </w:r>
                </w:p>
              </w:tc>
              <w:tc>
                <w:tcPr>
                  <w:tcW w:w="1667" w:type="pct"/>
                  <w:vAlign w:val="center"/>
                </w:tcPr>
                <w:p w14:paraId="0E3B08BD">
                  <w:pPr>
                    <w:pStyle w:val="31"/>
                  </w:pPr>
                  <w:r>
                    <w:rPr>
                      <w:rFonts w:hint="eastAsia"/>
                    </w:rPr>
                    <w:t>0.5</w:t>
                  </w:r>
                </w:p>
              </w:tc>
            </w:tr>
            <w:tr w14:paraId="67FF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472D3CC3">
                  <w:pPr>
                    <w:pStyle w:val="31"/>
                  </w:pPr>
                  <w:r>
                    <w:rPr>
                      <w:rFonts w:hint="eastAsia"/>
                    </w:rPr>
                    <w:t>溶解性总固体</w:t>
                  </w:r>
                </w:p>
              </w:tc>
              <w:tc>
                <w:tcPr>
                  <w:tcW w:w="1501" w:type="pct"/>
                  <w:vAlign w:val="center"/>
                </w:tcPr>
                <w:p w14:paraId="2D80CE45">
                  <w:pPr>
                    <w:pStyle w:val="31"/>
                  </w:pPr>
                  <w:r>
                    <w:rPr>
                      <w:rFonts w:hint="eastAsia"/>
                    </w:rPr>
                    <w:t>mg/L</w:t>
                  </w:r>
                </w:p>
              </w:tc>
              <w:tc>
                <w:tcPr>
                  <w:tcW w:w="1667" w:type="pct"/>
                  <w:vAlign w:val="center"/>
                </w:tcPr>
                <w:p w14:paraId="41760735">
                  <w:pPr>
                    <w:pStyle w:val="31"/>
                  </w:pPr>
                  <w:r>
                    <w:rPr>
                      <w:rFonts w:hint="eastAsia"/>
                    </w:rPr>
                    <w:t>2000</w:t>
                  </w:r>
                </w:p>
              </w:tc>
            </w:tr>
            <w:tr w14:paraId="5FFB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46CAE898">
                  <w:pPr>
                    <w:pStyle w:val="31"/>
                  </w:pPr>
                  <w:r>
                    <w:rPr>
                      <w:rFonts w:hint="eastAsia"/>
                    </w:rPr>
                    <w:t>DO</w:t>
                  </w:r>
                </w:p>
              </w:tc>
              <w:tc>
                <w:tcPr>
                  <w:tcW w:w="1501" w:type="pct"/>
                  <w:vAlign w:val="center"/>
                </w:tcPr>
                <w:p w14:paraId="7149DEF1">
                  <w:pPr>
                    <w:pStyle w:val="31"/>
                  </w:pPr>
                  <w:r>
                    <w:rPr>
                      <w:rFonts w:hint="eastAsia"/>
                    </w:rPr>
                    <w:t>mg/L</w:t>
                  </w:r>
                </w:p>
              </w:tc>
              <w:tc>
                <w:tcPr>
                  <w:tcW w:w="1667" w:type="pct"/>
                  <w:vAlign w:val="center"/>
                </w:tcPr>
                <w:p w14:paraId="39FAA795">
                  <w:pPr>
                    <w:pStyle w:val="31"/>
                  </w:pPr>
                  <w:r>
                    <w:rPr>
                      <w:rFonts w:hint="eastAsia"/>
                    </w:rPr>
                    <w:t>2.0</w:t>
                  </w:r>
                </w:p>
              </w:tc>
            </w:tr>
          </w:tbl>
          <w:p w14:paraId="70E17D3A">
            <w:pPr>
              <w:pStyle w:val="29"/>
              <w:outlineLvl w:val="9"/>
              <w:rPr>
                <w:rFonts w:hint="default"/>
              </w:rPr>
            </w:pPr>
            <w:r>
              <w:t>表3-8 污水排入城市下水道水质标准</w:t>
            </w:r>
          </w:p>
          <w:tbl>
            <w:tblPr>
              <w:tblStyle w:val="22"/>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7"/>
              <w:gridCol w:w="2489"/>
              <w:gridCol w:w="2764"/>
            </w:tblGrid>
            <w:tr w14:paraId="5EEA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158DFEED">
                  <w:pPr>
                    <w:pStyle w:val="31"/>
                    <w:rPr>
                      <w:b/>
                      <w:bCs/>
                    </w:rPr>
                  </w:pPr>
                  <w:r>
                    <w:rPr>
                      <w:rFonts w:hint="eastAsia"/>
                      <w:b/>
                      <w:bCs/>
                    </w:rPr>
                    <w:t>污染物</w:t>
                  </w:r>
                </w:p>
              </w:tc>
              <w:tc>
                <w:tcPr>
                  <w:tcW w:w="1501" w:type="pct"/>
                  <w:vAlign w:val="center"/>
                </w:tcPr>
                <w:p w14:paraId="03799076">
                  <w:pPr>
                    <w:pStyle w:val="31"/>
                    <w:rPr>
                      <w:b/>
                      <w:bCs/>
                    </w:rPr>
                  </w:pPr>
                  <w:r>
                    <w:rPr>
                      <w:rFonts w:hint="eastAsia"/>
                      <w:b/>
                      <w:bCs/>
                    </w:rPr>
                    <w:t>单位</w:t>
                  </w:r>
                </w:p>
              </w:tc>
              <w:tc>
                <w:tcPr>
                  <w:tcW w:w="1667" w:type="pct"/>
                  <w:vAlign w:val="center"/>
                </w:tcPr>
                <w:p w14:paraId="69A7A17B">
                  <w:pPr>
                    <w:pStyle w:val="31"/>
                    <w:rPr>
                      <w:b/>
                      <w:bCs/>
                    </w:rPr>
                  </w:pPr>
                  <w:r>
                    <w:rPr>
                      <w:rFonts w:hint="eastAsia"/>
                      <w:b/>
                      <w:bCs/>
                    </w:rPr>
                    <w:t>B级标准</w:t>
                  </w:r>
                </w:p>
              </w:tc>
            </w:tr>
            <w:tr w14:paraId="4286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74EF7A91">
                  <w:pPr>
                    <w:pStyle w:val="31"/>
                  </w:pPr>
                  <w:r>
                    <w:rPr>
                      <w:rFonts w:hint="eastAsia"/>
                    </w:rPr>
                    <w:t>pH</w:t>
                  </w:r>
                </w:p>
              </w:tc>
              <w:tc>
                <w:tcPr>
                  <w:tcW w:w="1501" w:type="pct"/>
                  <w:vAlign w:val="center"/>
                </w:tcPr>
                <w:p w14:paraId="223DF9B3">
                  <w:pPr>
                    <w:pStyle w:val="31"/>
                  </w:pPr>
                  <w:r>
                    <w:rPr>
                      <w:rFonts w:hint="eastAsia"/>
                    </w:rPr>
                    <w:t>无量纲</w:t>
                  </w:r>
                </w:p>
              </w:tc>
              <w:tc>
                <w:tcPr>
                  <w:tcW w:w="1667" w:type="pct"/>
                  <w:vAlign w:val="center"/>
                </w:tcPr>
                <w:p w14:paraId="3EA10698">
                  <w:pPr>
                    <w:pStyle w:val="31"/>
                  </w:pPr>
                  <w:r>
                    <w:rPr>
                      <w:rFonts w:hint="eastAsia"/>
                    </w:rPr>
                    <w:t>6.5-9.5</w:t>
                  </w:r>
                </w:p>
              </w:tc>
            </w:tr>
            <w:tr w14:paraId="1EE4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46DC79FA">
                  <w:pPr>
                    <w:pStyle w:val="31"/>
                  </w:pPr>
                  <w:r>
                    <w:rPr>
                      <w:rFonts w:hint="eastAsia"/>
                    </w:rPr>
                    <w:t>COD</w:t>
                  </w:r>
                </w:p>
              </w:tc>
              <w:tc>
                <w:tcPr>
                  <w:tcW w:w="1501" w:type="pct"/>
                  <w:vAlign w:val="center"/>
                </w:tcPr>
                <w:p w14:paraId="13404B22">
                  <w:pPr>
                    <w:pStyle w:val="31"/>
                  </w:pPr>
                  <w:r>
                    <w:rPr>
                      <w:rFonts w:hint="eastAsia"/>
                    </w:rPr>
                    <w:t>mg/L</w:t>
                  </w:r>
                </w:p>
              </w:tc>
              <w:tc>
                <w:tcPr>
                  <w:tcW w:w="1667" w:type="pct"/>
                  <w:vAlign w:val="center"/>
                </w:tcPr>
                <w:p w14:paraId="248F0CA1">
                  <w:pPr>
                    <w:pStyle w:val="31"/>
                  </w:pPr>
                  <w:r>
                    <w:rPr>
                      <w:rFonts w:hint="eastAsia"/>
                    </w:rPr>
                    <w:t>500</w:t>
                  </w:r>
                </w:p>
              </w:tc>
            </w:tr>
            <w:tr w14:paraId="3B6A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33E87EB4">
                  <w:pPr>
                    <w:pStyle w:val="31"/>
                  </w:pPr>
                  <w:r>
                    <w:rPr>
                      <w:rFonts w:hint="eastAsia"/>
                    </w:rPr>
                    <w:t>BOD</w:t>
                  </w:r>
                  <w:r>
                    <w:rPr>
                      <w:rFonts w:hint="eastAsia"/>
                      <w:vertAlign w:val="subscript"/>
                    </w:rPr>
                    <w:t>5</w:t>
                  </w:r>
                </w:p>
              </w:tc>
              <w:tc>
                <w:tcPr>
                  <w:tcW w:w="1501" w:type="pct"/>
                  <w:vAlign w:val="center"/>
                </w:tcPr>
                <w:p w14:paraId="7951969B">
                  <w:pPr>
                    <w:pStyle w:val="31"/>
                  </w:pPr>
                  <w:r>
                    <w:rPr>
                      <w:rFonts w:hint="eastAsia"/>
                    </w:rPr>
                    <w:t>mg/L</w:t>
                  </w:r>
                </w:p>
              </w:tc>
              <w:tc>
                <w:tcPr>
                  <w:tcW w:w="1667" w:type="pct"/>
                  <w:vAlign w:val="center"/>
                </w:tcPr>
                <w:p w14:paraId="4A0BA2A2">
                  <w:pPr>
                    <w:pStyle w:val="31"/>
                  </w:pPr>
                  <w:r>
                    <w:rPr>
                      <w:rFonts w:hint="eastAsia"/>
                    </w:rPr>
                    <w:t>350</w:t>
                  </w:r>
                </w:p>
              </w:tc>
            </w:tr>
            <w:tr w14:paraId="23BC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10B03A88">
                  <w:pPr>
                    <w:pStyle w:val="31"/>
                  </w:pPr>
                  <w:r>
                    <w:rPr>
                      <w:rFonts w:hint="eastAsia"/>
                    </w:rPr>
                    <w:t>TP</w:t>
                  </w:r>
                </w:p>
              </w:tc>
              <w:tc>
                <w:tcPr>
                  <w:tcW w:w="1501" w:type="pct"/>
                  <w:vAlign w:val="center"/>
                </w:tcPr>
                <w:p w14:paraId="53C21CD7">
                  <w:pPr>
                    <w:pStyle w:val="31"/>
                  </w:pPr>
                  <w:r>
                    <w:rPr>
                      <w:rFonts w:hint="eastAsia"/>
                    </w:rPr>
                    <w:t>mg/L</w:t>
                  </w:r>
                </w:p>
              </w:tc>
              <w:tc>
                <w:tcPr>
                  <w:tcW w:w="1667" w:type="pct"/>
                  <w:vAlign w:val="center"/>
                </w:tcPr>
                <w:p w14:paraId="58D94F1A">
                  <w:pPr>
                    <w:pStyle w:val="31"/>
                  </w:pPr>
                  <w:r>
                    <w:rPr>
                      <w:rFonts w:hint="eastAsia"/>
                    </w:rPr>
                    <w:t>8</w:t>
                  </w:r>
                </w:p>
              </w:tc>
            </w:tr>
            <w:tr w14:paraId="77ED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11AC92D9">
                  <w:pPr>
                    <w:pStyle w:val="31"/>
                  </w:pPr>
                  <w:r>
                    <w:rPr>
                      <w:rFonts w:hint="eastAsia"/>
                    </w:rPr>
                    <w:t>TN</w:t>
                  </w:r>
                </w:p>
              </w:tc>
              <w:tc>
                <w:tcPr>
                  <w:tcW w:w="1501" w:type="pct"/>
                  <w:vAlign w:val="center"/>
                </w:tcPr>
                <w:p w14:paraId="248A3FC3">
                  <w:pPr>
                    <w:pStyle w:val="31"/>
                  </w:pPr>
                  <w:r>
                    <w:rPr>
                      <w:rFonts w:hint="eastAsia"/>
                    </w:rPr>
                    <w:t>mg/L</w:t>
                  </w:r>
                </w:p>
              </w:tc>
              <w:tc>
                <w:tcPr>
                  <w:tcW w:w="1667" w:type="pct"/>
                  <w:vAlign w:val="center"/>
                </w:tcPr>
                <w:p w14:paraId="66BCE6C4">
                  <w:pPr>
                    <w:pStyle w:val="31"/>
                  </w:pPr>
                  <w:r>
                    <w:rPr>
                      <w:rFonts w:hint="eastAsia"/>
                    </w:rPr>
                    <w:t>70</w:t>
                  </w:r>
                </w:p>
              </w:tc>
            </w:tr>
            <w:tr w14:paraId="7E0C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7BA8983F">
                  <w:pPr>
                    <w:pStyle w:val="31"/>
                  </w:pPr>
                  <w:r>
                    <w:rPr>
                      <w:rFonts w:hint="eastAsia"/>
                    </w:rPr>
                    <w:t>NH</w:t>
                  </w:r>
                  <w:r>
                    <w:rPr>
                      <w:rFonts w:hint="eastAsia"/>
                      <w:vertAlign w:val="subscript"/>
                    </w:rPr>
                    <w:t>3</w:t>
                  </w:r>
                  <w:r>
                    <w:rPr>
                      <w:rFonts w:hint="eastAsia"/>
                    </w:rPr>
                    <w:t>-N</w:t>
                  </w:r>
                </w:p>
              </w:tc>
              <w:tc>
                <w:tcPr>
                  <w:tcW w:w="1501" w:type="pct"/>
                  <w:vAlign w:val="center"/>
                </w:tcPr>
                <w:p w14:paraId="0DE59FCD">
                  <w:pPr>
                    <w:pStyle w:val="31"/>
                  </w:pPr>
                  <w:r>
                    <w:rPr>
                      <w:rFonts w:hint="eastAsia"/>
                    </w:rPr>
                    <w:t>mg/L</w:t>
                  </w:r>
                </w:p>
              </w:tc>
              <w:tc>
                <w:tcPr>
                  <w:tcW w:w="1667" w:type="pct"/>
                  <w:vAlign w:val="center"/>
                </w:tcPr>
                <w:p w14:paraId="3D303924">
                  <w:pPr>
                    <w:pStyle w:val="31"/>
                  </w:pPr>
                  <w:r>
                    <w:rPr>
                      <w:rFonts w:hint="eastAsia"/>
                    </w:rPr>
                    <w:t>45</w:t>
                  </w:r>
                </w:p>
              </w:tc>
            </w:tr>
            <w:tr w14:paraId="6635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4F0811CC">
                  <w:pPr>
                    <w:pStyle w:val="31"/>
                  </w:pPr>
                  <w:r>
                    <w:rPr>
                      <w:rFonts w:hint="eastAsia"/>
                    </w:rPr>
                    <w:t>阴离子表面活性剂</w:t>
                  </w:r>
                </w:p>
              </w:tc>
              <w:tc>
                <w:tcPr>
                  <w:tcW w:w="1501" w:type="pct"/>
                  <w:vAlign w:val="center"/>
                </w:tcPr>
                <w:p w14:paraId="039F9A00">
                  <w:pPr>
                    <w:pStyle w:val="31"/>
                  </w:pPr>
                  <w:r>
                    <w:rPr>
                      <w:rFonts w:hint="eastAsia"/>
                    </w:rPr>
                    <w:t>mg/L</w:t>
                  </w:r>
                </w:p>
              </w:tc>
              <w:tc>
                <w:tcPr>
                  <w:tcW w:w="1667" w:type="pct"/>
                  <w:vAlign w:val="center"/>
                </w:tcPr>
                <w:p w14:paraId="1CE3B224">
                  <w:pPr>
                    <w:pStyle w:val="31"/>
                  </w:pPr>
                  <w:r>
                    <w:rPr>
                      <w:rFonts w:hint="eastAsia"/>
                    </w:rPr>
                    <w:t>20</w:t>
                  </w:r>
                </w:p>
              </w:tc>
            </w:tr>
            <w:tr w14:paraId="080F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3A3E7330">
                  <w:pPr>
                    <w:pStyle w:val="31"/>
                  </w:pPr>
                  <w:r>
                    <w:rPr>
                      <w:rFonts w:hint="eastAsia"/>
                    </w:rPr>
                    <w:t>溶解性总固体</w:t>
                  </w:r>
                </w:p>
              </w:tc>
              <w:tc>
                <w:tcPr>
                  <w:tcW w:w="1501" w:type="pct"/>
                  <w:vAlign w:val="center"/>
                </w:tcPr>
                <w:p w14:paraId="08D5B941">
                  <w:pPr>
                    <w:pStyle w:val="31"/>
                  </w:pPr>
                  <w:r>
                    <w:rPr>
                      <w:rFonts w:hint="eastAsia"/>
                    </w:rPr>
                    <w:t>mg/L</w:t>
                  </w:r>
                </w:p>
              </w:tc>
              <w:tc>
                <w:tcPr>
                  <w:tcW w:w="1667" w:type="pct"/>
                  <w:vAlign w:val="center"/>
                </w:tcPr>
                <w:p w14:paraId="0A30AAAA">
                  <w:pPr>
                    <w:pStyle w:val="31"/>
                  </w:pPr>
                  <w:r>
                    <w:rPr>
                      <w:rFonts w:hint="eastAsia"/>
                    </w:rPr>
                    <w:t>2000</w:t>
                  </w:r>
                </w:p>
              </w:tc>
            </w:tr>
            <w:tr w14:paraId="015E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832" w:type="pct"/>
                  <w:vAlign w:val="center"/>
                </w:tcPr>
                <w:p w14:paraId="65962B43">
                  <w:pPr>
                    <w:pStyle w:val="31"/>
                  </w:pPr>
                  <w:r>
                    <w:rPr>
                      <w:rFonts w:hint="eastAsia"/>
                    </w:rPr>
                    <w:t>动植物油</w:t>
                  </w:r>
                </w:p>
              </w:tc>
              <w:tc>
                <w:tcPr>
                  <w:tcW w:w="1501" w:type="pct"/>
                  <w:vAlign w:val="center"/>
                </w:tcPr>
                <w:p w14:paraId="4D068E6B">
                  <w:pPr>
                    <w:pStyle w:val="31"/>
                  </w:pPr>
                  <w:r>
                    <w:rPr>
                      <w:rFonts w:hint="eastAsia"/>
                    </w:rPr>
                    <w:t>mg/L</w:t>
                  </w:r>
                </w:p>
              </w:tc>
              <w:tc>
                <w:tcPr>
                  <w:tcW w:w="1667" w:type="pct"/>
                  <w:vAlign w:val="center"/>
                </w:tcPr>
                <w:p w14:paraId="0F9279FD">
                  <w:pPr>
                    <w:pStyle w:val="31"/>
                  </w:pPr>
                  <w:r>
                    <w:rPr>
                      <w:rFonts w:hint="eastAsia"/>
                    </w:rPr>
                    <w:t>100</w:t>
                  </w:r>
                </w:p>
              </w:tc>
            </w:tr>
          </w:tbl>
          <w:p w14:paraId="236AB9EA">
            <w:pPr>
              <w:widowControl/>
              <w:rPr>
                <w:color w:val="000000" w:themeColor="text1"/>
                <w:kern w:val="0"/>
                <w:sz w:val="24"/>
                <w:lang w:bidi="ar"/>
                <w14:textFill>
                  <w14:solidFill>
                    <w14:schemeClr w14:val="tx1"/>
                  </w14:solidFill>
                </w14:textFill>
              </w:rPr>
            </w:pPr>
          </w:p>
          <w:p w14:paraId="506B1A9A">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3、噪声</w:t>
            </w:r>
          </w:p>
          <w:p w14:paraId="37E86E0F">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（1）施工期</w:t>
            </w:r>
          </w:p>
          <w:p w14:paraId="6AD30B04">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项目施工期执行《建筑施工场界环境噪声排放标准》（GB12523-2025）。</w:t>
            </w:r>
          </w:p>
          <w:p w14:paraId="3D5A82ED">
            <w:pPr>
              <w:pStyle w:val="29"/>
              <w:outlineLvl w:val="9"/>
              <w:rPr>
                <w:rFonts w:hint="default"/>
              </w:rPr>
            </w:pPr>
            <w:r>
              <w:t>表3-9 建筑施工场界环境噪声排放标准</w:t>
            </w:r>
          </w:p>
          <w:tbl>
            <w:tblPr>
              <w:tblStyle w:val="22"/>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5"/>
              <w:gridCol w:w="4145"/>
            </w:tblGrid>
            <w:tr w14:paraId="3481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145" w:type="dxa"/>
                  <w:vAlign w:val="center"/>
                </w:tcPr>
                <w:p w14:paraId="545D9C48">
                  <w:pPr>
                    <w:pStyle w:val="31"/>
                    <w:rPr>
                      <w:b/>
                      <w:bCs/>
                    </w:rPr>
                  </w:pPr>
                  <w:r>
                    <w:rPr>
                      <w:rFonts w:hint="eastAsia"/>
                      <w:b/>
                      <w:bCs/>
                    </w:rPr>
                    <w:t>昼间dB（A）</w:t>
                  </w:r>
                </w:p>
              </w:tc>
              <w:tc>
                <w:tcPr>
                  <w:tcW w:w="4145" w:type="dxa"/>
                  <w:vAlign w:val="center"/>
                </w:tcPr>
                <w:p w14:paraId="26415C5C">
                  <w:pPr>
                    <w:pStyle w:val="31"/>
                    <w:rPr>
                      <w:b/>
                      <w:bCs/>
                    </w:rPr>
                  </w:pPr>
                  <w:r>
                    <w:rPr>
                      <w:rFonts w:hint="eastAsia"/>
                      <w:b/>
                      <w:bCs/>
                    </w:rPr>
                    <w:t>夜间dB（A）</w:t>
                  </w:r>
                </w:p>
              </w:tc>
            </w:tr>
            <w:tr w14:paraId="4FE1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145" w:type="dxa"/>
                  <w:vAlign w:val="center"/>
                </w:tcPr>
                <w:p w14:paraId="54CEDF0C">
                  <w:pPr>
                    <w:pStyle w:val="31"/>
                  </w:pPr>
                  <w:r>
                    <w:rPr>
                      <w:rFonts w:hint="eastAsia"/>
                    </w:rPr>
                    <w:t>70</w:t>
                  </w:r>
                </w:p>
              </w:tc>
              <w:tc>
                <w:tcPr>
                  <w:tcW w:w="4145" w:type="dxa"/>
                  <w:vAlign w:val="center"/>
                </w:tcPr>
                <w:p w14:paraId="1F4FB50A">
                  <w:pPr>
                    <w:pStyle w:val="31"/>
                  </w:pPr>
                  <w:r>
                    <w:rPr>
                      <w:rFonts w:hint="eastAsia"/>
                    </w:rPr>
                    <w:t>55</w:t>
                  </w:r>
                </w:p>
              </w:tc>
            </w:tr>
          </w:tbl>
          <w:p w14:paraId="06CD67A5">
            <w:pPr>
              <w:pStyle w:val="36"/>
              <w:spacing w:line="240" w:lineRule="auto"/>
              <w:ind w:firstLine="0" w:firstLineChars="0"/>
              <w:rPr>
                <w:color w:val="000000" w:themeColor="text1"/>
                <w:spacing w:val="0"/>
                <w:lang w:eastAsia="zh-CN"/>
                <w14:textFill>
                  <w14:solidFill>
                    <w14:schemeClr w14:val="tx1"/>
                  </w14:solidFill>
                </w14:textFill>
              </w:rPr>
            </w:pPr>
          </w:p>
          <w:p w14:paraId="110DE1A3">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（2）运营期</w:t>
            </w:r>
          </w:p>
          <w:p w14:paraId="5C95E2A2">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项目运营期执行《工业企业厂界环境噪声排放标准》（</w:t>
            </w:r>
            <w:r>
              <w:rPr>
                <w:color w:val="000000" w:themeColor="text1"/>
                <w:spacing w:val="0"/>
                <w:lang w:eastAsia="zh-CN"/>
                <w14:textFill>
                  <w14:solidFill>
                    <w14:schemeClr w14:val="tx1"/>
                  </w14:solidFill>
                </w14:textFill>
              </w:rPr>
              <w:t>GB12348-2008</w:t>
            </w:r>
            <w:r>
              <w:rPr>
                <w:rFonts w:hint="eastAsia"/>
                <w:color w:val="000000" w:themeColor="text1"/>
                <w:spacing w:val="0"/>
                <w:lang w:eastAsia="zh-CN"/>
                <w14:textFill>
                  <w14:solidFill>
                    <w14:schemeClr w14:val="tx1"/>
                  </w14:solidFill>
                </w14:textFill>
              </w:rPr>
              <w:t>）</w:t>
            </w:r>
            <w:r>
              <w:rPr>
                <w:color w:val="000000" w:themeColor="text1"/>
                <w:spacing w:val="0"/>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类标准。</w:t>
            </w:r>
          </w:p>
          <w:p w14:paraId="7D24586F">
            <w:pPr>
              <w:pStyle w:val="29"/>
              <w:outlineLvl w:val="9"/>
              <w:rPr>
                <w:rFonts w:hint="default"/>
              </w:rPr>
            </w:pPr>
            <w:r>
              <w:t xml:space="preserve">表3-10 </w:t>
            </w:r>
            <w:r>
              <w:rPr>
                <w:color w:val="000000" w:themeColor="text1"/>
                <w14:textFill>
                  <w14:solidFill>
                    <w14:schemeClr w14:val="tx1"/>
                  </w14:solidFill>
                </w14:textFill>
              </w:rPr>
              <w:t>工业企业厂界环境噪声排放标准</w:t>
            </w:r>
          </w:p>
          <w:tbl>
            <w:tblPr>
              <w:tblStyle w:val="22"/>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2763"/>
              <w:gridCol w:w="2764"/>
            </w:tblGrid>
            <w:tr w14:paraId="5ADC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763" w:type="dxa"/>
                  <w:vAlign w:val="center"/>
                </w:tcPr>
                <w:p w14:paraId="766196A1">
                  <w:pPr>
                    <w:pStyle w:val="31"/>
                    <w:rPr>
                      <w:b/>
                      <w:bCs/>
                    </w:rPr>
                  </w:pPr>
                  <w:r>
                    <w:rPr>
                      <w:rFonts w:hint="eastAsia"/>
                      <w:b/>
                      <w:bCs/>
                    </w:rPr>
                    <w:t>类别</w:t>
                  </w:r>
                </w:p>
              </w:tc>
              <w:tc>
                <w:tcPr>
                  <w:tcW w:w="2763" w:type="dxa"/>
                  <w:vAlign w:val="center"/>
                </w:tcPr>
                <w:p w14:paraId="18DC8584">
                  <w:pPr>
                    <w:pStyle w:val="31"/>
                    <w:rPr>
                      <w:b/>
                      <w:bCs/>
                    </w:rPr>
                  </w:pPr>
                  <w:r>
                    <w:rPr>
                      <w:rFonts w:hint="eastAsia"/>
                      <w:b/>
                      <w:bCs/>
                    </w:rPr>
                    <w:t>昼间dB（A）</w:t>
                  </w:r>
                </w:p>
              </w:tc>
              <w:tc>
                <w:tcPr>
                  <w:tcW w:w="2764" w:type="dxa"/>
                  <w:vAlign w:val="center"/>
                </w:tcPr>
                <w:p w14:paraId="5EFAE980">
                  <w:pPr>
                    <w:pStyle w:val="31"/>
                    <w:rPr>
                      <w:b/>
                      <w:bCs/>
                    </w:rPr>
                  </w:pPr>
                  <w:r>
                    <w:rPr>
                      <w:rFonts w:hint="eastAsia"/>
                      <w:b/>
                      <w:bCs/>
                    </w:rPr>
                    <w:t>夜间dB（A）</w:t>
                  </w:r>
                </w:p>
              </w:tc>
            </w:tr>
            <w:tr w14:paraId="156D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763" w:type="dxa"/>
                  <w:vAlign w:val="center"/>
                </w:tcPr>
                <w:p w14:paraId="6076C2D1">
                  <w:pPr>
                    <w:pStyle w:val="31"/>
                  </w:pPr>
                  <w:r>
                    <w:rPr>
                      <w:rFonts w:hint="eastAsia"/>
                    </w:rPr>
                    <w:t>2类</w:t>
                  </w:r>
                </w:p>
              </w:tc>
              <w:tc>
                <w:tcPr>
                  <w:tcW w:w="2763" w:type="dxa"/>
                  <w:vAlign w:val="center"/>
                </w:tcPr>
                <w:p w14:paraId="471CB86C">
                  <w:pPr>
                    <w:pStyle w:val="31"/>
                  </w:pPr>
                  <w:r>
                    <w:rPr>
                      <w:rFonts w:hint="eastAsia"/>
                    </w:rPr>
                    <w:t>60</w:t>
                  </w:r>
                </w:p>
              </w:tc>
              <w:tc>
                <w:tcPr>
                  <w:tcW w:w="2764" w:type="dxa"/>
                  <w:vAlign w:val="center"/>
                </w:tcPr>
                <w:p w14:paraId="33DBE1AD">
                  <w:pPr>
                    <w:pStyle w:val="31"/>
                  </w:pPr>
                  <w:r>
                    <w:rPr>
                      <w:rFonts w:hint="eastAsia"/>
                    </w:rPr>
                    <w:t>50</w:t>
                  </w:r>
                </w:p>
              </w:tc>
            </w:tr>
          </w:tbl>
          <w:p w14:paraId="21039AEB">
            <w:pPr>
              <w:widowControl/>
              <w:rPr>
                <w:color w:val="000000" w:themeColor="text1"/>
                <w:kern w:val="0"/>
                <w:sz w:val="24"/>
                <w:lang w:bidi="ar"/>
                <w14:textFill>
                  <w14:solidFill>
                    <w14:schemeClr w14:val="tx1"/>
                  </w14:solidFill>
                </w14:textFill>
              </w:rPr>
            </w:pPr>
          </w:p>
          <w:p w14:paraId="225AFA98">
            <w:pPr>
              <w:widowControl/>
              <w:spacing w:line="360" w:lineRule="auto"/>
              <w:jc w:val="left"/>
              <w:rPr>
                <w:b/>
                <w:bCs/>
                <w:color w:val="000000" w:themeColor="text1"/>
                <w:kern w:val="0"/>
                <w:sz w:val="28"/>
                <w:szCs w:val="28"/>
                <w:lang w:bidi="ar"/>
                <w14:textFill>
                  <w14:solidFill>
                    <w14:schemeClr w14:val="tx1"/>
                  </w14:solidFill>
                </w14:textFill>
              </w:rPr>
            </w:pPr>
            <w:r>
              <w:rPr>
                <w:b/>
                <w:bCs/>
                <w:color w:val="000000" w:themeColor="text1"/>
                <w:kern w:val="0"/>
                <w:sz w:val="28"/>
                <w:szCs w:val="28"/>
                <w:lang w:bidi="ar"/>
                <w14:textFill>
                  <w14:solidFill>
                    <w14:schemeClr w14:val="tx1"/>
                  </w14:solidFill>
                </w14:textFill>
              </w:rPr>
              <w:t>4</w:t>
            </w:r>
            <w:r>
              <w:rPr>
                <w:rFonts w:hint="eastAsia"/>
                <w:b/>
                <w:bCs/>
                <w:color w:val="000000" w:themeColor="text1"/>
                <w:kern w:val="0"/>
                <w:sz w:val="28"/>
                <w:szCs w:val="28"/>
                <w:lang w:bidi="ar"/>
                <w14:textFill>
                  <w14:solidFill>
                    <w14:schemeClr w14:val="tx1"/>
                  </w14:solidFill>
                </w14:textFill>
              </w:rPr>
              <w:t>、固</w:t>
            </w:r>
            <w:commentRangeStart w:id="1"/>
            <w:r>
              <w:rPr>
                <w:rFonts w:hint="eastAsia"/>
                <w:b/>
                <w:bCs/>
                <w:color w:val="000000" w:themeColor="text1"/>
                <w:kern w:val="0"/>
                <w:sz w:val="28"/>
                <w:szCs w:val="28"/>
                <w:lang w:bidi="ar"/>
                <w14:textFill>
                  <w14:solidFill>
                    <w14:schemeClr w14:val="tx1"/>
                  </w14:solidFill>
                </w14:textFill>
              </w:rPr>
              <w:t>体废物</w:t>
            </w:r>
          </w:p>
          <w:p w14:paraId="6A515ED8">
            <w:pPr>
              <w:pStyle w:val="36"/>
              <w:ind w:firstLine="480"/>
              <w:rPr>
                <w:b/>
                <w:bCs/>
                <w:color w:val="000000" w:themeColor="text1"/>
                <w:kern w:val="0"/>
                <w:szCs w:val="21"/>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项目危险废物执行《危险废物贮存污染控制标准》（</w:t>
            </w:r>
            <w:r>
              <w:rPr>
                <w:color w:val="000000" w:themeColor="text1"/>
                <w:spacing w:val="0"/>
                <w:lang w:eastAsia="zh-CN"/>
                <w14:textFill>
                  <w14:solidFill>
                    <w14:schemeClr w14:val="tx1"/>
                  </w14:solidFill>
                </w14:textFill>
              </w:rPr>
              <w:t>GB18597-2023</w:t>
            </w:r>
            <w:r>
              <w:rPr>
                <w:rFonts w:hint="eastAsia"/>
                <w:color w:val="000000" w:themeColor="text1"/>
                <w:spacing w:val="0"/>
                <w:lang w:eastAsia="zh-CN"/>
                <w14:textFill>
                  <w14:solidFill>
                    <w14:schemeClr w14:val="tx1"/>
                  </w14:solidFill>
                </w14:textFill>
              </w:rPr>
              <w:t>）。</w:t>
            </w:r>
            <w:commentRangeEnd w:id="1"/>
            <w:r>
              <w:rPr>
                <w:rStyle w:val="28"/>
                <w:b/>
                <w:bCs/>
                <w:color w:val="000000" w:themeColor="text1"/>
                <w:kern w:val="0"/>
                <w:sz w:val="24"/>
                <w:szCs w:val="21"/>
                <w:lang w:eastAsia="zh-CN"/>
                <w14:textFill>
                  <w14:solidFill>
                    <w14:schemeClr w14:val="tx1"/>
                  </w14:solidFill>
                </w14:textFill>
              </w:rPr>
              <w:commentReference w:id="1"/>
            </w:r>
          </w:p>
        </w:tc>
      </w:tr>
      <w:tr w14:paraId="6D2528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59" w:type="dxa"/>
            <w:vAlign w:val="center"/>
          </w:tcPr>
          <w:p w14:paraId="626BE859">
            <w:pPr>
              <w:adjustRightInd w:val="0"/>
              <w:snapToGrid w:val="0"/>
              <w:jc w:val="center"/>
              <w:rPr>
                <w:rFonts w:cs="宋体"/>
                <w:color w:val="000000" w:themeColor="text1"/>
                <w:kern w:val="0"/>
                <w:szCs w:val="21"/>
                <w14:textFill>
                  <w14:solidFill>
                    <w14:schemeClr w14:val="tx1"/>
                  </w14:solidFill>
                </w14:textFill>
              </w:rPr>
            </w:pPr>
            <w:r>
              <w:rPr>
                <w:rFonts w:hint="eastAsia" w:cs="宋体"/>
                <w:color w:val="000000" w:themeColor="text1"/>
                <w:kern w:val="0"/>
                <w:sz w:val="24"/>
                <w14:textFill>
                  <w14:solidFill>
                    <w14:schemeClr w14:val="tx1"/>
                  </w14:solidFill>
                </w14:textFill>
              </w:rPr>
              <w:t>总量控制指标</w:t>
            </w:r>
          </w:p>
        </w:tc>
        <w:tc>
          <w:tcPr>
            <w:tcW w:w="8403" w:type="dxa"/>
            <w:vAlign w:val="center"/>
          </w:tcPr>
          <w:p w14:paraId="60BD87C1">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根据原项目环评批复意见，结合排污许可管理要求，本次评价建议总量控制指标如下：</w:t>
            </w:r>
          </w:p>
          <w:p w14:paraId="620DE6C1">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1、废水</w:t>
            </w:r>
          </w:p>
          <w:p w14:paraId="4A5A6CAE">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项目运营期，生产废水依托厂区现有生产废水处理站处理达《城市污水再生利用 城市杂用水水质》（GB/T 18920-2020）后用于厂区绿化、洒水降尘，不外排。</w:t>
            </w:r>
          </w:p>
          <w:p w14:paraId="0A081EA3">
            <w:pPr>
              <w:pStyle w:val="36"/>
              <w:ind w:firstLine="480"/>
              <w:rPr>
                <w:rStyle w:val="28"/>
                <w:spacing w:val="0"/>
                <w:sz w:val="24"/>
                <w:lang w:eastAsia="zh-CN"/>
              </w:rPr>
            </w:pPr>
            <w:r>
              <w:rPr>
                <w:rFonts w:hint="eastAsia"/>
                <w:spacing w:val="0"/>
                <w:lang w:eastAsia="zh-CN"/>
              </w:rPr>
              <w:t>生活污水经现有隔油池、化粪池预处理达</w:t>
            </w:r>
            <w:r>
              <w:rPr>
                <w:rFonts w:hint="eastAsia"/>
                <w:spacing w:val="0"/>
                <w:kern w:val="0"/>
                <w:lang w:eastAsia="zh-CN" w:bidi="ar"/>
              </w:rPr>
              <w:t>《污水排入城镇下水道水质标准》（GB/T 31962-2015）表1 B级标准</w:t>
            </w:r>
            <w:r>
              <w:rPr>
                <w:rFonts w:hint="eastAsia"/>
                <w:spacing w:val="0"/>
                <w:lang w:eastAsia="zh-CN"/>
              </w:rPr>
              <w:t>后，接入市政污水管网，最终进入</w:t>
            </w:r>
            <w:r>
              <w:rPr>
                <w:rFonts w:hint="eastAsia"/>
                <w:spacing w:val="0"/>
                <w:kern w:val="0"/>
                <w:lang w:eastAsia="zh-CN" w:bidi="ar"/>
              </w:rPr>
              <w:t>羊街镇污水处理站处理。</w:t>
            </w:r>
          </w:p>
          <w:p w14:paraId="748C1B5E">
            <w:pPr>
              <w:pStyle w:val="36"/>
              <w:ind w:firstLine="480"/>
              <w:rPr>
                <w:color w:val="000000"/>
                <w:spacing w:val="0"/>
                <w:lang w:eastAsia="zh-CN"/>
              </w:rPr>
            </w:pPr>
            <w:r>
              <w:rPr>
                <w:rFonts w:hint="eastAsia"/>
                <w:spacing w:val="0"/>
                <w:lang w:eastAsia="zh-CN"/>
              </w:rPr>
              <w:t>根据云南省环</w:t>
            </w:r>
            <w:r>
              <w:rPr>
                <w:rFonts w:hint="eastAsia"/>
                <w:color w:val="000000"/>
                <w:spacing w:val="0"/>
                <w:lang w:eastAsia="zh-CN"/>
              </w:rPr>
              <w:t>保厅对原项目的环评批复意见（</w:t>
            </w:r>
            <w:r>
              <w:rPr>
                <w:color w:val="000000"/>
                <w:spacing w:val="0"/>
                <w:lang w:eastAsia="zh-CN"/>
              </w:rPr>
              <w:t>云环审</w:t>
            </w:r>
            <w:r>
              <w:rPr>
                <w:rFonts w:hint="eastAsia"/>
                <w:color w:val="000000"/>
                <w:spacing w:val="0"/>
                <w:lang w:eastAsia="zh-CN"/>
              </w:rPr>
              <w:t>〔2013〕254号），“项目位于牛栏江流域重点污染控制区，根据《云南省牛栏江保护条例》相关规定，项目生产废水不得外排。”</w:t>
            </w:r>
          </w:p>
          <w:p w14:paraId="3E02E247">
            <w:pPr>
              <w:pStyle w:val="36"/>
              <w:ind w:firstLine="480"/>
              <w:rPr>
                <w:color w:val="000000" w:themeColor="text1"/>
                <w:spacing w:val="0"/>
                <w:lang w:eastAsia="zh-CN"/>
                <w14:textFill>
                  <w14:solidFill>
                    <w14:schemeClr w14:val="tx1"/>
                  </w14:solidFill>
                </w14:textFill>
              </w:rPr>
            </w:pPr>
            <w:r>
              <w:rPr>
                <w:rFonts w:hint="eastAsia"/>
                <w:color w:val="000000"/>
                <w:spacing w:val="0"/>
                <w:lang w:eastAsia="zh-CN"/>
              </w:rPr>
              <w:t>因此，项目不设废水总量控制指标。</w:t>
            </w:r>
          </w:p>
          <w:p w14:paraId="0FAFA4D3">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2、废气</w:t>
            </w:r>
          </w:p>
          <w:p w14:paraId="6052DCC3">
            <w:pPr>
              <w:pStyle w:val="36"/>
              <w:adjustRightInd w:val="0"/>
              <w:snapToGrid w:val="0"/>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项目运营期，废气主要为无组织逸散的NH</w:t>
            </w:r>
            <w:r>
              <w:rPr>
                <w:rFonts w:hint="eastAsia"/>
                <w:color w:val="000000" w:themeColor="text1"/>
                <w:spacing w:val="0"/>
                <w:vertAlign w:val="sub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、H</w:t>
            </w:r>
            <w:r>
              <w:rPr>
                <w:rFonts w:hint="eastAsia"/>
                <w:color w:val="000000" w:themeColor="text1"/>
                <w:spacing w:val="0"/>
                <w:vertAlign w:val="subscript"/>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S、臭气浓度，不属于总量控制指标，故项目不设废气总量控制指标。</w:t>
            </w:r>
          </w:p>
          <w:p w14:paraId="65EC01D3">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3、固体废物</w:t>
            </w:r>
          </w:p>
          <w:p w14:paraId="2A0EE574">
            <w:pPr>
              <w:pStyle w:val="36"/>
              <w:adjustRightInd w:val="0"/>
              <w:snapToGrid w:val="0"/>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项目运营期，固体废物处理率为</w:t>
            </w:r>
            <w:r>
              <w:rPr>
                <w:color w:val="000000" w:themeColor="text1"/>
                <w:spacing w:val="0"/>
                <w:lang w:eastAsia="zh-CN"/>
                <w14:textFill>
                  <w14:solidFill>
                    <w14:schemeClr w14:val="tx1"/>
                  </w14:solidFill>
                </w14:textFill>
              </w:rPr>
              <w:t>100%</w:t>
            </w:r>
            <w:r>
              <w:rPr>
                <w:rFonts w:hint="eastAsia"/>
                <w:color w:val="000000" w:themeColor="text1"/>
                <w:spacing w:val="0"/>
                <w:lang w:eastAsia="zh-CN"/>
                <w14:textFill>
                  <w14:solidFill>
                    <w14:schemeClr w14:val="tx1"/>
                  </w14:solidFill>
                </w14:textFill>
              </w:rPr>
              <w:t>，故项目不设固体废物总量控制指标。</w:t>
            </w:r>
          </w:p>
          <w:p w14:paraId="188558E7">
            <w:pPr>
              <w:pStyle w:val="36"/>
              <w:adjustRightInd w:val="0"/>
              <w:snapToGrid w:val="0"/>
              <w:ind w:firstLine="0" w:firstLineChars="0"/>
              <w:rPr>
                <w:color w:val="000000" w:themeColor="text1"/>
                <w:lang w:eastAsia="zh-CN"/>
                <w14:textFill>
                  <w14:solidFill>
                    <w14:schemeClr w14:val="tx1"/>
                  </w14:solidFill>
                </w14:textFill>
              </w:rPr>
            </w:pPr>
          </w:p>
          <w:p w14:paraId="4EB04D84">
            <w:pPr>
              <w:pStyle w:val="36"/>
              <w:adjustRightInd w:val="0"/>
              <w:snapToGrid w:val="0"/>
              <w:ind w:firstLine="0" w:firstLineChars="0"/>
              <w:rPr>
                <w:color w:val="000000" w:themeColor="text1"/>
                <w:lang w:eastAsia="zh-CN"/>
                <w14:textFill>
                  <w14:solidFill>
                    <w14:schemeClr w14:val="tx1"/>
                  </w14:solidFill>
                </w14:textFill>
              </w:rPr>
            </w:pPr>
          </w:p>
          <w:p w14:paraId="5C9A9240">
            <w:pPr>
              <w:pStyle w:val="36"/>
              <w:adjustRightInd w:val="0"/>
              <w:snapToGrid w:val="0"/>
              <w:ind w:firstLine="0" w:firstLineChars="0"/>
              <w:rPr>
                <w:color w:val="000000" w:themeColor="text1"/>
                <w:lang w:eastAsia="zh-CN"/>
                <w14:textFill>
                  <w14:solidFill>
                    <w14:schemeClr w14:val="tx1"/>
                  </w14:solidFill>
                </w14:textFill>
              </w:rPr>
            </w:pPr>
          </w:p>
          <w:p w14:paraId="30E97E2A">
            <w:pPr>
              <w:pStyle w:val="36"/>
              <w:adjustRightInd w:val="0"/>
              <w:snapToGrid w:val="0"/>
              <w:ind w:firstLine="0" w:firstLineChars="0"/>
              <w:rPr>
                <w:color w:val="000000" w:themeColor="text1"/>
                <w:lang w:eastAsia="zh-CN"/>
                <w14:textFill>
                  <w14:solidFill>
                    <w14:schemeClr w14:val="tx1"/>
                  </w14:solidFill>
                </w14:textFill>
              </w:rPr>
            </w:pPr>
          </w:p>
          <w:p w14:paraId="4DA07392">
            <w:pPr>
              <w:pStyle w:val="36"/>
              <w:adjustRightInd w:val="0"/>
              <w:snapToGrid w:val="0"/>
              <w:ind w:firstLine="0" w:firstLineChars="0"/>
              <w:rPr>
                <w:color w:val="000000" w:themeColor="text1"/>
                <w:lang w:eastAsia="zh-CN"/>
                <w14:textFill>
                  <w14:solidFill>
                    <w14:schemeClr w14:val="tx1"/>
                  </w14:solidFill>
                </w14:textFill>
              </w:rPr>
            </w:pPr>
          </w:p>
          <w:p w14:paraId="533B070E">
            <w:pPr>
              <w:pStyle w:val="36"/>
              <w:adjustRightInd w:val="0"/>
              <w:snapToGrid w:val="0"/>
              <w:ind w:firstLine="0" w:firstLineChars="0"/>
              <w:rPr>
                <w:color w:val="000000" w:themeColor="text1"/>
                <w:lang w:eastAsia="zh-CN"/>
                <w14:textFill>
                  <w14:solidFill>
                    <w14:schemeClr w14:val="tx1"/>
                  </w14:solidFill>
                </w14:textFill>
              </w:rPr>
            </w:pPr>
          </w:p>
          <w:p w14:paraId="5112FBFB">
            <w:pPr>
              <w:pStyle w:val="36"/>
              <w:adjustRightInd w:val="0"/>
              <w:snapToGrid w:val="0"/>
              <w:ind w:firstLine="0" w:firstLineChars="0"/>
              <w:rPr>
                <w:color w:val="000000" w:themeColor="text1"/>
                <w:lang w:eastAsia="zh-CN"/>
                <w14:textFill>
                  <w14:solidFill>
                    <w14:schemeClr w14:val="tx1"/>
                  </w14:solidFill>
                </w14:textFill>
              </w:rPr>
            </w:pPr>
          </w:p>
          <w:p w14:paraId="6ACA1FC5">
            <w:pPr>
              <w:pStyle w:val="36"/>
              <w:adjustRightInd w:val="0"/>
              <w:snapToGrid w:val="0"/>
              <w:ind w:firstLine="0" w:firstLineChars="0"/>
              <w:rPr>
                <w:color w:val="000000" w:themeColor="text1"/>
                <w:lang w:eastAsia="zh-CN"/>
                <w14:textFill>
                  <w14:solidFill>
                    <w14:schemeClr w14:val="tx1"/>
                  </w14:solidFill>
                </w14:textFill>
              </w:rPr>
            </w:pPr>
          </w:p>
          <w:p w14:paraId="7B96E33E">
            <w:pPr>
              <w:pStyle w:val="36"/>
              <w:adjustRightInd w:val="0"/>
              <w:snapToGrid w:val="0"/>
              <w:ind w:firstLine="0" w:firstLineChars="0"/>
              <w:rPr>
                <w:color w:val="000000" w:themeColor="text1"/>
                <w:lang w:eastAsia="zh-CN"/>
                <w14:textFill>
                  <w14:solidFill>
                    <w14:schemeClr w14:val="tx1"/>
                  </w14:solidFill>
                </w14:textFill>
              </w:rPr>
            </w:pPr>
          </w:p>
          <w:p w14:paraId="0F215951">
            <w:pPr>
              <w:pStyle w:val="36"/>
              <w:adjustRightInd w:val="0"/>
              <w:snapToGrid w:val="0"/>
              <w:ind w:firstLine="0" w:firstLineChars="0"/>
              <w:rPr>
                <w:color w:val="000000" w:themeColor="text1"/>
                <w:lang w:eastAsia="zh-CN"/>
                <w14:textFill>
                  <w14:solidFill>
                    <w14:schemeClr w14:val="tx1"/>
                  </w14:solidFill>
                </w14:textFill>
              </w:rPr>
            </w:pPr>
          </w:p>
          <w:p w14:paraId="08F43912">
            <w:pPr>
              <w:pStyle w:val="36"/>
              <w:adjustRightInd w:val="0"/>
              <w:snapToGrid w:val="0"/>
              <w:ind w:firstLine="0" w:firstLineChars="0"/>
              <w:rPr>
                <w:color w:val="000000" w:themeColor="text1"/>
                <w:lang w:eastAsia="zh-CN"/>
                <w14:textFill>
                  <w14:solidFill>
                    <w14:schemeClr w14:val="tx1"/>
                  </w14:solidFill>
                </w14:textFill>
              </w:rPr>
            </w:pPr>
          </w:p>
          <w:p w14:paraId="13D62EB1">
            <w:pPr>
              <w:pStyle w:val="36"/>
              <w:adjustRightInd w:val="0"/>
              <w:snapToGrid w:val="0"/>
              <w:ind w:firstLine="0" w:firstLineChars="0"/>
              <w:rPr>
                <w:color w:val="000000" w:themeColor="text1"/>
                <w:lang w:eastAsia="zh-CN"/>
                <w14:textFill>
                  <w14:solidFill>
                    <w14:schemeClr w14:val="tx1"/>
                  </w14:solidFill>
                </w14:textFill>
              </w:rPr>
            </w:pPr>
          </w:p>
          <w:p w14:paraId="50651270">
            <w:pPr>
              <w:pStyle w:val="36"/>
              <w:adjustRightInd w:val="0"/>
              <w:snapToGrid w:val="0"/>
              <w:ind w:firstLine="0" w:firstLineChars="0"/>
              <w:rPr>
                <w:color w:val="000000" w:themeColor="text1"/>
                <w:lang w:eastAsia="zh-CN"/>
                <w14:textFill>
                  <w14:solidFill>
                    <w14:schemeClr w14:val="tx1"/>
                  </w14:solidFill>
                </w14:textFill>
              </w:rPr>
            </w:pPr>
          </w:p>
          <w:p w14:paraId="07E65996">
            <w:pPr>
              <w:pStyle w:val="36"/>
              <w:adjustRightInd w:val="0"/>
              <w:snapToGrid w:val="0"/>
              <w:ind w:firstLine="0" w:firstLineChars="0"/>
              <w:rPr>
                <w:color w:val="000000" w:themeColor="text1"/>
                <w:lang w:eastAsia="zh-CN"/>
                <w14:textFill>
                  <w14:solidFill>
                    <w14:schemeClr w14:val="tx1"/>
                  </w14:solidFill>
                </w14:textFill>
              </w:rPr>
            </w:pPr>
          </w:p>
          <w:p w14:paraId="0899CDBB">
            <w:pPr>
              <w:pStyle w:val="36"/>
              <w:adjustRightInd w:val="0"/>
              <w:snapToGrid w:val="0"/>
              <w:ind w:firstLine="0" w:firstLineChars="0"/>
              <w:rPr>
                <w:color w:val="000000" w:themeColor="text1"/>
                <w:lang w:eastAsia="zh-CN"/>
                <w14:textFill>
                  <w14:solidFill>
                    <w14:schemeClr w14:val="tx1"/>
                  </w14:solidFill>
                </w14:textFill>
              </w:rPr>
            </w:pPr>
          </w:p>
          <w:p w14:paraId="0F762274">
            <w:pPr>
              <w:pStyle w:val="36"/>
              <w:adjustRightInd w:val="0"/>
              <w:snapToGrid w:val="0"/>
              <w:ind w:firstLine="0" w:firstLineChars="0"/>
              <w:rPr>
                <w:color w:val="000000" w:themeColor="text1"/>
                <w:lang w:eastAsia="zh-CN"/>
                <w14:textFill>
                  <w14:solidFill>
                    <w14:schemeClr w14:val="tx1"/>
                  </w14:solidFill>
                </w14:textFill>
              </w:rPr>
            </w:pPr>
          </w:p>
          <w:p w14:paraId="34EA8476">
            <w:pPr>
              <w:pStyle w:val="36"/>
              <w:adjustRightInd w:val="0"/>
              <w:snapToGrid w:val="0"/>
              <w:ind w:firstLine="0" w:firstLineChars="0"/>
              <w:rPr>
                <w:color w:val="000000" w:themeColor="text1"/>
                <w:lang w:eastAsia="zh-CN"/>
                <w14:textFill>
                  <w14:solidFill>
                    <w14:schemeClr w14:val="tx1"/>
                  </w14:solidFill>
                </w14:textFill>
              </w:rPr>
            </w:pPr>
          </w:p>
          <w:p w14:paraId="2B9C639A">
            <w:pPr>
              <w:pStyle w:val="36"/>
              <w:adjustRightInd w:val="0"/>
              <w:snapToGrid w:val="0"/>
              <w:ind w:firstLine="0" w:firstLineChars="0"/>
              <w:rPr>
                <w:color w:val="000000" w:themeColor="text1"/>
                <w:lang w:eastAsia="zh-CN"/>
                <w14:textFill>
                  <w14:solidFill>
                    <w14:schemeClr w14:val="tx1"/>
                  </w14:solidFill>
                </w14:textFill>
              </w:rPr>
            </w:pPr>
          </w:p>
          <w:p w14:paraId="29A5D666">
            <w:pPr>
              <w:pStyle w:val="36"/>
              <w:adjustRightInd w:val="0"/>
              <w:snapToGrid w:val="0"/>
              <w:ind w:firstLine="0" w:firstLineChars="0"/>
              <w:rPr>
                <w:color w:val="000000" w:themeColor="text1"/>
                <w:lang w:eastAsia="zh-CN"/>
                <w14:textFill>
                  <w14:solidFill>
                    <w14:schemeClr w14:val="tx1"/>
                  </w14:solidFill>
                </w14:textFill>
              </w:rPr>
            </w:pPr>
          </w:p>
          <w:p w14:paraId="5A1EDD85">
            <w:pPr>
              <w:pStyle w:val="36"/>
              <w:adjustRightInd w:val="0"/>
              <w:snapToGrid w:val="0"/>
              <w:ind w:firstLine="0" w:firstLineChars="0"/>
              <w:rPr>
                <w:color w:val="000000" w:themeColor="text1"/>
                <w:kern w:val="0"/>
                <w:szCs w:val="21"/>
                <w:lang w:eastAsia="zh-CN"/>
                <w14:textFill>
                  <w14:solidFill>
                    <w14:schemeClr w14:val="tx1"/>
                  </w14:solidFill>
                </w14:textFill>
              </w:rPr>
            </w:pPr>
          </w:p>
        </w:tc>
      </w:tr>
    </w:tbl>
    <w:p w14:paraId="5D1789A4">
      <w:pPr>
        <w:pStyle w:val="18"/>
        <w:spacing w:before="0" w:beforeAutospacing="0" w:after="0" w:afterAutospacing="0"/>
        <w:jc w:val="center"/>
        <w:outlineLvl w:val="0"/>
        <w:rPr>
          <w:rFonts w:ascii="Times New Roman" w:hAnsi="Times New Roman"/>
          <w:snapToGrid w:val="0"/>
          <w:color w:val="000000" w:themeColor="text1"/>
          <w:sz w:val="36"/>
          <w:szCs w:val="36"/>
          <w14:textFill>
            <w14:solidFill>
              <w14:schemeClr w14:val="tx1"/>
            </w14:solidFill>
          </w14:textFill>
        </w:rPr>
      </w:pPr>
      <w:r>
        <w:rPr>
          <w:rFonts w:ascii="Times New Roman" w:hAnsi="Times New Roman"/>
          <w:snapToGrid w:val="0"/>
          <w:color w:val="000000" w:themeColor="text1"/>
          <w:sz w:val="36"/>
          <w:szCs w:val="36"/>
          <w14:textFill>
            <w14:solidFill>
              <w14:schemeClr w14:val="tx1"/>
            </w14:solidFill>
          </w14:textFill>
        </w:rPr>
        <w:br w:type="page"/>
      </w:r>
      <w:bookmarkStart w:id="17" w:name="_Toc218862108"/>
      <w:r>
        <w:rPr>
          <w:rFonts w:hint="eastAsia" w:ascii="Times New Roman" w:hAnsi="Times New Roman"/>
          <w:snapToGrid w:val="0"/>
          <w:color w:val="000000" w:themeColor="text1"/>
          <w:sz w:val="36"/>
          <w:szCs w:val="36"/>
          <w14:textFill>
            <w14:solidFill>
              <w14:schemeClr w14:val="tx1"/>
            </w14:solidFill>
          </w14:textFill>
        </w:rPr>
        <w:t>四、主要环境影响和保护措施</w:t>
      </w:r>
      <w:bookmarkEnd w:id="16"/>
      <w:bookmarkEnd w:id="17"/>
    </w:p>
    <w:tbl>
      <w:tblPr>
        <w:tblStyle w:val="22"/>
        <w:tblW w:w="88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2"/>
        <w:gridCol w:w="8361"/>
      </w:tblGrid>
      <w:tr w14:paraId="5B330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442" w:type="dxa"/>
            <w:tcMar>
              <w:left w:w="28" w:type="dxa"/>
              <w:right w:w="28" w:type="dxa"/>
            </w:tcMar>
            <w:vAlign w:val="center"/>
          </w:tcPr>
          <w:p w14:paraId="6B0839FC">
            <w:pPr>
              <w:pStyle w:val="18"/>
              <w:adjustRightInd w:val="0"/>
              <w:snapToGrid w:val="0"/>
              <w:spacing w:before="0" w:beforeAutospacing="0" w:after="0" w:afterAutospacing="0"/>
              <w:jc w:val="center"/>
              <w:rPr>
                <w:rFonts w:ascii="Times New Roman" w:hAnsi="Times New Roman" w:cs="宋体"/>
                <w:bCs/>
                <w:color w:val="000000" w:themeColor="text1"/>
                <w:kern w:val="2"/>
                <w:szCs w:val="24"/>
                <w14:textFill>
                  <w14:solidFill>
                    <w14:schemeClr w14:val="tx1"/>
                  </w14:solidFill>
                </w14:textFill>
              </w:rPr>
            </w:pPr>
            <w:r>
              <w:rPr>
                <w:rFonts w:hint="eastAsia" w:ascii="Times New Roman" w:hAnsi="Times New Roman" w:cs="宋体"/>
                <w:color w:val="000000" w:themeColor="text1"/>
                <w:kern w:val="2"/>
                <w:szCs w:val="24"/>
                <w14:textFill>
                  <w14:solidFill>
                    <w14:schemeClr w14:val="tx1"/>
                  </w14:solidFill>
                </w14:textFill>
              </w:rPr>
              <w:t>施工期环境保护措施</w:t>
            </w:r>
          </w:p>
        </w:tc>
        <w:tc>
          <w:tcPr>
            <w:tcW w:w="8361" w:type="dxa"/>
            <w:vAlign w:val="center"/>
          </w:tcPr>
          <w:p w14:paraId="633DBABF">
            <w:pPr>
              <w:pStyle w:val="36"/>
              <w:ind w:firstLine="480"/>
              <w:rPr>
                <w:color w:val="000000" w:themeColor="text1"/>
                <w:spacing w:val="0"/>
                <w:lang w:eastAsia="zh-CN"/>
                <w14:textFill>
                  <w14:solidFill>
                    <w14:schemeClr w14:val="tx1"/>
                  </w14:solidFill>
                </w14:textFill>
              </w:rPr>
            </w:pPr>
            <w:r>
              <w:rPr>
                <w:rFonts w:hint="eastAsia"/>
                <w:color w:val="000000" w:themeColor="text1"/>
                <w:spacing w:val="0"/>
                <w:kern w:val="0"/>
                <w:lang w:eastAsia="zh-CN" w:bidi="ar"/>
                <w14:textFill>
                  <w14:solidFill>
                    <w14:schemeClr w14:val="tx1"/>
                  </w14:solidFill>
                </w14:textFill>
              </w:rPr>
              <w:t>项目位于</w:t>
            </w:r>
            <w:r>
              <w:rPr>
                <w:rFonts w:hint="eastAsia"/>
                <w:color w:val="000000" w:themeColor="text1"/>
                <w:spacing w:val="0"/>
                <w:lang w:eastAsia="zh-CN"/>
                <w14:textFill>
                  <w14:solidFill>
                    <w14:schemeClr w14:val="tx1"/>
                  </w14:solidFill>
                </w14:textFill>
              </w:rPr>
              <w:t>原</w:t>
            </w:r>
            <w:r>
              <w:rPr>
                <w:rFonts w:cs="Times New Roman"/>
                <w:spacing w:val="0"/>
                <w:lang w:eastAsia="zh-CN"/>
              </w:rPr>
              <w:t>听牧肉牛屠宰及优质</w:t>
            </w:r>
            <w:r>
              <w:rPr>
                <w:rFonts w:hint="eastAsia" w:cs="Times New Roman"/>
                <w:spacing w:val="0"/>
                <w:lang w:eastAsia="zh-CN"/>
              </w:rPr>
              <w:t>牛肉</w:t>
            </w:r>
            <w:r>
              <w:rPr>
                <w:rFonts w:cs="Times New Roman"/>
                <w:spacing w:val="0"/>
                <w:lang w:eastAsia="zh-CN"/>
              </w:rPr>
              <w:t>精深加工厂区</w:t>
            </w:r>
            <w:r>
              <w:rPr>
                <w:rFonts w:hint="eastAsia"/>
                <w:spacing w:val="0"/>
                <w:lang w:eastAsia="zh-CN"/>
              </w:rPr>
              <w:t>用地范围</w:t>
            </w:r>
            <w:r>
              <w:rPr>
                <w:rFonts w:cs="Times New Roman"/>
                <w:spacing w:val="0"/>
                <w:lang w:eastAsia="zh-CN"/>
              </w:rPr>
              <w:t>内</w:t>
            </w:r>
            <w:r>
              <w:rPr>
                <w:rFonts w:hint="eastAsia"/>
                <w:color w:val="000000" w:themeColor="text1"/>
                <w:spacing w:val="0"/>
                <w:lang w:eastAsia="zh-CN"/>
                <w14:textFill>
                  <w14:solidFill>
                    <w14:schemeClr w14:val="tx1"/>
                  </w14:solidFill>
                </w14:textFill>
              </w:rPr>
              <w:t>，将原料青储池改建为肉羊待宰圈，</w:t>
            </w:r>
            <w:r>
              <w:rPr>
                <w:rFonts w:hint="eastAsia" w:cs="Times New Roman"/>
                <w:spacing w:val="0"/>
                <w:lang w:eastAsia="zh-CN"/>
              </w:rPr>
              <w:t>肉牛急宰间改建为</w:t>
            </w:r>
            <w:r>
              <w:rPr>
                <w:rFonts w:cs="Times New Roman"/>
                <w:color w:val="000000" w:themeColor="text1"/>
                <w:spacing w:val="0"/>
                <w:lang w:eastAsia="zh-CN"/>
                <w14:textFill>
                  <w14:solidFill>
                    <w14:schemeClr w14:val="tx1"/>
                  </w14:solidFill>
                </w14:textFill>
              </w:rPr>
              <w:t>肉羊屠宰加工</w:t>
            </w:r>
            <w:r>
              <w:rPr>
                <w:rFonts w:hint="eastAsia" w:cs="Times New Roman"/>
                <w:color w:val="000000" w:themeColor="text1"/>
                <w:spacing w:val="0"/>
                <w:lang w:eastAsia="zh-CN"/>
                <w14:textFill>
                  <w14:solidFill>
                    <w14:schemeClr w14:val="tx1"/>
                  </w14:solidFill>
                </w14:textFill>
              </w:rPr>
              <w:t>生产线</w:t>
            </w:r>
            <w:r>
              <w:rPr>
                <w:rFonts w:hint="eastAsia"/>
                <w:color w:val="000000" w:themeColor="text1"/>
                <w:spacing w:val="0"/>
                <w:lang w:eastAsia="zh-CN"/>
                <w14:textFill>
                  <w14:solidFill>
                    <w14:schemeClr w14:val="tx1"/>
                  </w14:solidFill>
                </w14:textFill>
              </w:rPr>
              <w:t>。</w:t>
            </w:r>
            <w:r>
              <w:rPr>
                <w:rFonts w:hint="eastAsia"/>
                <w:color w:val="000000" w:themeColor="text1"/>
                <w:spacing w:val="0"/>
                <w:kern w:val="0"/>
                <w:lang w:eastAsia="zh-CN" w:bidi="ar"/>
                <w14:textFill>
                  <w14:solidFill>
                    <w14:schemeClr w14:val="tx1"/>
                  </w14:solidFill>
                </w14:textFill>
              </w:rPr>
              <w:t>施工内容主要为肉羊待宰圈、屠宰加工车间改造、装修，屠宰设备、配送系统安装</w:t>
            </w:r>
            <w:r>
              <w:rPr>
                <w:color w:val="000000" w:themeColor="text1"/>
                <w:spacing w:val="0"/>
                <w:lang w:eastAsia="zh-CN"/>
                <w14:textFill>
                  <w14:solidFill>
                    <w14:schemeClr w14:val="tx1"/>
                  </w14:solidFill>
                </w14:textFill>
              </w:rPr>
              <w:t>，</w:t>
            </w:r>
            <w:r>
              <w:rPr>
                <w:rFonts w:hint="eastAsia"/>
                <w:color w:val="000000" w:themeColor="text1"/>
                <w:spacing w:val="0"/>
                <w:lang w:eastAsia="zh-CN"/>
                <w14:textFill>
                  <w14:solidFill>
                    <w14:schemeClr w14:val="tx1"/>
                  </w14:solidFill>
                </w14:textFill>
              </w:rPr>
              <w:t>主要</w:t>
            </w:r>
            <w:r>
              <w:rPr>
                <w:color w:val="000000" w:themeColor="text1"/>
                <w:spacing w:val="0"/>
                <w:lang w:eastAsia="zh-CN"/>
                <w14:textFill>
                  <w14:solidFill>
                    <w14:schemeClr w14:val="tx1"/>
                  </w14:solidFill>
                </w14:textFill>
              </w:rPr>
              <w:t>污染物为</w:t>
            </w:r>
            <w:r>
              <w:rPr>
                <w:rFonts w:hint="eastAsia"/>
                <w:color w:val="000000" w:themeColor="text1"/>
                <w:spacing w:val="0"/>
                <w:lang w:eastAsia="zh-CN"/>
                <w14:textFill>
                  <w14:solidFill>
                    <w14:schemeClr w14:val="tx1"/>
                  </w14:solidFill>
                </w14:textFill>
              </w:rPr>
              <w:t>施工</w:t>
            </w:r>
            <w:r>
              <w:rPr>
                <w:color w:val="000000" w:themeColor="text1"/>
                <w:spacing w:val="0"/>
                <w:lang w:eastAsia="zh-CN"/>
                <w14:textFill>
                  <w14:solidFill>
                    <w14:schemeClr w14:val="tx1"/>
                  </w14:solidFill>
                </w14:textFill>
              </w:rPr>
              <w:t>扬尘、</w:t>
            </w:r>
            <w:r>
              <w:rPr>
                <w:rFonts w:hint="eastAsia"/>
                <w:color w:val="000000" w:themeColor="text1"/>
                <w:spacing w:val="0"/>
                <w:lang w:eastAsia="zh-CN"/>
                <w14:textFill>
                  <w14:solidFill>
                    <w14:schemeClr w14:val="tx1"/>
                  </w14:solidFill>
                </w14:textFill>
              </w:rPr>
              <w:t>施工噪声、</w:t>
            </w:r>
            <w:r>
              <w:rPr>
                <w:color w:val="000000" w:themeColor="text1"/>
                <w:spacing w:val="0"/>
                <w:lang w:eastAsia="zh-CN"/>
                <w14:textFill>
                  <w14:solidFill>
                    <w14:schemeClr w14:val="tx1"/>
                  </w14:solidFill>
                </w14:textFill>
              </w:rPr>
              <w:t>施工</w:t>
            </w:r>
            <w:r>
              <w:rPr>
                <w:rFonts w:hint="eastAsia"/>
                <w:color w:val="000000" w:themeColor="text1"/>
                <w:spacing w:val="0"/>
                <w:lang w:eastAsia="zh-CN"/>
                <w14:textFill>
                  <w14:solidFill>
                    <w14:schemeClr w14:val="tx1"/>
                  </w14:solidFill>
                </w14:textFill>
              </w:rPr>
              <w:t>废污水</w:t>
            </w:r>
            <w:r>
              <w:rPr>
                <w:color w:val="000000" w:themeColor="text1"/>
                <w:spacing w:val="0"/>
                <w:lang w:eastAsia="zh-CN"/>
                <w14:textFill>
                  <w14:solidFill>
                    <w14:schemeClr w14:val="tx1"/>
                  </w14:solidFill>
                </w14:textFill>
              </w:rPr>
              <w:t>、生活垃圾</w:t>
            </w:r>
            <w:r>
              <w:rPr>
                <w:rFonts w:hint="eastAsia"/>
                <w:color w:val="000000" w:themeColor="text1"/>
                <w:spacing w:val="0"/>
                <w:lang w:eastAsia="zh-CN"/>
                <w14:textFill>
                  <w14:solidFill>
                    <w14:schemeClr w14:val="tx1"/>
                  </w14:solidFill>
                </w14:textFill>
              </w:rPr>
              <w:t>及</w:t>
            </w:r>
            <w:r>
              <w:rPr>
                <w:color w:val="000000" w:themeColor="text1"/>
                <w:spacing w:val="0"/>
                <w:lang w:eastAsia="zh-CN"/>
                <w14:textFill>
                  <w14:solidFill>
                    <w14:schemeClr w14:val="tx1"/>
                  </w14:solidFill>
                </w14:textFill>
              </w:rPr>
              <w:t>废包装</w:t>
            </w:r>
            <w:r>
              <w:rPr>
                <w:rFonts w:hint="eastAsia"/>
                <w:color w:val="000000" w:themeColor="text1"/>
                <w:spacing w:val="0"/>
                <w:lang w:eastAsia="zh-CN"/>
                <w14:textFill>
                  <w14:solidFill>
                    <w14:schemeClr w14:val="tx1"/>
                  </w14:solidFill>
                </w14:textFill>
              </w:rPr>
              <w:t>材料等</w:t>
            </w:r>
            <w:r>
              <w:rPr>
                <w:color w:val="000000" w:themeColor="text1"/>
                <w:spacing w:val="0"/>
                <w:lang w:eastAsia="zh-CN"/>
                <w14:textFill>
                  <w14:solidFill>
                    <w14:schemeClr w14:val="tx1"/>
                  </w14:solidFill>
                </w14:textFill>
              </w:rPr>
              <w:t>。</w:t>
            </w:r>
          </w:p>
          <w:p w14:paraId="2319E8EB">
            <w:pPr>
              <w:widowControl/>
              <w:spacing w:line="360" w:lineRule="auto"/>
              <w:jc w:val="left"/>
              <w:rPr>
                <w:b/>
                <w:bCs/>
                <w:color w:val="000000" w:themeColor="text1"/>
                <w:kern w:val="0"/>
                <w:sz w:val="28"/>
                <w:szCs w:val="28"/>
                <w:lang w:bidi="ar"/>
                <w14:textFill>
                  <w14:solidFill>
                    <w14:schemeClr w14:val="tx1"/>
                  </w14:solidFill>
                </w14:textFill>
              </w:rPr>
            </w:pPr>
            <w:r>
              <w:rPr>
                <w:b/>
                <w:bCs/>
                <w:color w:val="000000" w:themeColor="text1"/>
                <w:kern w:val="0"/>
                <w:sz w:val="28"/>
                <w:szCs w:val="28"/>
                <w:lang w:bidi="ar"/>
                <w14:textFill>
                  <w14:solidFill>
                    <w14:schemeClr w14:val="tx1"/>
                  </w14:solidFill>
                </w14:textFill>
              </w:rPr>
              <w:t>1</w:t>
            </w:r>
            <w:r>
              <w:rPr>
                <w:rFonts w:hint="eastAsia"/>
                <w:b/>
                <w:bCs/>
                <w:color w:val="000000" w:themeColor="text1"/>
                <w:kern w:val="0"/>
                <w:sz w:val="28"/>
                <w:szCs w:val="28"/>
                <w:lang w:bidi="ar"/>
                <w14:textFill>
                  <w14:solidFill>
                    <w14:schemeClr w14:val="tx1"/>
                  </w14:solidFill>
                </w14:textFill>
              </w:rPr>
              <w:t>、废气</w:t>
            </w:r>
          </w:p>
          <w:p w14:paraId="3409540B">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施工扬尘主要来自待宰圈、屠宰加工车间改造、装修和焊接，原材料运输、堆放等，主要污染物颗粒物呈无组织间歇排放。</w:t>
            </w:r>
          </w:p>
          <w:p w14:paraId="7C57EBD0">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项目施工在厂区进行，主要是室内作业，工程量小、施工期短，施工扬尘对区域环境影响较小。为减缓施工扬尘影响，提出下列措施：</w:t>
            </w:r>
          </w:p>
          <w:p w14:paraId="53FE8BAA">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（1）施工物料选择背风面堆放，并加盖篷布，施工作业区定时洒水降尘。</w:t>
            </w:r>
          </w:p>
          <w:p w14:paraId="7BF53DC0">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（2）施工作业时尽量关闭门窗，室内装修选用环保材料。</w:t>
            </w:r>
          </w:p>
          <w:p w14:paraId="0A4EDD59">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2、废水</w:t>
            </w:r>
          </w:p>
          <w:p w14:paraId="0E8E56B5">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施工废水主要为生产废水和施工人员生活污水。生产废水为待宰圈混凝土砂浆拌合废水，主要污染物为颗粒物，生产废水在施工区收集沉淀后用作场地洒水降尘，不外排。施工人员生活污水依托厂区现有污水处理设施处理。</w:t>
            </w:r>
          </w:p>
          <w:p w14:paraId="05A11A26">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3、噪声</w:t>
            </w:r>
          </w:p>
          <w:p w14:paraId="1074E6B8">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施工噪声主要来自施工机械、设备噪声和车辆运输噪声，呈间歇排放。项目施工在厂区进行，主要是室内作业，施工期短，施工噪声对区域环境影响不大。为减缓施工噪声影响，提出下列措施：</w:t>
            </w:r>
          </w:p>
          <w:p w14:paraId="6FC3DC2F">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（1）合理安排施工作业和运输时间，物料运输安排在非休息时段进行，控制运输车辆车速。</w:t>
            </w:r>
          </w:p>
          <w:p w14:paraId="34C6365D">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（2）选用低噪声的施工机械、设备，加强机械、设备、车辆等养护。</w:t>
            </w:r>
          </w:p>
          <w:p w14:paraId="33206348">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4、固体废物</w:t>
            </w:r>
          </w:p>
          <w:p w14:paraId="7C8D7E4B">
            <w:pPr>
              <w:pStyle w:val="36"/>
              <w:ind w:firstLine="480"/>
              <w:rPr>
                <w:bCs/>
                <w:color w:val="000000" w:themeColor="text1"/>
                <w:spacing w:val="0"/>
                <w:szCs w:val="21"/>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施工固体废物主要为建筑垃圾和施工人员生活垃圾。建筑垃圾包括废钢材、塑料、包装袋等，建筑垃圾由施工单位回收处置，施工人员生活垃圾统一收集于厂区垃圾桶，交由环卫部门清运处置。</w:t>
            </w:r>
          </w:p>
        </w:tc>
      </w:tr>
      <w:tr w14:paraId="342796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3" w:hRule="atLeast"/>
          <w:jc w:val="center"/>
        </w:trPr>
        <w:tc>
          <w:tcPr>
            <w:tcW w:w="442" w:type="dxa"/>
            <w:tcMar>
              <w:left w:w="28" w:type="dxa"/>
              <w:right w:w="28" w:type="dxa"/>
            </w:tcMar>
            <w:vAlign w:val="center"/>
          </w:tcPr>
          <w:p w14:paraId="505A160A">
            <w:pPr>
              <w:adjustRightInd w:val="0"/>
              <w:snapToGrid w:val="0"/>
              <w:jc w:val="center"/>
              <w:rPr>
                <w:rFonts w:cs="宋体"/>
                <w:bCs/>
                <w:color w:val="000000" w:themeColor="text1"/>
                <w:sz w:val="24"/>
                <w14:textFill>
                  <w14:solidFill>
                    <w14:schemeClr w14:val="tx1"/>
                  </w14:solidFill>
                </w14:textFill>
              </w:rPr>
            </w:pPr>
            <w:r>
              <w:rPr>
                <w:rFonts w:hint="eastAsia" w:cs="宋体"/>
                <w:bCs/>
                <w:color w:val="000000" w:themeColor="text1"/>
                <w:sz w:val="24"/>
                <w14:textFill>
                  <w14:solidFill>
                    <w14:schemeClr w14:val="tx1"/>
                  </w14:solidFill>
                </w14:textFill>
              </w:rPr>
              <w:t>运营期环境影响和保护措施</w:t>
            </w:r>
          </w:p>
        </w:tc>
        <w:tc>
          <w:tcPr>
            <w:tcW w:w="8361" w:type="dxa"/>
            <w:vAlign w:val="center"/>
          </w:tcPr>
          <w:p w14:paraId="2B0C5CCB">
            <w:pPr>
              <w:pStyle w:val="36"/>
              <w:widowControl/>
              <w:ind w:firstLine="0" w:firstLineChars="0"/>
              <w:jc w:val="left"/>
              <w:rPr>
                <w:b/>
                <w:bCs/>
                <w:spacing w:val="0"/>
                <w:kern w:val="0"/>
                <w:sz w:val="28"/>
                <w:szCs w:val="28"/>
                <w:lang w:eastAsia="zh-CN" w:bidi="ar"/>
              </w:rPr>
            </w:pPr>
            <w:r>
              <w:rPr>
                <w:rFonts w:hint="eastAsia"/>
                <w:b/>
                <w:bCs/>
                <w:spacing w:val="0"/>
                <w:kern w:val="0"/>
                <w:sz w:val="28"/>
                <w:szCs w:val="28"/>
                <w:lang w:eastAsia="zh-CN" w:bidi="ar"/>
              </w:rPr>
              <w:t>1、废气</w:t>
            </w:r>
          </w:p>
          <w:p w14:paraId="1450A573">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（1）废气来源及污染物</w:t>
            </w:r>
          </w:p>
          <w:p w14:paraId="74E7EE1D">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运营期废气来源主要包括以下几类：</w:t>
            </w:r>
          </w:p>
          <w:p w14:paraId="00A6B75D">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1）待宰圈粪便、尿液，屠宰过程血液、内脏、皮毛等有机废弃组织，粪便临时堆场产生的恶臭，主要污染物为NH</w:t>
            </w:r>
            <w:r>
              <w:rPr>
                <w:rFonts w:hint="eastAsia"/>
                <w:color w:val="000000" w:themeColor="text1"/>
                <w:spacing w:val="0"/>
                <w:vertAlign w:val="sub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、H</w:t>
            </w:r>
            <w:r>
              <w:rPr>
                <w:rFonts w:hint="eastAsia"/>
                <w:color w:val="000000" w:themeColor="text1"/>
                <w:spacing w:val="0"/>
                <w:vertAlign w:val="subscript"/>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S、臭气浓度。</w:t>
            </w:r>
          </w:p>
          <w:p w14:paraId="16D522C2">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2）废水处理站调节池、厌氧池、污泥池等处理单元产生的恶臭，主要污染物为NH</w:t>
            </w:r>
            <w:r>
              <w:rPr>
                <w:rFonts w:hint="eastAsia"/>
                <w:color w:val="000000" w:themeColor="text1"/>
                <w:spacing w:val="0"/>
                <w:vertAlign w:val="sub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、H</w:t>
            </w:r>
            <w:r>
              <w:rPr>
                <w:rFonts w:hint="eastAsia"/>
                <w:color w:val="000000" w:themeColor="text1"/>
                <w:spacing w:val="0"/>
                <w:vertAlign w:val="subscript"/>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S。</w:t>
            </w:r>
          </w:p>
          <w:p w14:paraId="09A33A42">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3）职工食堂烹饪产生的油烟。</w:t>
            </w:r>
          </w:p>
          <w:p w14:paraId="55FEA36B">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4）牛肉分割、蒸煮等加工产生的异味。</w:t>
            </w:r>
          </w:p>
          <w:p w14:paraId="24D0333A">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（2）废气源强核算</w:t>
            </w:r>
          </w:p>
          <w:p w14:paraId="6249F0B7">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1）待宰圈、屠宰车间恶臭</w:t>
            </w:r>
          </w:p>
          <w:p w14:paraId="49A4829C">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类比同类项目，正常情况下，待宰圈、屠宰车间</w:t>
            </w:r>
            <w:r>
              <w:rPr>
                <w:rStyle w:val="28"/>
                <w:rFonts w:hint="eastAsia"/>
                <w:color w:val="000000" w:themeColor="text1"/>
                <w:spacing w:val="0"/>
                <w:sz w:val="24"/>
                <w:lang w:eastAsia="zh-CN"/>
                <w14:textFill>
                  <w14:solidFill>
                    <w14:schemeClr w14:val="tx1"/>
                  </w14:solidFill>
                </w14:textFill>
              </w:rPr>
              <w:commentReference w:id="2"/>
            </w:r>
            <w:r>
              <w:rPr>
                <w:rFonts w:hint="eastAsia"/>
                <w:color w:val="000000" w:themeColor="text1"/>
                <w:spacing w:val="0"/>
                <w:lang w:eastAsia="zh-CN"/>
                <w14:textFill>
                  <w14:solidFill>
                    <w14:schemeClr w14:val="tx1"/>
                  </w14:solidFill>
                </w14:textFill>
              </w:rPr>
              <w:t>NH</w:t>
            </w:r>
            <w:r>
              <w:rPr>
                <w:rFonts w:hint="eastAsia"/>
                <w:color w:val="000000" w:themeColor="text1"/>
                <w:spacing w:val="0"/>
                <w:vertAlign w:val="sub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产生浓度约4mg/m</w:t>
            </w:r>
            <w:r>
              <w:rPr>
                <w:rFonts w:hint="eastAsia"/>
                <w:color w:val="000000" w:themeColor="text1"/>
                <w:spacing w:val="0"/>
                <w:vertAlign w:val="super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，产生速率约0.15kg/h，产生量约0.84t/a；H</w:t>
            </w:r>
            <w:r>
              <w:rPr>
                <w:rFonts w:hint="eastAsia"/>
                <w:color w:val="000000" w:themeColor="text1"/>
                <w:spacing w:val="0"/>
                <w:vertAlign w:val="subscript"/>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S产生浓度约0.06mg/m</w:t>
            </w:r>
            <w:r>
              <w:rPr>
                <w:rFonts w:hint="eastAsia"/>
                <w:color w:val="000000" w:themeColor="text1"/>
                <w:spacing w:val="0"/>
                <w:vertAlign w:val="super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，产生速率约0.01kg/h，产生量约0.056t/a。</w:t>
            </w:r>
          </w:p>
          <w:p w14:paraId="2C48FDAE">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2）废水处理站恶臭</w:t>
            </w:r>
          </w:p>
          <w:p w14:paraId="7025DFD1">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废水处理站恶臭源强采用美国EPA对城市污水处理厂恶臭污染物产生情况的研究，每处理废水中1g的BOD</w:t>
            </w:r>
            <w:r>
              <w:rPr>
                <w:rFonts w:hint="eastAsia"/>
                <w:color w:val="000000" w:themeColor="text1"/>
                <w:spacing w:val="0"/>
                <w:vertAlign w:val="subscript"/>
                <w:lang w:eastAsia="zh-CN"/>
                <w14:textFill>
                  <w14:solidFill>
                    <w14:schemeClr w14:val="tx1"/>
                  </w14:solidFill>
                </w14:textFill>
              </w:rPr>
              <w:t>5</w:t>
            </w:r>
            <w:r>
              <w:rPr>
                <w:rFonts w:hint="eastAsia"/>
                <w:color w:val="000000" w:themeColor="text1"/>
                <w:spacing w:val="0"/>
                <w:lang w:eastAsia="zh-CN"/>
                <w14:textFill>
                  <w14:solidFill>
                    <w14:schemeClr w14:val="tx1"/>
                  </w14:solidFill>
                </w14:textFill>
              </w:rPr>
              <w:t>，可产生0.0031g的NH</w:t>
            </w:r>
            <w:r>
              <w:rPr>
                <w:rFonts w:hint="eastAsia"/>
                <w:color w:val="000000" w:themeColor="text1"/>
                <w:spacing w:val="0"/>
                <w:vertAlign w:val="sub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和0.00012g的H</w:t>
            </w:r>
            <w:r>
              <w:rPr>
                <w:rFonts w:hint="eastAsia"/>
                <w:color w:val="000000" w:themeColor="text1"/>
                <w:spacing w:val="0"/>
                <w:vertAlign w:val="subscript"/>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S。</w:t>
            </w:r>
          </w:p>
          <w:p w14:paraId="145D5D71">
            <w:pPr>
              <w:pStyle w:val="36"/>
              <w:ind w:firstLine="480"/>
              <w:rPr>
                <w:color w:val="000000" w:themeColor="text1"/>
                <w:spacing w:val="0"/>
                <w:lang w:eastAsia="zh-CN"/>
                <w14:textFill>
                  <w14:solidFill>
                    <w14:schemeClr w14:val="tx1"/>
                  </w14:solidFill>
                </w14:textFill>
              </w:rPr>
            </w:pPr>
            <w:r>
              <w:rPr>
                <w:rFonts w:cs="Times New Roman"/>
                <w:spacing w:val="0"/>
                <w:lang w:eastAsia="zh-CN"/>
              </w:rPr>
              <w:t>根据《</w:t>
            </w:r>
            <w:r>
              <w:rPr>
                <w:rFonts w:hint="eastAsia" w:cs="Times New Roman"/>
                <w:spacing w:val="0"/>
                <w:lang w:eastAsia="zh-CN"/>
              </w:rPr>
              <w:t xml:space="preserve">排放源统计调查产排污核算方法和系数手册 </w:t>
            </w:r>
            <w:r>
              <w:rPr>
                <w:rFonts w:cs="Times New Roman"/>
                <w:spacing w:val="0"/>
                <w:lang w:eastAsia="zh-CN"/>
              </w:rPr>
              <w:t>屠宰及肉类加工行业系数手册</w:t>
            </w:r>
            <w:r>
              <w:rPr>
                <w:rFonts w:hint="eastAsia" w:cs="Times New Roman"/>
                <w:spacing w:val="0"/>
                <w:lang w:eastAsia="zh-CN"/>
              </w:rPr>
              <w:t>、生活污染源产排污系数手册</w:t>
            </w:r>
            <w:r>
              <w:rPr>
                <w:rFonts w:cs="Times New Roman"/>
                <w:spacing w:val="0"/>
                <w:lang w:eastAsia="zh-CN"/>
              </w:rPr>
              <w:t>》</w:t>
            </w:r>
            <w:r>
              <w:rPr>
                <w:rFonts w:hint="eastAsia"/>
                <w:color w:val="000000" w:themeColor="text1"/>
                <w:spacing w:val="0"/>
                <w:lang w:eastAsia="zh-CN"/>
                <w14:textFill>
                  <w14:solidFill>
                    <w14:schemeClr w14:val="tx1"/>
                  </w14:solidFill>
                </w14:textFill>
              </w:rPr>
              <w:t>，项目达产时生产废水、生活污水需处理的BOD</w:t>
            </w:r>
            <w:r>
              <w:rPr>
                <w:rFonts w:hint="eastAsia"/>
                <w:color w:val="000000" w:themeColor="text1"/>
                <w:spacing w:val="0"/>
                <w:vertAlign w:val="subscript"/>
                <w:lang w:eastAsia="zh-CN"/>
                <w14:textFill>
                  <w14:solidFill>
                    <w14:schemeClr w14:val="tx1"/>
                  </w14:solidFill>
                </w14:textFill>
              </w:rPr>
              <w:t>5</w:t>
            </w:r>
            <w:r>
              <w:rPr>
                <w:rFonts w:hint="eastAsia"/>
                <w:spacing w:val="0"/>
                <w:lang w:eastAsia="zh-CN"/>
              </w:rPr>
              <w:t>分别为83.81t/a、2.83t/a。</w:t>
            </w:r>
          </w:p>
          <w:p w14:paraId="635F67D2">
            <w:pPr>
              <w:pStyle w:val="29"/>
              <w:outlineLvl w:val="9"/>
              <w:rPr>
                <w:rFonts w:hint="default"/>
              </w:rPr>
            </w:pPr>
            <w:r>
              <w:t>表4-1 项目废污水污染物产生量情况表</w:t>
            </w:r>
          </w:p>
          <w:tbl>
            <w:tblPr>
              <w:tblStyle w:val="23"/>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276"/>
              <w:gridCol w:w="1559"/>
              <w:gridCol w:w="1701"/>
              <w:gridCol w:w="1276"/>
              <w:gridCol w:w="1537"/>
            </w:tblGrid>
            <w:tr w14:paraId="6E6A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177" w:type="dxa"/>
                  <w:gridSpan w:val="2"/>
                  <w:vAlign w:val="center"/>
                </w:tcPr>
                <w:p w14:paraId="7E6A3BDE">
                  <w:pPr>
                    <w:jc w:val="center"/>
                    <w:rPr>
                      <w:b/>
                      <w:bCs/>
                    </w:rPr>
                  </w:pPr>
                  <w:r>
                    <w:rPr>
                      <w:rFonts w:hint="eastAsia"/>
                      <w:b/>
                      <w:bCs/>
                    </w:rPr>
                    <w:t>类型</w:t>
                  </w:r>
                </w:p>
              </w:tc>
              <w:tc>
                <w:tcPr>
                  <w:tcW w:w="1559" w:type="dxa"/>
                  <w:vAlign w:val="center"/>
                </w:tcPr>
                <w:p w14:paraId="07D9A632">
                  <w:pPr>
                    <w:jc w:val="center"/>
                    <w:rPr>
                      <w:b/>
                      <w:bCs/>
                    </w:rPr>
                  </w:pPr>
                  <w:r>
                    <w:rPr>
                      <w:rFonts w:hint="eastAsia"/>
                      <w:b/>
                      <w:bCs/>
                    </w:rPr>
                    <w:t>COD产污系数</w:t>
                  </w:r>
                </w:p>
              </w:tc>
              <w:tc>
                <w:tcPr>
                  <w:tcW w:w="1701" w:type="dxa"/>
                  <w:vAlign w:val="center"/>
                </w:tcPr>
                <w:p w14:paraId="4C87AFA8">
                  <w:pPr>
                    <w:jc w:val="center"/>
                    <w:rPr>
                      <w:b/>
                      <w:bCs/>
                    </w:rPr>
                  </w:pPr>
                  <w:r>
                    <w:rPr>
                      <w:rFonts w:hint="eastAsia"/>
                      <w:b/>
                      <w:bCs/>
                    </w:rPr>
                    <w:t>BOD</w:t>
                  </w:r>
                  <w:r>
                    <w:rPr>
                      <w:rFonts w:hint="eastAsia"/>
                      <w:b/>
                      <w:bCs/>
                      <w:vertAlign w:val="subscript"/>
                    </w:rPr>
                    <w:t>5</w:t>
                  </w:r>
                  <w:r>
                    <w:rPr>
                      <w:rFonts w:hint="eastAsia"/>
                      <w:b/>
                      <w:bCs/>
                    </w:rPr>
                    <w:t>产污系数</w:t>
                  </w:r>
                </w:p>
              </w:tc>
              <w:tc>
                <w:tcPr>
                  <w:tcW w:w="1276" w:type="dxa"/>
                  <w:vAlign w:val="center"/>
                </w:tcPr>
                <w:p w14:paraId="47DAEF2A">
                  <w:pPr>
                    <w:jc w:val="center"/>
                    <w:rPr>
                      <w:b/>
                      <w:bCs/>
                    </w:rPr>
                  </w:pPr>
                  <w:r>
                    <w:rPr>
                      <w:rFonts w:hint="eastAsia"/>
                      <w:b/>
                      <w:bCs/>
                    </w:rPr>
                    <w:t>生产规模</w:t>
                  </w:r>
                </w:p>
                <w:p w14:paraId="0C6A8B30">
                  <w:pPr>
                    <w:jc w:val="center"/>
                    <w:rPr>
                      <w:b/>
                      <w:bCs/>
                    </w:rPr>
                  </w:pPr>
                  <w:r>
                    <w:rPr>
                      <w:rFonts w:hint="eastAsia"/>
                      <w:b/>
                      <w:bCs/>
                    </w:rPr>
                    <w:t>或耗水量</w:t>
                  </w:r>
                </w:p>
              </w:tc>
              <w:tc>
                <w:tcPr>
                  <w:tcW w:w="1537" w:type="dxa"/>
                  <w:vAlign w:val="center"/>
                </w:tcPr>
                <w:p w14:paraId="4938AA54">
                  <w:pPr>
                    <w:jc w:val="center"/>
                    <w:rPr>
                      <w:b/>
                      <w:bCs/>
                    </w:rPr>
                  </w:pPr>
                  <w:r>
                    <w:rPr>
                      <w:rFonts w:hint="eastAsia"/>
                      <w:b/>
                      <w:bCs/>
                    </w:rPr>
                    <w:t>BOD</w:t>
                  </w:r>
                  <w:r>
                    <w:rPr>
                      <w:rFonts w:hint="eastAsia"/>
                      <w:b/>
                      <w:bCs/>
                      <w:vertAlign w:val="subscript"/>
                    </w:rPr>
                    <w:t>5</w:t>
                  </w:r>
                  <w:r>
                    <w:rPr>
                      <w:rFonts w:hint="eastAsia"/>
                      <w:b/>
                      <w:bCs/>
                    </w:rPr>
                    <w:t>产生量</w:t>
                  </w:r>
                </w:p>
              </w:tc>
            </w:tr>
            <w:tr w14:paraId="6B85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901" w:type="dxa"/>
                  <w:vMerge w:val="restart"/>
                  <w:vAlign w:val="center"/>
                </w:tcPr>
                <w:p w14:paraId="2F26F2CA">
                  <w:pPr>
                    <w:jc w:val="center"/>
                  </w:pPr>
                  <w:r>
                    <w:rPr>
                      <w:rFonts w:hint="eastAsia"/>
                    </w:rPr>
                    <w:t>生产</w:t>
                  </w:r>
                </w:p>
                <w:p w14:paraId="1CD80D4A">
                  <w:pPr>
                    <w:jc w:val="center"/>
                  </w:pPr>
                  <w:r>
                    <w:rPr>
                      <w:rFonts w:hint="eastAsia"/>
                    </w:rPr>
                    <w:t>废水</w:t>
                  </w:r>
                </w:p>
              </w:tc>
              <w:tc>
                <w:tcPr>
                  <w:tcW w:w="1276" w:type="dxa"/>
                  <w:vAlign w:val="center"/>
                </w:tcPr>
                <w:p w14:paraId="762D9C37">
                  <w:pPr>
                    <w:jc w:val="center"/>
                  </w:pPr>
                  <w:r>
                    <w:rPr>
                      <w:rFonts w:hint="eastAsia"/>
                    </w:rPr>
                    <w:t>肉牛屠宰</w:t>
                  </w:r>
                </w:p>
              </w:tc>
              <w:tc>
                <w:tcPr>
                  <w:tcW w:w="1559" w:type="dxa"/>
                  <w:vAlign w:val="center"/>
                </w:tcPr>
                <w:p w14:paraId="3B925408">
                  <w:pPr>
                    <w:jc w:val="center"/>
                  </w:pPr>
                  <w:r>
                    <w:rPr>
                      <w:rFonts w:hint="eastAsia"/>
                    </w:rPr>
                    <w:t>3870g/头</w:t>
                  </w:r>
                </w:p>
              </w:tc>
              <w:tc>
                <w:tcPr>
                  <w:tcW w:w="1701" w:type="dxa"/>
                  <w:vAlign w:val="center"/>
                </w:tcPr>
                <w:p w14:paraId="2782A24E">
                  <w:pPr>
                    <w:jc w:val="center"/>
                  </w:pPr>
                  <w:r>
                    <w:rPr>
                      <w:rFonts w:hint="eastAsia"/>
                    </w:rPr>
                    <w:t>2322g/头</w:t>
                  </w:r>
                </w:p>
              </w:tc>
              <w:tc>
                <w:tcPr>
                  <w:tcW w:w="1276" w:type="dxa"/>
                  <w:vAlign w:val="center"/>
                </w:tcPr>
                <w:p w14:paraId="59995CAE">
                  <w:pPr>
                    <w:jc w:val="center"/>
                  </w:pPr>
                  <w:r>
                    <w:rPr>
                      <w:rFonts w:hint="eastAsia"/>
                    </w:rPr>
                    <w:t>30000头/a</w:t>
                  </w:r>
                </w:p>
              </w:tc>
              <w:tc>
                <w:tcPr>
                  <w:tcW w:w="1537" w:type="dxa"/>
                  <w:vAlign w:val="center"/>
                </w:tcPr>
                <w:p w14:paraId="2EC30C8B">
                  <w:pPr>
                    <w:jc w:val="center"/>
                  </w:pPr>
                  <w:r>
                    <w:rPr>
                      <w:rFonts w:hint="eastAsia"/>
                    </w:rPr>
                    <w:t>69.66t/a</w:t>
                  </w:r>
                </w:p>
              </w:tc>
            </w:tr>
            <w:tr w14:paraId="520B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901" w:type="dxa"/>
                  <w:vMerge w:val="continue"/>
                  <w:vAlign w:val="center"/>
                </w:tcPr>
                <w:p w14:paraId="4FB70447">
                  <w:pPr>
                    <w:jc w:val="center"/>
                  </w:pPr>
                </w:p>
              </w:tc>
              <w:tc>
                <w:tcPr>
                  <w:tcW w:w="1276" w:type="dxa"/>
                  <w:vAlign w:val="center"/>
                </w:tcPr>
                <w:p w14:paraId="0B957656">
                  <w:pPr>
                    <w:jc w:val="center"/>
                  </w:pPr>
                  <w:r>
                    <w:rPr>
                      <w:rFonts w:hint="eastAsia"/>
                    </w:rPr>
                    <w:t>肉羊屠宰</w:t>
                  </w:r>
                </w:p>
              </w:tc>
              <w:tc>
                <w:tcPr>
                  <w:tcW w:w="1559" w:type="dxa"/>
                  <w:vAlign w:val="center"/>
                </w:tcPr>
                <w:p w14:paraId="5AAADCD0">
                  <w:pPr>
                    <w:jc w:val="center"/>
                  </w:pPr>
                  <w:r>
                    <w:rPr>
                      <w:rFonts w:hint="eastAsia"/>
                    </w:rPr>
                    <w:t>471g/只</w:t>
                  </w:r>
                </w:p>
              </w:tc>
              <w:tc>
                <w:tcPr>
                  <w:tcW w:w="1701" w:type="dxa"/>
                  <w:vAlign w:val="center"/>
                </w:tcPr>
                <w:p w14:paraId="3B2BF17C">
                  <w:pPr>
                    <w:jc w:val="center"/>
                  </w:pPr>
                  <w:r>
                    <w:rPr>
                      <w:rFonts w:hint="eastAsia"/>
                    </w:rPr>
                    <w:t>283g/只</w:t>
                  </w:r>
                </w:p>
              </w:tc>
              <w:tc>
                <w:tcPr>
                  <w:tcW w:w="1276" w:type="dxa"/>
                  <w:vAlign w:val="center"/>
                </w:tcPr>
                <w:p w14:paraId="1FDBE5C9">
                  <w:pPr>
                    <w:jc w:val="center"/>
                  </w:pPr>
                  <w:r>
                    <w:rPr>
                      <w:rFonts w:hint="eastAsia"/>
                    </w:rPr>
                    <w:t>50000只/a</w:t>
                  </w:r>
                </w:p>
              </w:tc>
              <w:tc>
                <w:tcPr>
                  <w:tcW w:w="1537" w:type="dxa"/>
                  <w:vAlign w:val="center"/>
                </w:tcPr>
                <w:p w14:paraId="73B3A7D8">
                  <w:pPr>
                    <w:jc w:val="center"/>
                  </w:pPr>
                  <w:r>
                    <w:rPr>
                      <w:rFonts w:hint="eastAsia"/>
                    </w:rPr>
                    <w:t>14.15t/a</w:t>
                  </w:r>
                </w:p>
              </w:tc>
            </w:tr>
            <w:tr w14:paraId="33D7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177" w:type="dxa"/>
                  <w:gridSpan w:val="2"/>
                  <w:vAlign w:val="center"/>
                </w:tcPr>
                <w:p w14:paraId="76EC0CED">
                  <w:pPr>
                    <w:jc w:val="center"/>
                  </w:pPr>
                  <w:r>
                    <w:rPr>
                      <w:rFonts w:hint="eastAsia"/>
                    </w:rPr>
                    <w:t>生活污水</w:t>
                  </w:r>
                </w:p>
              </w:tc>
              <w:tc>
                <w:tcPr>
                  <w:tcW w:w="1559" w:type="dxa"/>
                  <w:vAlign w:val="center"/>
                </w:tcPr>
                <w:p w14:paraId="58B8D2D0">
                  <w:pPr>
                    <w:jc w:val="center"/>
                  </w:pPr>
                  <w:r>
                    <w:rPr>
                      <w:rFonts w:hint="eastAsia"/>
                    </w:rPr>
                    <w:t>325mg/L</w:t>
                  </w:r>
                </w:p>
              </w:tc>
              <w:tc>
                <w:tcPr>
                  <w:tcW w:w="1701" w:type="dxa"/>
                  <w:vAlign w:val="center"/>
                </w:tcPr>
                <w:p w14:paraId="457C5300">
                  <w:pPr>
                    <w:jc w:val="center"/>
                  </w:pPr>
                  <w:r>
                    <w:rPr>
                      <w:rFonts w:hint="eastAsia"/>
                    </w:rPr>
                    <w:t>147mg/L</w:t>
                  </w:r>
                </w:p>
              </w:tc>
              <w:tc>
                <w:tcPr>
                  <w:tcW w:w="1276" w:type="dxa"/>
                  <w:vAlign w:val="center"/>
                </w:tcPr>
                <w:p w14:paraId="4D88EDE2">
                  <w:pPr>
                    <w:jc w:val="center"/>
                  </w:pPr>
                  <w:r>
                    <w:rPr>
                      <w:rFonts w:hint="eastAsia"/>
                    </w:rPr>
                    <w:t>55090L/d</w:t>
                  </w:r>
                </w:p>
              </w:tc>
              <w:tc>
                <w:tcPr>
                  <w:tcW w:w="1537" w:type="dxa"/>
                  <w:vAlign w:val="center"/>
                </w:tcPr>
                <w:p w14:paraId="191ACA80">
                  <w:pPr>
                    <w:jc w:val="center"/>
                  </w:pPr>
                  <w:r>
                    <w:rPr>
                      <w:rFonts w:hint="eastAsia"/>
                    </w:rPr>
                    <w:t>2.83t/a</w:t>
                  </w:r>
                </w:p>
              </w:tc>
            </w:tr>
            <w:tr w14:paraId="04D5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6713" w:type="dxa"/>
                  <w:gridSpan w:val="5"/>
                  <w:vAlign w:val="center"/>
                </w:tcPr>
                <w:p w14:paraId="78D0FF0F">
                  <w:pPr>
                    <w:jc w:val="center"/>
                  </w:pPr>
                  <w:r>
                    <w:rPr>
                      <w:rFonts w:hint="eastAsia"/>
                    </w:rPr>
                    <w:t>合计</w:t>
                  </w:r>
                </w:p>
              </w:tc>
              <w:tc>
                <w:tcPr>
                  <w:tcW w:w="1537" w:type="dxa"/>
                  <w:vAlign w:val="center"/>
                </w:tcPr>
                <w:p w14:paraId="64692409">
                  <w:pPr>
                    <w:jc w:val="center"/>
                  </w:pPr>
                  <w:r>
                    <w:rPr>
                      <w:rFonts w:hint="eastAsia"/>
                    </w:rPr>
                    <w:t>86.64t/a</w:t>
                  </w:r>
                </w:p>
              </w:tc>
            </w:tr>
          </w:tbl>
          <w:p w14:paraId="618E2670">
            <w:pPr>
              <w:pStyle w:val="36"/>
              <w:spacing w:line="240" w:lineRule="auto"/>
              <w:ind w:firstLine="0" w:firstLineChars="0"/>
              <w:rPr>
                <w:color w:val="000000" w:themeColor="text1"/>
                <w:spacing w:val="0"/>
                <w:lang w:eastAsia="zh-CN"/>
                <w14:textFill>
                  <w14:solidFill>
                    <w14:schemeClr w14:val="tx1"/>
                  </w14:solidFill>
                </w14:textFill>
              </w:rPr>
            </w:pPr>
          </w:p>
          <w:p w14:paraId="1B882F1D">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按厂区工作350d，每天16h计，则生产废水NH</w:t>
            </w:r>
            <w:r>
              <w:rPr>
                <w:rFonts w:hint="eastAsia"/>
                <w:color w:val="000000" w:themeColor="text1"/>
                <w:spacing w:val="0"/>
                <w:vertAlign w:val="sub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产生速率约0.046kg/h，产生量约0.26t/a；H</w:t>
            </w:r>
            <w:r>
              <w:rPr>
                <w:rFonts w:hint="eastAsia"/>
                <w:color w:val="000000" w:themeColor="text1"/>
                <w:spacing w:val="0"/>
                <w:vertAlign w:val="subscript"/>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S产生速率约0.002kg/h，产生量约0.01t/a。按办公和交易区工作350d，每天8h计，则生活污水NH</w:t>
            </w:r>
            <w:r>
              <w:rPr>
                <w:rFonts w:hint="eastAsia"/>
                <w:color w:val="000000" w:themeColor="text1"/>
                <w:spacing w:val="0"/>
                <w:vertAlign w:val="sub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产生速率约0.003kg/h，产生量约0.009t/a；H</w:t>
            </w:r>
            <w:r>
              <w:rPr>
                <w:rFonts w:hint="eastAsia"/>
                <w:color w:val="000000" w:themeColor="text1"/>
                <w:spacing w:val="0"/>
                <w:vertAlign w:val="subscript"/>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S产生速率约0.0001kg/h，产生量约0.0003t/a。</w:t>
            </w:r>
          </w:p>
          <w:p w14:paraId="52842887">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3）职工食堂油烟</w:t>
            </w:r>
          </w:p>
          <w:p w14:paraId="1B4A12BA">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职工食堂用餐人数约95人，用油量按每人0.03kg/d，烹饪时间1.5h，油烟产生系数3%计，则食堂油烟产生速率约0.057kg/h，产生量约0.03t/a。</w:t>
            </w:r>
          </w:p>
          <w:p w14:paraId="18F626FE">
            <w:pPr>
              <w:pStyle w:val="29"/>
              <w:outlineLvl w:val="9"/>
              <w:rPr>
                <w:rFonts w:hint="default"/>
              </w:rPr>
            </w:pPr>
            <w:r>
              <w:t>表4-2 项目废气源强情况表</w:t>
            </w:r>
          </w:p>
          <w:tbl>
            <w:tblPr>
              <w:tblStyle w:val="23"/>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2268"/>
              <w:gridCol w:w="2257"/>
              <w:gridCol w:w="2257"/>
            </w:tblGrid>
            <w:tr w14:paraId="052B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468" w:type="dxa"/>
                  <w:vAlign w:val="center"/>
                </w:tcPr>
                <w:p w14:paraId="36428D38">
                  <w:pPr>
                    <w:jc w:val="center"/>
                    <w:rPr>
                      <w:b/>
                      <w:bCs/>
                    </w:rPr>
                  </w:pPr>
                  <w:r>
                    <w:rPr>
                      <w:b/>
                      <w:bCs/>
                    </w:rPr>
                    <w:t>污染物</w:t>
                  </w:r>
                </w:p>
              </w:tc>
              <w:tc>
                <w:tcPr>
                  <w:tcW w:w="2268" w:type="dxa"/>
                  <w:vAlign w:val="center"/>
                </w:tcPr>
                <w:p w14:paraId="32305C3F">
                  <w:pPr>
                    <w:jc w:val="center"/>
                    <w:rPr>
                      <w:b/>
                      <w:bCs/>
                    </w:rPr>
                  </w:pPr>
                  <w:r>
                    <w:rPr>
                      <w:rFonts w:hint="eastAsia"/>
                      <w:b/>
                      <w:bCs/>
                    </w:rPr>
                    <w:t>污染源</w:t>
                  </w:r>
                </w:p>
              </w:tc>
              <w:tc>
                <w:tcPr>
                  <w:tcW w:w="2257" w:type="dxa"/>
                  <w:vAlign w:val="center"/>
                </w:tcPr>
                <w:p w14:paraId="044FB635">
                  <w:pPr>
                    <w:jc w:val="center"/>
                    <w:rPr>
                      <w:b/>
                      <w:bCs/>
                    </w:rPr>
                  </w:pPr>
                  <w:r>
                    <w:rPr>
                      <w:b/>
                      <w:bCs/>
                    </w:rPr>
                    <w:t>产生速率（kg/h）</w:t>
                  </w:r>
                </w:p>
              </w:tc>
              <w:tc>
                <w:tcPr>
                  <w:tcW w:w="2257" w:type="dxa"/>
                  <w:vAlign w:val="center"/>
                </w:tcPr>
                <w:p w14:paraId="010DB027">
                  <w:pPr>
                    <w:jc w:val="center"/>
                    <w:rPr>
                      <w:b/>
                      <w:bCs/>
                    </w:rPr>
                  </w:pPr>
                  <w:r>
                    <w:rPr>
                      <w:b/>
                      <w:bCs/>
                    </w:rPr>
                    <w:t>产生量（t/a）</w:t>
                  </w:r>
                </w:p>
              </w:tc>
            </w:tr>
            <w:tr w14:paraId="5BF3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468" w:type="dxa"/>
                  <w:vMerge w:val="restart"/>
                  <w:vAlign w:val="center"/>
                </w:tcPr>
                <w:p w14:paraId="6EB4EBD0">
                  <w:pPr>
                    <w:jc w:val="center"/>
                  </w:pPr>
                  <w:r>
                    <w:rPr>
                      <w:rFonts w:hint="eastAsia"/>
                      <w:color w:val="000000" w:themeColor="text1"/>
                      <w14:textFill>
                        <w14:solidFill>
                          <w14:schemeClr w14:val="tx1"/>
                        </w14:solidFill>
                      </w14:textFill>
                    </w:rPr>
                    <w:t>NH</w:t>
                  </w:r>
                  <w:r>
                    <w:rPr>
                      <w:rFonts w:hint="eastAsia"/>
                      <w:color w:val="000000" w:themeColor="text1"/>
                      <w:vertAlign w:val="subscript"/>
                      <w14:textFill>
                        <w14:solidFill>
                          <w14:schemeClr w14:val="tx1"/>
                        </w14:solidFill>
                      </w14:textFill>
                    </w:rPr>
                    <w:t>3</w:t>
                  </w:r>
                </w:p>
              </w:tc>
              <w:tc>
                <w:tcPr>
                  <w:tcW w:w="2268" w:type="dxa"/>
                  <w:vAlign w:val="center"/>
                </w:tcPr>
                <w:p w14:paraId="2DC77A77">
                  <w:pPr>
                    <w:jc w:val="center"/>
                  </w:pPr>
                  <w:r>
                    <w:t>待宰圈、屠宰车间</w:t>
                  </w:r>
                </w:p>
              </w:tc>
              <w:tc>
                <w:tcPr>
                  <w:tcW w:w="2257" w:type="dxa"/>
                  <w:vAlign w:val="center"/>
                </w:tcPr>
                <w:p w14:paraId="58B1F109">
                  <w:pPr>
                    <w:jc w:val="center"/>
                  </w:pPr>
                  <w:r>
                    <w:rPr>
                      <w:rFonts w:hint="eastAsia"/>
                    </w:rPr>
                    <w:t>0.15</w:t>
                  </w:r>
                </w:p>
              </w:tc>
              <w:tc>
                <w:tcPr>
                  <w:tcW w:w="2257" w:type="dxa"/>
                  <w:vAlign w:val="center"/>
                </w:tcPr>
                <w:p w14:paraId="3D78BCE3">
                  <w:pPr>
                    <w:jc w:val="center"/>
                  </w:pPr>
                  <w:r>
                    <w:rPr>
                      <w:rFonts w:hint="eastAsia"/>
                    </w:rPr>
                    <w:t>0.84</w:t>
                  </w:r>
                </w:p>
              </w:tc>
            </w:tr>
            <w:tr w14:paraId="5FB2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468" w:type="dxa"/>
                  <w:vMerge w:val="continue"/>
                  <w:vAlign w:val="center"/>
                </w:tcPr>
                <w:p w14:paraId="2E95AD6F">
                  <w:pPr>
                    <w:jc w:val="center"/>
                    <w:rPr>
                      <w:color w:val="000000" w:themeColor="text1"/>
                      <w14:textFill>
                        <w14:solidFill>
                          <w14:schemeClr w14:val="tx1"/>
                        </w14:solidFill>
                      </w14:textFill>
                    </w:rPr>
                  </w:pPr>
                </w:p>
              </w:tc>
              <w:tc>
                <w:tcPr>
                  <w:tcW w:w="2268" w:type="dxa"/>
                  <w:vAlign w:val="center"/>
                </w:tcPr>
                <w:p w14:paraId="3F2B3CA9">
                  <w:pPr>
                    <w:jc w:val="center"/>
                  </w:pPr>
                  <w:r>
                    <w:rPr>
                      <w:rFonts w:hint="eastAsia"/>
                    </w:rPr>
                    <w:t>生产废水</w:t>
                  </w:r>
                </w:p>
              </w:tc>
              <w:tc>
                <w:tcPr>
                  <w:tcW w:w="2257" w:type="dxa"/>
                  <w:vAlign w:val="center"/>
                </w:tcPr>
                <w:p w14:paraId="78C30837">
                  <w:pPr>
                    <w:jc w:val="center"/>
                  </w:pPr>
                  <w:r>
                    <w:rPr>
                      <w:rFonts w:hint="eastAsia"/>
                    </w:rPr>
                    <w:t>0.046</w:t>
                  </w:r>
                </w:p>
              </w:tc>
              <w:tc>
                <w:tcPr>
                  <w:tcW w:w="2257" w:type="dxa"/>
                  <w:vAlign w:val="center"/>
                </w:tcPr>
                <w:p w14:paraId="6D1F2A9A">
                  <w:pPr>
                    <w:jc w:val="center"/>
                  </w:pPr>
                  <w:r>
                    <w:rPr>
                      <w:rFonts w:hint="eastAsia"/>
                    </w:rPr>
                    <w:t>0.26</w:t>
                  </w:r>
                </w:p>
              </w:tc>
            </w:tr>
            <w:tr w14:paraId="4B72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468" w:type="dxa"/>
                  <w:vMerge w:val="continue"/>
                  <w:vAlign w:val="center"/>
                </w:tcPr>
                <w:p w14:paraId="55D9BD39">
                  <w:pPr>
                    <w:jc w:val="center"/>
                    <w:rPr>
                      <w:color w:val="000000" w:themeColor="text1"/>
                      <w14:textFill>
                        <w14:solidFill>
                          <w14:schemeClr w14:val="tx1"/>
                        </w14:solidFill>
                      </w14:textFill>
                    </w:rPr>
                  </w:pPr>
                </w:p>
              </w:tc>
              <w:tc>
                <w:tcPr>
                  <w:tcW w:w="2268" w:type="dxa"/>
                  <w:vAlign w:val="center"/>
                </w:tcPr>
                <w:p w14:paraId="1D3D0D53">
                  <w:pPr>
                    <w:jc w:val="center"/>
                  </w:pPr>
                  <w:r>
                    <w:rPr>
                      <w:rFonts w:hint="eastAsia"/>
                    </w:rPr>
                    <w:t>生活污水</w:t>
                  </w:r>
                </w:p>
              </w:tc>
              <w:tc>
                <w:tcPr>
                  <w:tcW w:w="2257" w:type="dxa"/>
                  <w:vAlign w:val="center"/>
                </w:tcPr>
                <w:p w14:paraId="4A34E5EB">
                  <w:pPr>
                    <w:jc w:val="center"/>
                  </w:pPr>
                  <w:r>
                    <w:rPr>
                      <w:rFonts w:hint="eastAsia"/>
                    </w:rPr>
                    <w:t>0.003</w:t>
                  </w:r>
                </w:p>
              </w:tc>
              <w:tc>
                <w:tcPr>
                  <w:tcW w:w="2257" w:type="dxa"/>
                  <w:vAlign w:val="center"/>
                </w:tcPr>
                <w:p w14:paraId="6A654E1F">
                  <w:pPr>
                    <w:jc w:val="center"/>
                  </w:pPr>
                  <w:r>
                    <w:rPr>
                      <w:rFonts w:hint="eastAsia"/>
                    </w:rPr>
                    <w:t>0.009</w:t>
                  </w:r>
                </w:p>
              </w:tc>
            </w:tr>
            <w:tr w14:paraId="7105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468" w:type="dxa"/>
                  <w:vMerge w:val="continue"/>
                  <w:vAlign w:val="center"/>
                </w:tcPr>
                <w:p w14:paraId="52CD2A3B">
                  <w:pPr>
                    <w:jc w:val="center"/>
                    <w:rPr>
                      <w:color w:val="000000" w:themeColor="text1"/>
                      <w14:textFill>
                        <w14:solidFill>
                          <w14:schemeClr w14:val="tx1"/>
                        </w14:solidFill>
                      </w14:textFill>
                    </w:rPr>
                  </w:pPr>
                </w:p>
              </w:tc>
              <w:tc>
                <w:tcPr>
                  <w:tcW w:w="2268" w:type="dxa"/>
                  <w:vAlign w:val="center"/>
                </w:tcPr>
                <w:p w14:paraId="23DA099A">
                  <w:pPr>
                    <w:jc w:val="center"/>
                  </w:pPr>
                  <w:r>
                    <w:t>合计</w:t>
                  </w:r>
                </w:p>
              </w:tc>
              <w:tc>
                <w:tcPr>
                  <w:tcW w:w="2257" w:type="dxa"/>
                  <w:vAlign w:val="center"/>
                </w:tcPr>
                <w:p w14:paraId="7EAF2F8F">
                  <w:pPr>
                    <w:jc w:val="center"/>
                    <w:rPr>
                      <w:b/>
                      <w:bCs/>
                    </w:rPr>
                  </w:pPr>
                  <w:r>
                    <w:rPr>
                      <w:rFonts w:hint="eastAsia"/>
                      <w:b/>
                      <w:bCs/>
                    </w:rPr>
                    <w:t>0.199</w:t>
                  </w:r>
                </w:p>
              </w:tc>
              <w:tc>
                <w:tcPr>
                  <w:tcW w:w="2257" w:type="dxa"/>
                  <w:vAlign w:val="center"/>
                </w:tcPr>
                <w:p w14:paraId="21C08041">
                  <w:pPr>
                    <w:jc w:val="center"/>
                    <w:rPr>
                      <w:b/>
                      <w:bCs/>
                    </w:rPr>
                  </w:pPr>
                  <w:r>
                    <w:rPr>
                      <w:rFonts w:hint="eastAsia"/>
                      <w:b/>
                      <w:bCs/>
                    </w:rPr>
                    <w:t>1.109</w:t>
                  </w:r>
                </w:p>
              </w:tc>
            </w:tr>
            <w:tr w14:paraId="3AC4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468" w:type="dxa"/>
                  <w:vMerge w:val="restart"/>
                  <w:vAlign w:val="center"/>
                </w:tcPr>
                <w:p w14:paraId="1A884590">
                  <w:pPr>
                    <w:jc w:val="center"/>
                  </w:pP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tc>
              <w:tc>
                <w:tcPr>
                  <w:tcW w:w="2268" w:type="dxa"/>
                  <w:vAlign w:val="center"/>
                </w:tcPr>
                <w:p w14:paraId="78E1636D">
                  <w:pPr>
                    <w:jc w:val="center"/>
                    <w:rPr>
                      <w:color w:val="000000" w:themeColor="text1"/>
                      <w14:textFill>
                        <w14:solidFill>
                          <w14:schemeClr w14:val="tx1"/>
                        </w14:solidFill>
                      </w14:textFill>
                    </w:rPr>
                  </w:pPr>
                  <w:r>
                    <w:t>待宰圈、屠宰车间</w:t>
                  </w:r>
                </w:p>
              </w:tc>
              <w:tc>
                <w:tcPr>
                  <w:tcW w:w="2257" w:type="dxa"/>
                  <w:vAlign w:val="center"/>
                </w:tcPr>
                <w:p w14:paraId="79B03CB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2257" w:type="dxa"/>
                  <w:vAlign w:val="center"/>
                </w:tcPr>
                <w:p w14:paraId="791521F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0.056</w:t>
                  </w:r>
                </w:p>
              </w:tc>
            </w:tr>
            <w:tr w14:paraId="5616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468" w:type="dxa"/>
                  <w:vMerge w:val="continue"/>
                  <w:vAlign w:val="center"/>
                </w:tcPr>
                <w:p w14:paraId="62849921">
                  <w:pPr>
                    <w:jc w:val="center"/>
                    <w:rPr>
                      <w:color w:val="000000" w:themeColor="text1"/>
                      <w14:textFill>
                        <w14:solidFill>
                          <w14:schemeClr w14:val="tx1"/>
                        </w14:solidFill>
                      </w14:textFill>
                    </w:rPr>
                  </w:pPr>
                </w:p>
              </w:tc>
              <w:tc>
                <w:tcPr>
                  <w:tcW w:w="2268" w:type="dxa"/>
                  <w:vAlign w:val="center"/>
                </w:tcPr>
                <w:p w14:paraId="13F37968">
                  <w:pPr>
                    <w:jc w:val="center"/>
                    <w:rPr>
                      <w:color w:val="000000" w:themeColor="text1"/>
                      <w14:textFill>
                        <w14:solidFill>
                          <w14:schemeClr w14:val="tx1"/>
                        </w14:solidFill>
                      </w14:textFill>
                    </w:rPr>
                  </w:pPr>
                  <w:r>
                    <w:rPr>
                      <w:rFonts w:hint="eastAsia"/>
                    </w:rPr>
                    <w:t>生产废水</w:t>
                  </w:r>
                </w:p>
              </w:tc>
              <w:tc>
                <w:tcPr>
                  <w:tcW w:w="2257" w:type="dxa"/>
                  <w:vAlign w:val="center"/>
                </w:tcPr>
                <w:p w14:paraId="7E854C44">
                  <w:pPr>
                    <w:jc w:val="center"/>
                  </w:pPr>
                  <w:r>
                    <w:rPr>
                      <w:rFonts w:hint="eastAsia"/>
                    </w:rPr>
                    <w:t>0.002</w:t>
                  </w:r>
                </w:p>
              </w:tc>
              <w:tc>
                <w:tcPr>
                  <w:tcW w:w="2257" w:type="dxa"/>
                  <w:vAlign w:val="center"/>
                </w:tcPr>
                <w:p w14:paraId="5ACBC377">
                  <w:pPr>
                    <w:jc w:val="center"/>
                  </w:pPr>
                  <w:r>
                    <w:rPr>
                      <w:rFonts w:hint="eastAsia"/>
                    </w:rPr>
                    <w:t>0.01</w:t>
                  </w:r>
                </w:p>
              </w:tc>
            </w:tr>
            <w:tr w14:paraId="60F8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468" w:type="dxa"/>
                  <w:vMerge w:val="continue"/>
                  <w:vAlign w:val="center"/>
                </w:tcPr>
                <w:p w14:paraId="3573B814">
                  <w:pPr>
                    <w:jc w:val="center"/>
                    <w:rPr>
                      <w:color w:val="000000" w:themeColor="text1"/>
                      <w14:textFill>
                        <w14:solidFill>
                          <w14:schemeClr w14:val="tx1"/>
                        </w14:solidFill>
                      </w14:textFill>
                    </w:rPr>
                  </w:pPr>
                </w:p>
              </w:tc>
              <w:tc>
                <w:tcPr>
                  <w:tcW w:w="2268" w:type="dxa"/>
                  <w:vAlign w:val="center"/>
                </w:tcPr>
                <w:p w14:paraId="3369AC9C">
                  <w:pPr>
                    <w:jc w:val="center"/>
                  </w:pPr>
                  <w:r>
                    <w:rPr>
                      <w:rFonts w:hint="eastAsia"/>
                    </w:rPr>
                    <w:t>生活污水</w:t>
                  </w:r>
                </w:p>
              </w:tc>
              <w:tc>
                <w:tcPr>
                  <w:tcW w:w="2257" w:type="dxa"/>
                  <w:vAlign w:val="center"/>
                </w:tcPr>
                <w:p w14:paraId="780FB23D">
                  <w:pPr>
                    <w:jc w:val="center"/>
                  </w:pPr>
                  <w:r>
                    <w:rPr>
                      <w:rFonts w:hint="eastAsia"/>
                    </w:rPr>
                    <w:t>0.0001</w:t>
                  </w:r>
                </w:p>
              </w:tc>
              <w:tc>
                <w:tcPr>
                  <w:tcW w:w="2257" w:type="dxa"/>
                  <w:vAlign w:val="center"/>
                </w:tcPr>
                <w:p w14:paraId="0D35B8A3">
                  <w:pPr>
                    <w:jc w:val="center"/>
                  </w:pPr>
                  <w:r>
                    <w:rPr>
                      <w:rFonts w:hint="eastAsia"/>
                    </w:rPr>
                    <w:t>0.0003</w:t>
                  </w:r>
                </w:p>
              </w:tc>
            </w:tr>
            <w:tr w14:paraId="45B8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468" w:type="dxa"/>
                  <w:vMerge w:val="continue"/>
                  <w:vAlign w:val="center"/>
                </w:tcPr>
                <w:p w14:paraId="52AB75C9">
                  <w:pPr>
                    <w:jc w:val="center"/>
                    <w:rPr>
                      <w:color w:val="000000" w:themeColor="text1"/>
                      <w14:textFill>
                        <w14:solidFill>
                          <w14:schemeClr w14:val="tx1"/>
                        </w14:solidFill>
                      </w14:textFill>
                    </w:rPr>
                  </w:pPr>
                </w:p>
              </w:tc>
              <w:tc>
                <w:tcPr>
                  <w:tcW w:w="2268" w:type="dxa"/>
                  <w:vAlign w:val="center"/>
                </w:tcPr>
                <w:p w14:paraId="16D275D1">
                  <w:pPr>
                    <w:jc w:val="center"/>
                  </w:pPr>
                  <w:r>
                    <w:t>合计</w:t>
                  </w:r>
                </w:p>
              </w:tc>
              <w:tc>
                <w:tcPr>
                  <w:tcW w:w="2257" w:type="dxa"/>
                  <w:vAlign w:val="center"/>
                </w:tcPr>
                <w:p w14:paraId="22FE8594">
                  <w:pPr>
                    <w:jc w:val="center"/>
                    <w:rPr>
                      <w:b/>
                      <w:bCs/>
                    </w:rPr>
                  </w:pPr>
                  <w:r>
                    <w:rPr>
                      <w:rFonts w:hint="eastAsia"/>
                      <w:b/>
                      <w:bCs/>
                    </w:rPr>
                    <w:t>0.0121</w:t>
                  </w:r>
                </w:p>
              </w:tc>
              <w:tc>
                <w:tcPr>
                  <w:tcW w:w="2257" w:type="dxa"/>
                  <w:vAlign w:val="center"/>
                </w:tcPr>
                <w:p w14:paraId="19575084">
                  <w:pPr>
                    <w:jc w:val="center"/>
                    <w:rPr>
                      <w:b/>
                      <w:bCs/>
                    </w:rPr>
                  </w:pPr>
                  <w:r>
                    <w:rPr>
                      <w:rFonts w:hint="eastAsia"/>
                      <w:b/>
                      <w:bCs/>
                    </w:rPr>
                    <w:t>0.0663</w:t>
                  </w:r>
                </w:p>
              </w:tc>
            </w:tr>
            <w:tr w14:paraId="1515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468" w:type="dxa"/>
                  <w:vAlign w:val="center"/>
                </w:tcPr>
                <w:p w14:paraId="78B977C4">
                  <w:pPr>
                    <w:jc w:val="center"/>
                    <w:rPr>
                      <w:color w:val="000000" w:themeColor="text1"/>
                      <w14:textFill>
                        <w14:solidFill>
                          <w14:schemeClr w14:val="tx1"/>
                        </w14:solidFill>
                      </w14:textFill>
                    </w:rPr>
                  </w:pPr>
                  <w:r>
                    <w:rPr>
                      <w:color w:val="000000" w:themeColor="text1"/>
                      <w14:textFill>
                        <w14:solidFill>
                          <w14:schemeClr w14:val="tx1"/>
                        </w14:solidFill>
                      </w14:textFill>
                    </w:rPr>
                    <w:t>油烟</w:t>
                  </w:r>
                </w:p>
              </w:tc>
              <w:tc>
                <w:tcPr>
                  <w:tcW w:w="2268" w:type="dxa"/>
                  <w:vAlign w:val="center"/>
                </w:tcPr>
                <w:p w14:paraId="7E348FD6">
                  <w:pPr>
                    <w:jc w:val="center"/>
                  </w:pPr>
                  <w:r>
                    <w:rPr>
                      <w:color w:val="000000" w:themeColor="text1"/>
                      <w14:textFill>
                        <w14:solidFill>
                          <w14:schemeClr w14:val="tx1"/>
                        </w14:solidFill>
                      </w14:textFill>
                    </w:rPr>
                    <w:t>职工食堂</w:t>
                  </w:r>
                </w:p>
              </w:tc>
              <w:tc>
                <w:tcPr>
                  <w:tcW w:w="2257" w:type="dxa"/>
                  <w:vAlign w:val="center"/>
                </w:tcPr>
                <w:p w14:paraId="417F0BD7">
                  <w:pPr>
                    <w:jc w:val="center"/>
                    <w:rPr>
                      <w:b/>
                      <w:bCs/>
                    </w:rPr>
                  </w:pPr>
                  <w:r>
                    <w:rPr>
                      <w:rFonts w:hint="eastAsia"/>
                      <w:b/>
                      <w:bCs/>
                    </w:rPr>
                    <w:t>0.057</w:t>
                  </w:r>
                </w:p>
              </w:tc>
              <w:tc>
                <w:tcPr>
                  <w:tcW w:w="2257" w:type="dxa"/>
                  <w:vAlign w:val="center"/>
                </w:tcPr>
                <w:p w14:paraId="41F5FDC3">
                  <w:pPr>
                    <w:jc w:val="center"/>
                    <w:rPr>
                      <w:b/>
                      <w:bCs/>
                    </w:rPr>
                  </w:pPr>
                  <w:r>
                    <w:rPr>
                      <w:rFonts w:hint="eastAsia"/>
                      <w:b/>
                      <w:bCs/>
                    </w:rPr>
                    <w:t>0.03</w:t>
                  </w:r>
                </w:p>
              </w:tc>
            </w:tr>
          </w:tbl>
          <w:p w14:paraId="1D0E0223">
            <w:pPr>
              <w:pStyle w:val="36"/>
              <w:spacing w:line="240" w:lineRule="auto"/>
              <w:ind w:firstLine="0" w:firstLineChars="0"/>
              <w:rPr>
                <w:rFonts w:cs="Times New Roman"/>
                <w:color w:val="000000" w:themeColor="text1"/>
                <w:spacing w:val="0"/>
                <w:lang w:eastAsia="zh-CN"/>
                <w14:textFill>
                  <w14:solidFill>
                    <w14:schemeClr w14:val="tx1"/>
                  </w14:solidFill>
                </w14:textFill>
              </w:rPr>
            </w:pPr>
          </w:p>
          <w:p w14:paraId="2CA9840E">
            <w:pPr>
              <w:pStyle w:val="36"/>
              <w:ind w:firstLine="480"/>
              <w:rPr>
                <w:rFonts w:cs="Times New Roman"/>
                <w:color w:val="000000" w:themeColor="text1"/>
                <w:spacing w:val="0"/>
                <w:lang w:eastAsia="zh-CN"/>
                <w14:textFill>
                  <w14:solidFill>
                    <w14:schemeClr w14:val="tx1"/>
                  </w14:solidFill>
                </w14:textFill>
              </w:rPr>
            </w:pPr>
            <w:r>
              <w:rPr>
                <w:rFonts w:hint="eastAsia" w:cs="Times New Roman"/>
                <w:color w:val="000000" w:themeColor="text1"/>
                <w:spacing w:val="0"/>
                <w:lang w:eastAsia="zh-CN"/>
                <w14:textFill>
                  <w14:solidFill>
                    <w14:schemeClr w14:val="tx1"/>
                  </w14:solidFill>
                </w14:textFill>
              </w:rPr>
              <w:t>如表4-2，项目达产后，全厂</w:t>
            </w:r>
            <w:r>
              <w:rPr>
                <w:rFonts w:hint="eastAsia"/>
                <w:color w:val="000000" w:themeColor="text1"/>
                <w:spacing w:val="0"/>
                <w:lang w:eastAsia="zh-CN"/>
                <w14:textFill>
                  <w14:solidFill>
                    <w14:schemeClr w14:val="tx1"/>
                  </w14:solidFill>
                </w14:textFill>
              </w:rPr>
              <w:t>NH</w:t>
            </w:r>
            <w:r>
              <w:rPr>
                <w:rFonts w:hint="eastAsia"/>
                <w:color w:val="000000" w:themeColor="text1"/>
                <w:spacing w:val="0"/>
                <w:vertAlign w:val="subscript"/>
                <w:lang w:eastAsia="zh-CN"/>
                <w14:textFill>
                  <w14:solidFill>
                    <w14:schemeClr w14:val="tx1"/>
                  </w14:solidFill>
                </w14:textFill>
              </w:rPr>
              <w:t>3</w:t>
            </w:r>
            <w:r>
              <w:rPr>
                <w:rFonts w:hint="eastAsia" w:cs="Times New Roman"/>
                <w:color w:val="000000" w:themeColor="text1"/>
                <w:spacing w:val="0"/>
                <w:lang w:eastAsia="zh-CN"/>
                <w14:textFill>
                  <w14:solidFill>
                    <w14:schemeClr w14:val="tx1"/>
                  </w14:solidFill>
                </w14:textFill>
              </w:rPr>
              <w:t>产生速率约0.199</w:t>
            </w:r>
            <w:r>
              <w:rPr>
                <w:rFonts w:hint="eastAsia"/>
                <w:color w:val="000000" w:themeColor="text1"/>
                <w:spacing w:val="0"/>
                <w:lang w:eastAsia="zh-CN"/>
                <w14:textFill>
                  <w14:solidFill>
                    <w14:schemeClr w14:val="tx1"/>
                  </w14:solidFill>
                </w14:textFill>
              </w:rPr>
              <w:t>kg/h</w:t>
            </w:r>
            <w:r>
              <w:rPr>
                <w:rFonts w:hint="eastAsia" w:cs="Times New Roman"/>
                <w:color w:val="000000" w:themeColor="text1"/>
                <w:spacing w:val="0"/>
                <w:lang w:eastAsia="zh-CN"/>
                <w14:textFill>
                  <w14:solidFill>
                    <w14:schemeClr w14:val="tx1"/>
                  </w14:solidFill>
                </w14:textFill>
              </w:rPr>
              <w:t>，产生量约1.109</w:t>
            </w:r>
            <w:r>
              <w:rPr>
                <w:rFonts w:hint="eastAsia"/>
                <w:color w:val="000000" w:themeColor="text1"/>
                <w:spacing w:val="0"/>
                <w:lang w:eastAsia="zh-CN"/>
                <w14:textFill>
                  <w14:solidFill>
                    <w14:schemeClr w14:val="tx1"/>
                  </w14:solidFill>
                </w14:textFill>
              </w:rPr>
              <w:t>t/a</w:t>
            </w:r>
            <w:r>
              <w:rPr>
                <w:rFonts w:hint="eastAsia" w:cs="Times New Roman"/>
                <w:color w:val="000000" w:themeColor="text1"/>
                <w:spacing w:val="0"/>
                <w:lang w:eastAsia="zh-CN"/>
                <w14:textFill>
                  <w14:solidFill>
                    <w14:schemeClr w14:val="tx1"/>
                  </w14:solidFill>
                </w14:textFill>
              </w:rPr>
              <w:t>；</w:t>
            </w:r>
            <w:r>
              <w:rPr>
                <w:rFonts w:hint="eastAsia"/>
                <w:color w:val="000000" w:themeColor="text1"/>
                <w:spacing w:val="0"/>
                <w:lang w:eastAsia="zh-CN"/>
                <w14:textFill>
                  <w14:solidFill>
                    <w14:schemeClr w14:val="tx1"/>
                  </w14:solidFill>
                </w14:textFill>
              </w:rPr>
              <w:t>H</w:t>
            </w:r>
            <w:r>
              <w:rPr>
                <w:rFonts w:hint="eastAsia"/>
                <w:color w:val="000000" w:themeColor="text1"/>
                <w:spacing w:val="0"/>
                <w:vertAlign w:val="subscript"/>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S</w:t>
            </w:r>
            <w:r>
              <w:rPr>
                <w:rFonts w:hint="eastAsia" w:cs="Times New Roman"/>
                <w:color w:val="000000" w:themeColor="text1"/>
                <w:spacing w:val="0"/>
                <w:lang w:eastAsia="zh-CN"/>
                <w14:textFill>
                  <w14:solidFill>
                    <w14:schemeClr w14:val="tx1"/>
                  </w14:solidFill>
                </w14:textFill>
              </w:rPr>
              <w:t>产生速率约0.0121</w:t>
            </w:r>
            <w:r>
              <w:rPr>
                <w:rFonts w:hint="eastAsia"/>
                <w:color w:val="000000" w:themeColor="text1"/>
                <w:spacing w:val="0"/>
                <w:lang w:eastAsia="zh-CN"/>
                <w14:textFill>
                  <w14:solidFill>
                    <w14:schemeClr w14:val="tx1"/>
                  </w14:solidFill>
                </w14:textFill>
              </w:rPr>
              <w:t>kg/h</w:t>
            </w:r>
            <w:r>
              <w:rPr>
                <w:rFonts w:hint="eastAsia" w:cs="Times New Roman"/>
                <w:color w:val="000000" w:themeColor="text1"/>
                <w:spacing w:val="0"/>
                <w:lang w:eastAsia="zh-CN"/>
                <w14:textFill>
                  <w14:solidFill>
                    <w14:schemeClr w14:val="tx1"/>
                  </w14:solidFill>
                </w14:textFill>
              </w:rPr>
              <w:t>，产生量约0.0663</w:t>
            </w:r>
            <w:r>
              <w:rPr>
                <w:rFonts w:hint="eastAsia"/>
                <w:color w:val="000000" w:themeColor="text1"/>
                <w:spacing w:val="0"/>
                <w:lang w:eastAsia="zh-CN"/>
                <w14:textFill>
                  <w14:solidFill>
                    <w14:schemeClr w14:val="tx1"/>
                  </w14:solidFill>
                </w14:textFill>
              </w:rPr>
              <w:t>t/a</w:t>
            </w:r>
            <w:r>
              <w:rPr>
                <w:rFonts w:hint="eastAsia" w:cs="Times New Roman"/>
                <w:color w:val="000000" w:themeColor="text1"/>
                <w:spacing w:val="0"/>
                <w:lang w:eastAsia="zh-CN"/>
                <w14:textFill>
                  <w14:solidFill>
                    <w14:schemeClr w14:val="tx1"/>
                  </w14:solidFill>
                </w14:textFill>
              </w:rPr>
              <w:t>；职工食堂油烟产生速率约0.057</w:t>
            </w:r>
            <w:r>
              <w:rPr>
                <w:rFonts w:hint="eastAsia"/>
                <w:color w:val="000000" w:themeColor="text1"/>
                <w:spacing w:val="0"/>
                <w:lang w:eastAsia="zh-CN"/>
                <w14:textFill>
                  <w14:solidFill>
                    <w14:schemeClr w14:val="tx1"/>
                  </w14:solidFill>
                </w14:textFill>
              </w:rPr>
              <w:t>kg/h</w:t>
            </w:r>
            <w:r>
              <w:rPr>
                <w:rFonts w:hint="eastAsia" w:cs="Times New Roman"/>
                <w:color w:val="000000" w:themeColor="text1"/>
                <w:spacing w:val="0"/>
                <w:lang w:eastAsia="zh-CN"/>
                <w14:textFill>
                  <w14:solidFill>
                    <w14:schemeClr w14:val="tx1"/>
                  </w14:solidFill>
                </w14:textFill>
              </w:rPr>
              <w:t>，产生量约0.03</w:t>
            </w:r>
            <w:r>
              <w:rPr>
                <w:rFonts w:hint="eastAsia"/>
                <w:color w:val="000000" w:themeColor="text1"/>
                <w:spacing w:val="0"/>
                <w:lang w:eastAsia="zh-CN"/>
                <w14:textFill>
                  <w14:solidFill>
                    <w14:schemeClr w14:val="tx1"/>
                  </w14:solidFill>
                </w14:textFill>
              </w:rPr>
              <w:t>t/a</w:t>
            </w:r>
            <w:r>
              <w:rPr>
                <w:rFonts w:hint="eastAsia" w:cs="Times New Roman"/>
                <w:color w:val="000000" w:themeColor="text1"/>
                <w:spacing w:val="0"/>
                <w:lang w:eastAsia="zh-CN"/>
                <w14:textFill>
                  <w14:solidFill>
                    <w14:schemeClr w14:val="tx1"/>
                  </w14:solidFill>
                </w14:textFill>
              </w:rPr>
              <w:t>。</w:t>
            </w:r>
          </w:p>
          <w:p w14:paraId="459B88E6">
            <w:pPr>
              <w:pStyle w:val="36"/>
              <w:ind w:firstLine="482"/>
              <w:jc w:val="left"/>
              <w:rPr>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（3）废气治理措施</w:t>
            </w:r>
          </w:p>
          <w:p w14:paraId="7ADFAF20">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1）恶臭气体</w:t>
            </w:r>
          </w:p>
          <w:p w14:paraId="724E5B14">
            <w:pPr>
              <w:pStyle w:val="36"/>
              <w:ind w:firstLine="480"/>
              <w:rPr>
                <w:color w:val="000000" w:themeColor="text1"/>
                <w:spacing w:val="0"/>
                <w:lang w:eastAsia="zh-CN"/>
                <w14:textFill>
                  <w14:solidFill>
                    <w14:schemeClr w14:val="tx1"/>
                  </w14:solidFill>
                </w14:textFill>
              </w:rPr>
            </w:pPr>
            <w:r>
              <w:rPr>
                <w:rFonts w:hint="eastAsia" w:ascii="宋体" w:hAnsi="宋体"/>
                <w:color w:val="000000" w:themeColor="text1"/>
                <w:spacing w:val="0"/>
                <w:lang w:eastAsia="zh-CN"/>
                <w14:textFill>
                  <w14:solidFill>
                    <w14:schemeClr w14:val="tx1"/>
                  </w14:solidFill>
                </w14:textFill>
              </w:rPr>
              <w:t>①</w:t>
            </w:r>
            <w:r>
              <w:rPr>
                <w:rFonts w:hint="eastAsia"/>
                <w:color w:val="000000" w:themeColor="text1"/>
                <w:spacing w:val="0"/>
                <w:lang w:eastAsia="zh-CN"/>
                <w14:textFill>
                  <w14:solidFill>
                    <w14:schemeClr w14:val="tx1"/>
                  </w14:solidFill>
                </w14:textFill>
              </w:rPr>
              <w:t>及时清理待宰圈、屠宰车间粪便、血污、内脏，定时冲洗屠宰车间地面，加强屠宰车间、精深加工车间机械通风。待宰圈、屠宰车间、废水处理站、粪便临时堆场喷洒生物除臭剂。</w:t>
            </w:r>
          </w:p>
          <w:p w14:paraId="4D87DFA8">
            <w:pPr>
              <w:pStyle w:val="36"/>
              <w:ind w:firstLine="480"/>
              <w:rPr>
                <w:color w:val="000000" w:themeColor="text1"/>
                <w:spacing w:val="0"/>
                <w:lang w:eastAsia="zh-CN"/>
                <w14:textFill>
                  <w14:solidFill>
                    <w14:schemeClr w14:val="tx1"/>
                  </w14:solidFill>
                </w14:textFill>
              </w:rPr>
            </w:pPr>
            <w:r>
              <w:rPr>
                <w:rFonts w:hint="eastAsia" w:ascii="宋体" w:hAnsi="宋体"/>
                <w:color w:val="000000" w:themeColor="text1"/>
                <w:spacing w:val="0"/>
                <w:lang w:eastAsia="zh-CN"/>
                <w14:textFill>
                  <w14:solidFill>
                    <w14:schemeClr w14:val="tx1"/>
                  </w14:solidFill>
                </w14:textFill>
              </w:rPr>
              <w:t>②</w:t>
            </w:r>
            <w:r>
              <w:rPr>
                <w:rFonts w:hint="eastAsia"/>
                <w:color w:val="000000" w:themeColor="text1"/>
                <w:spacing w:val="0"/>
                <w:lang w:eastAsia="zh-CN"/>
                <w14:textFill>
                  <w14:solidFill>
                    <w14:schemeClr w14:val="tx1"/>
                  </w14:solidFill>
                </w14:textFill>
              </w:rPr>
              <w:t>废水处理站调节池、厌氧池、污泥池等处理单元加盖、加罩，</w:t>
            </w:r>
            <w:r>
              <w:rPr>
                <w:rFonts w:hint="eastAsia"/>
                <w:bCs/>
                <w:spacing w:val="0"/>
                <w:szCs w:val="21"/>
                <w:lang w:eastAsia="zh-CN"/>
              </w:rPr>
              <w:t>生产废水在臭氧催化氧化塔内密闭处理</w:t>
            </w:r>
            <w:r>
              <w:rPr>
                <w:rFonts w:hint="eastAsia"/>
                <w:color w:val="000000" w:themeColor="text1"/>
                <w:spacing w:val="0"/>
                <w:lang w:eastAsia="zh-CN"/>
                <w14:textFill>
                  <w14:solidFill>
                    <w14:schemeClr w14:val="tx1"/>
                  </w14:solidFill>
                </w14:textFill>
              </w:rPr>
              <w:t>。生活污水经地埋式隔油池、化粪池密闭处理。</w:t>
            </w:r>
          </w:p>
          <w:p w14:paraId="451FAF6B">
            <w:pPr>
              <w:pStyle w:val="36"/>
              <w:ind w:firstLine="480"/>
              <w:rPr>
                <w:color w:val="000000" w:themeColor="text1"/>
                <w:spacing w:val="0"/>
                <w:lang w:eastAsia="zh-CN"/>
                <w14:textFill>
                  <w14:solidFill>
                    <w14:schemeClr w14:val="tx1"/>
                  </w14:solidFill>
                </w14:textFill>
              </w:rPr>
            </w:pPr>
            <w:r>
              <w:rPr>
                <w:rFonts w:hint="eastAsia" w:ascii="宋体" w:hAnsi="宋体"/>
                <w:color w:val="000000" w:themeColor="text1"/>
                <w:spacing w:val="0"/>
                <w:lang w:eastAsia="zh-CN"/>
                <w14:textFill>
                  <w14:solidFill>
                    <w14:schemeClr w14:val="tx1"/>
                  </w14:solidFill>
                </w14:textFill>
              </w:rPr>
              <w:t>③</w:t>
            </w:r>
            <w:r>
              <w:rPr>
                <w:rFonts w:hint="eastAsia"/>
                <w:color w:val="000000" w:themeColor="text1"/>
                <w:spacing w:val="0"/>
                <w:lang w:eastAsia="zh-CN"/>
                <w14:textFill>
                  <w14:solidFill>
                    <w14:schemeClr w14:val="tx1"/>
                  </w14:solidFill>
                </w14:textFill>
              </w:rPr>
              <w:t>粪便临时堆场四面加装封闭围栏。厂界</w:t>
            </w:r>
            <w:commentRangeStart w:id="3"/>
            <w:r>
              <w:rPr>
                <w:rFonts w:hint="eastAsia"/>
                <w:color w:val="000000" w:themeColor="text1"/>
                <w:spacing w:val="0"/>
                <w:lang w:eastAsia="zh-CN"/>
                <w14:textFill>
                  <w14:solidFill>
                    <w14:schemeClr w14:val="tx1"/>
                  </w14:solidFill>
                </w14:textFill>
              </w:rPr>
              <w:t>设置绿化带</w:t>
            </w:r>
            <w:commentRangeEnd w:id="3"/>
            <w:r>
              <w:rPr>
                <w:rStyle w:val="28"/>
                <w:rFonts w:hint="eastAsia"/>
                <w:color w:val="000000" w:themeColor="text1"/>
                <w:spacing w:val="0"/>
                <w:sz w:val="24"/>
                <w:lang w:eastAsia="zh-CN"/>
                <w14:textFill>
                  <w14:solidFill>
                    <w14:schemeClr w14:val="tx1"/>
                  </w14:solidFill>
                </w14:textFill>
              </w:rPr>
              <w:commentReference w:id="3"/>
            </w:r>
            <w:r>
              <w:rPr>
                <w:rFonts w:hint="eastAsia"/>
                <w:color w:val="000000" w:themeColor="text1"/>
                <w:spacing w:val="0"/>
                <w:lang w:eastAsia="zh-CN"/>
                <w14:textFill>
                  <w14:solidFill>
                    <w14:schemeClr w14:val="tx1"/>
                  </w14:solidFill>
                </w14:textFill>
              </w:rPr>
              <w:t>。</w:t>
            </w:r>
          </w:p>
          <w:p w14:paraId="6B998585">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2）</w:t>
            </w:r>
            <w:r>
              <w:rPr>
                <w:color w:val="000000" w:themeColor="text1"/>
                <w:spacing w:val="0"/>
                <w:lang w:eastAsia="zh-CN"/>
                <w14:textFill>
                  <w14:solidFill>
                    <w14:schemeClr w14:val="tx1"/>
                  </w14:solidFill>
                </w14:textFill>
              </w:rPr>
              <w:t>食堂油烟</w:t>
            </w:r>
          </w:p>
          <w:p w14:paraId="7BA41D7F">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职工</w:t>
            </w:r>
            <w:r>
              <w:rPr>
                <w:color w:val="000000" w:themeColor="text1"/>
                <w:spacing w:val="0"/>
                <w:lang w:eastAsia="zh-CN"/>
                <w14:textFill>
                  <w14:solidFill>
                    <w14:schemeClr w14:val="tx1"/>
                  </w14:solidFill>
                </w14:textFill>
              </w:rPr>
              <w:t>食堂安装油烟净化器，处理效率不低于85%，油烟</w:t>
            </w:r>
            <w:r>
              <w:rPr>
                <w:rFonts w:hint="eastAsia"/>
                <w:color w:val="000000" w:themeColor="text1"/>
                <w:spacing w:val="0"/>
                <w:lang w:eastAsia="zh-CN"/>
                <w14:textFill>
                  <w14:solidFill>
                    <w14:schemeClr w14:val="tx1"/>
                  </w14:solidFill>
                </w14:textFill>
              </w:rPr>
              <w:t>净化后</w:t>
            </w:r>
            <w:r>
              <w:rPr>
                <w:color w:val="000000" w:themeColor="text1"/>
                <w:spacing w:val="0"/>
                <w:lang w:eastAsia="zh-CN"/>
                <w14:textFill>
                  <w14:solidFill>
                    <w14:schemeClr w14:val="tx1"/>
                  </w14:solidFill>
                </w14:textFill>
              </w:rPr>
              <w:t>通过专用烟道引至屋顶排放。</w:t>
            </w:r>
          </w:p>
          <w:p w14:paraId="026F75DA">
            <w:pPr>
              <w:pStyle w:val="36"/>
              <w:ind w:firstLine="482"/>
              <w:jc w:val="left"/>
              <w:rPr>
                <w:b/>
                <w:bCs/>
                <w:spacing w:val="0"/>
                <w:lang w:eastAsia="zh-CN"/>
              </w:rPr>
            </w:pPr>
            <w:r>
              <w:rPr>
                <w:rFonts w:hint="eastAsia"/>
                <w:b/>
                <w:bCs/>
                <w:color w:val="000000" w:themeColor="text1"/>
                <w:spacing w:val="0"/>
                <w:lang w:eastAsia="zh-CN"/>
                <w14:textFill>
                  <w14:solidFill>
                    <w14:schemeClr w14:val="tx1"/>
                  </w14:solidFill>
                </w14:textFill>
              </w:rPr>
              <w:t>（4）</w:t>
            </w:r>
            <w:r>
              <w:rPr>
                <w:b/>
                <w:bCs/>
                <w:spacing w:val="0"/>
                <w:lang w:eastAsia="zh-CN"/>
              </w:rPr>
              <w:t>废气治理</w:t>
            </w:r>
            <w:r>
              <w:rPr>
                <w:rFonts w:hint="eastAsia"/>
                <w:b/>
                <w:bCs/>
                <w:spacing w:val="0"/>
                <w:lang w:eastAsia="zh-CN"/>
              </w:rPr>
              <w:t>措施可行性分析</w:t>
            </w:r>
          </w:p>
          <w:p w14:paraId="0908EF2F">
            <w:pPr>
              <w:pStyle w:val="36"/>
              <w:ind w:firstLine="480"/>
              <w:rPr>
                <w:spacing w:val="0"/>
                <w:lang w:eastAsia="zh-CN"/>
              </w:rPr>
            </w:pPr>
            <w:r>
              <w:rPr>
                <w:rFonts w:hint="eastAsia"/>
                <w:spacing w:val="0"/>
                <w:lang w:eastAsia="zh-CN"/>
              </w:rPr>
              <w:t>项目采取的上述废气治理措施为《排污许可证申请与核发技术规范 农副食品加工工业-屠宰及肉类加工工业》（HJ 860.3-2018）中技术可行，经济合理的治理措施。</w:t>
            </w:r>
          </w:p>
          <w:p w14:paraId="50B4E979">
            <w:pPr>
              <w:pStyle w:val="36"/>
              <w:ind w:firstLine="480"/>
              <w:rPr>
                <w:spacing w:val="0"/>
                <w:lang w:eastAsia="zh-CN"/>
              </w:rPr>
            </w:pPr>
            <w:r>
              <w:rPr>
                <w:rFonts w:hint="eastAsia"/>
                <w:spacing w:val="0"/>
                <w:lang w:eastAsia="zh-CN"/>
              </w:rPr>
              <w:t>生物除臭工艺在屠宰、食品加工、污水处理等行业得到广泛应用，除臭效率在</w:t>
            </w:r>
            <w:r>
              <w:rPr>
                <w:spacing w:val="0"/>
                <w:lang w:eastAsia="zh-CN"/>
              </w:rPr>
              <w:t>80%</w:t>
            </w:r>
            <w:r>
              <w:rPr>
                <w:rFonts w:hint="eastAsia"/>
                <w:spacing w:val="0"/>
                <w:lang w:eastAsia="zh-CN"/>
              </w:rPr>
              <w:t>以上，主要原理为臭气通过湿润、多孔和充满活动的微生物滤层，利用微生物细胞对恶臭物质的吸附、吸收和降解，将恶臭物质分解为无毒无害简单无机物，达到净化空气目的。生物除臭处理后，无组织排放</w:t>
            </w:r>
            <w:r>
              <w:rPr>
                <w:rFonts w:hint="eastAsia"/>
                <w:color w:val="000000" w:themeColor="text1"/>
                <w:spacing w:val="0"/>
                <w:lang w:eastAsia="zh-CN"/>
                <w14:textFill>
                  <w14:solidFill>
                    <w14:schemeClr w14:val="tx1"/>
                  </w14:solidFill>
                </w14:textFill>
              </w:rPr>
              <w:t>NH</w:t>
            </w:r>
            <w:r>
              <w:rPr>
                <w:rFonts w:hint="eastAsia"/>
                <w:color w:val="000000" w:themeColor="text1"/>
                <w:spacing w:val="0"/>
                <w:vertAlign w:val="subscript"/>
                <w:lang w:eastAsia="zh-CN"/>
                <w14:textFill>
                  <w14:solidFill>
                    <w14:schemeClr w14:val="tx1"/>
                  </w14:solidFill>
                </w14:textFill>
              </w:rPr>
              <w:t>3</w:t>
            </w:r>
            <w:r>
              <w:rPr>
                <w:rFonts w:hint="eastAsia"/>
                <w:spacing w:val="0"/>
                <w:lang w:eastAsia="zh-CN"/>
              </w:rPr>
              <w:t>浓度≤</w:t>
            </w:r>
            <w:r>
              <w:rPr>
                <w:spacing w:val="0"/>
                <w:lang w:eastAsia="zh-CN"/>
              </w:rPr>
              <w:t>1</w:t>
            </w:r>
            <w:r>
              <w:rPr>
                <w:rFonts w:hint="eastAsia"/>
                <w:spacing w:val="0"/>
                <w:lang w:eastAsia="zh-CN"/>
              </w:rPr>
              <w:t>.5</w:t>
            </w:r>
            <w:r>
              <w:rPr>
                <w:spacing w:val="0"/>
                <w:lang w:eastAsia="zh-CN"/>
              </w:rPr>
              <w:t>mg/m</w:t>
            </w:r>
            <w:r>
              <w:rPr>
                <w:spacing w:val="0"/>
                <w:vertAlign w:val="superscript"/>
                <w:lang w:eastAsia="zh-CN"/>
              </w:rPr>
              <w:t>3</w:t>
            </w:r>
            <w:r>
              <w:rPr>
                <w:rFonts w:hint="eastAsia"/>
                <w:spacing w:val="0"/>
                <w:lang w:eastAsia="zh-CN"/>
              </w:rPr>
              <w:t>，排放速率</w:t>
            </w:r>
            <w:r>
              <w:rPr>
                <w:spacing w:val="0"/>
                <w:lang w:eastAsia="zh-CN"/>
              </w:rPr>
              <w:t>0.003kg/h</w:t>
            </w:r>
            <w:r>
              <w:rPr>
                <w:rFonts w:hint="eastAsia"/>
                <w:spacing w:val="0"/>
                <w:lang w:eastAsia="zh-CN"/>
              </w:rPr>
              <w:t>；</w:t>
            </w:r>
            <w:r>
              <w:rPr>
                <w:rFonts w:hint="eastAsia"/>
                <w:color w:val="000000" w:themeColor="text1"/>
                <w:spacing w:val="0"/>
                <w:lang w:eastAsia="zh-CN"/>
                <w14:textFill>
                  <w14:solidFill>
                    <w14:schemeClr w14:val="tx1"/>
                  </w14:solidFill>
                </w14:textFill>
              </w:rPr>
              <w:t>H</w:t>
            </w:r>
            <w:r>
              <w:rPr>
                <w:rFonts w:hint="eastAsia"/>
                <w:color w:val="000000" w:themeColor="text1"/>
                <w:spacing w:val="0"/>
                <w:vertAlign w:val="subscript"/>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S</w:t>
            </w:r>
            <w:r>
              <w:rPr>
                <w:rFonts w:hint="eastAsia"/>
                <w:spacing w:val="0"/>
                <w:lang w:eastAsia="zh-CN"/>
              </w:rPr>
              <w:t>浓度≤</w:t>
            </w:r>
            <w:r>
              <w:rPr>
                <w:spacing w:val="0"/>
                <w:lang w:eastAsia="zh-CN"/>
              </w:rPr>
              <w:t>0.0</w:t>
            </w:r>
            <w:r>
              <w:rPr>
                <w:rFonts w:hint="eastAsia"/>
                <w:spacing w:val="0"/>
                <w:lang w:eastAsia="zh-CN"/>
              </w:rPr>
              <w:t>6</w:t>
            </w:r>
            <w:r>
              <w:rPr>
                <w:spacing w:val="0"/>
                <w:lang w:eastAsia="zh-CN"/>
              </w:rPr>
              <w:t>mg/m</w:t>
            </w:r>
            <w:r>
              <w:rPr>
                <w:spacing w:val="0"/>
                <w:vertAlign w:val="superscript"/>
                <w:lang w:eastAsia="zh-CN"/>
              </w:rPr>
              <w:t>3</w:t>
            </w:r>
            <w:r>
              <w:rPr>
                <w:rFonts w:hint="eastAsia"/>
                <w:spacing w:val="0"/>
                <w:lang w:eastAsia="zh-CN"/>
              </w:rPr>
              <w:t>，排放速率</w:t>
            </w:r>
            <w:r>
              <w:rPr>
                <w:spacing w:val="0"/>
                <w:lang w:eastAsia="zh-CN"/>
              </w:rPr>
              <w:t>0.0002kg/h</w:t>
            </w:r>
            <w:r>
              <w:rPr>
                <w:rFonts w:hint="eastAsia"/>
                <w:spacing w:val="0"/>
                <w:lang w:eastAsia="zh-CN"/>
              </w:rPr>
              <w:t>，满足《恶臭污染物排放标准》（GB14554-93）表1标准。</w:t>
            </w:r>
          </w:p>
          <w:p w14:paraId="6F7690D2">
            <w:pPr>
              <w:pStyle w:val="29"/>
              <w:outlineLvl w:val="9"/>
              <w:rPr>
                <w:rFonts w:hint="default"/>
                <w:highlight w:val="yellow"/>
              </w:rPr>
            </w:pPr>
            <w:r>
              <w:t>表4-3 项目废气污染物产排情况表</w:t>
            </w:r>
          </w:p>
          <w:tbl>
            <w:tblPr>
              <w:tblStyle w:val="23"/>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851"/>
              <w:gridCol w:w="997"/>
              <w:gridCol w:w="1838"/>
              <w:gridCol w:w="855"/>
              <w:gridCol w:w="993"/>
              <w:gridCol w:w="1532"/>
            </w:tblGrid>
            <w:tr w14:paraId="0C5C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84" w:type="dxa"/>
                  <w:vAlign w:val="center"/>
                </w:tcPr>
                <w:p w14:paraId="329EBDED">
                  <w:pPr>
                    <w:pStyle w:val="31"/>
                    <w:rPr>
                      <w:b/>
                      <w:bCs/>
                    </w:rPr>
                  </w:pPr>
                  <w:r>
                    <w:rPr>
                      <w:rFonts w:hint="eastAsia"/>
                      <w:b/>
                      <w:bCs/>
                    </w:rPr>
                    <w:t>产污环节</w:t>
                  </w:r>
                </w:p>
              </w:tc>
              <w:tc>
                <w:tcPr>
                  <w:tcW w:w="851" w:type="dxa"/>
                  <w:vAlign w:val="center"/>
                </w:tcPr>
                <w:p w14:paraId="0EE90DD5">
                  <w:pPr>
                    <w:pStyle w:val="31"/>
                    <w:rPr>
                      <w:b/>
                      <w:bCs/>
                    </w:rPr>
                  </w:pPr>
                  <w:r>
                    <w:rPr>
                      <w:rFonts w:hint="eastAsia"/>
                      <w:b/>
                      <w:bCs/>
                    </w:rPr>
                    <w:t>污染物</w:t>
                  </w:r>
                </w:p>
              </w:tc>
              <w:tc>
                <w:tcPr>
                  <w:tcW w:w="997" w:type="dxa"/>
                  <w:vAlign w:val="center"/>
                </w:tcPr>
                <w:p w14:paraId="1DC46AF7">
                  <w:pPr>
                    <w:pStyle w:val="31"/>
                    <w:rPr>
                      <w:b/>
                      <w:bCs/>
                    </w:rPr>
                  </w:pPr>
                  <w:r>
                    <w:rPr>
                      <w:rFonts w:hint="eastAsia"/>
                      <w:b/>
                      <w:bCs/>
                    </w:rPr>
                    <w:t>产生量（t/a）</w:t>
                  </w:r>
                </w:p>
              </w:tc>
              <w:tc>
                <w:tcPr>
                  <w:tcW w:w="1838" w:type="dxa"/>
                  <w:vAlign w:val="center"/>
                </w:tcPr>
                <w:p w14:paraId="13483D41">
                  <w:pPr>
                    <w:pStyle w:val="31"/>
                    <w:rPr>
                      <w:b/>
                      <w:bCs/>
                    </w:rPr>
                  </w:pPr>
                  <w:r>
                    <w:rPr>
                      <w:rFonts w:hint="eastAsia"/>
                      <w:b/>
                      <w:bCs/>
                    </w:rPr>
                    <w:t>防治措施</w:t>
                  </w:r>
                </w:p>
              </w:tc>
              <w:tc>
                <w:tcPr>
                  <w:tcW w:w="855" w:type="dxa"/>
                  <w:vAlign w:val="center"/>
                </w:tcPr>
                <w:p w14:paraId="74BD5BBB">
                  <w:pPr>
                    <w:pStyle w:val="31"/>
                    <w:rPr>
                      <w:b/>
                      <w:bCs/>
                    </w:rPr>
                  </w:pPr>
                  <w:r>
                    <w:rPr>
                      <w:rFonts w:hint="eastAsia"/>
                      <w:b/>
                      <w:bCs/>
                    </w:rPr>
                    <w:t>排放</w:t>
                  </w:r>
                </w:p>
                <w:p w14:paraId="5562B0F1">
                  <w:pPr>
                    <w:pStyle w:val="31"/>
                    <w:rPr>
                      <w:b/>
                      <w:bCs/>
                    </w:rPr>
                  </w:pPr>
                  <w:r>
                    <w:rPr>
                      <w:rFonts w:hint="eastAsia"/>
                      <w:b/>
                      <w:bCs/>
                    </w:rPr>
                    <w:t>方式</w:t>
                  </w:r>
                </w:p>
              </w:tc>
              <w:tc>
                <w:tcPr>
                  <w:tcW w:w="993" w:type="dxa"/>
                  <w:vAlign w:val="center"/>
                </w:tcPr>
                <w:p w14:paraId="462AEE95">
                  <w:pPr>
                    <w:pStyle w:val="31"/>
                    <w:rPr>
                      <w:b/>
                      <w:bCs/>
                    </w:rPr>
                  </w:pPr>
                  <w:r>
                    <w:rPr>
                      <w:rFonts w:hint="eastAsia"/>
                      <w:b/>
                      <w:bCs/>
                    </w:rPr>
                    <w:t>排放量（t/a）</w:t>
                  </w:r>
                </w:p>
              </w:tc>
              <w:tc>
                <w:tcPr>
                  <w:tcW w:w="1532" w:type="dxa"/>
                  <w:vAlign w:val="center"/>
                </w:tcPr>
                <w:p w14:paraId="780FAC95">
                  <w:pPr>
                    <w:pStyle w:val="31"/>
                    <w:rPr>
                      <w:b/>
                      <w:bCs/>
                    </w:rPr>
                  </w:pPr>
                  <w:r>
                    <w:rPr>
                      <w:rFonts w:hint="eastAsia"/>
                      <w:b/>
                      <w:bCs/>
                    </w:rPr>
                    <w:t>排放标准</w:t>
                  </w:r>
                </w:p>
              </w:tc>
            </w:tr>
            <w:tr w14:paraId="29D7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184" w:type="dxa"/>
                  <w:vMerge w:val="restart"/>
                  <w:vAlign w:val="center"/>
                </w:tcPr>
                <w:p w14:paraId="5DD3F418">
                  <w:pPr>
                    <w:pStyle w:val="31"/>
                  </w:pPr>
                  <w:r>
                    <w:rPr>
                      <w:rFonts w:hint="eastAsia"/>
                      <w:color w:val="000000" w:themeColor="text1"/>
                      <w14:textFill>
                        <w14:solidFill>
                          <w14:schemeClr w14:val="tx1"/>
                        </w14:solidFill>
                      </w14:textFill>
                    </w:rPr>
                    <w:t>待宰圈及屠宰车间</w:t>
                  </w:r>
                </w:p>
              </w:tc>
              <w:tc>
                <w:tcPr>
                  <w:tcW w:w="851" w:type="dxa"/>
                  <w:vAlign w:val="center"/>
                </w:tcPr>
                <w:p w14:paraId="274816A2">
                  <w:pPr>
                    <w:pStyle w:val="31"/>
                  </w:pPr>
                  <w:r>
                    <w:rPr>
                      <w:rFonts w:hint="eastAsia"/>
                    </w:rPr>
                    <w:t>NH</w:t>
                  </w:r>
                  <w:r>
                    <w:rPr>
                      <w:rFonts w:hint="eastAsia"/>
                      <w:vertAlign w:val="subscript"/>
                    </w:rPr>
                    <w:t>3</w:t>
                  </w:r>
                </w:p>
              </w:tc>
              <w:tc>
                <w:tcPr>
                  <w:tcW w:w="997" w:type="dxa"/>
                  <w:vAlign w:val="center"/>
                </w:tcPr>
                <w:p w14:paraId="13991D7F">
                  <w:pPr>
                    <w:pStyle w:val="31"/>
                  </w:pPr>
                  <w:r>
                    <w:rPr>
                      <w:rFonts w:hint="eastAsia"/>
                    </w:rPr>
                    <w:t>0.84</w:t>
                  </w:r>
                </w:p>
              </w:tc>
              <w:tc>
                <w:tcPr>
                  <w:tcW w:w="1838" w:type="dxa"/>
                  <w:vMerge w:val="restart"/>
                  <w:vAlign w:val="center"/>
                </w:tcPr>
                <w:p w14:paraId="740D400A">
                  <w:pPr>
                    <w:pStyle w:val="31"/>
                  </w:pPr>
                  <w:r>
                    <w:rPr>
                      <w:rFonts w:hint="eastAsia"/>
                    </w:rPr>
                    <w:t>及时清除粪便，冲洗地面，增加车间通风，喷洒生物除臭剂，预留恶臭污染物集中收集、处理、导排设施</w:t>
                  </w:r>
                </w:p>
              </w:tc>
              <w:tc>
                <w:tcPr>
                  <w:tcW w:w="855" w:type="dxa"/>
                  <w:vMerge w:val="restart"/>
                  <w:vAlign w:val="center"/>
                </w:tcPr>
                <w:p w14:paraId="3B5EB499">
                  <w:pPr>
                    <w:pStyle w:val="31"/>
                  </w:pPr>
                  <w:r>
                    <w:rPr>
                      <w:rFonts w:hint="eastAsia"/>
                    </w:rPr>
                    <w:t>无组织</w:t>
                  </w:r>
                </w:p>
              </w:tc>
              <w:tc>
                <w:tcPr>
                  <w:tcW w:w="993" w:type="dxa"/>
                  <w:vAlign w:val="center"/>
                </w:tcPr>
                <w:p w14:paraId="3B4319E3">
                  <w:pPr>
                    <w:pStyle w:val="31"/>
                  </w:pPr>
                  <w:r>
                    <w:rPr>
                      <w:rFonts w:hint="eastAsia"/>
                    </w:rPr>
                    <w:t>0.084</w:t>
                  </w:r>
                </w:p>
              </w:tc>
              <w:tc>
                <w:tcPr>
                  <w:tcW w:w="1532" w:type="dxa"/>
                  <w:vMerge w:val="restart"/>
                  <w:vAlign w:val="center"/>
                </w:tcPr>
                <w:p w14:paraId="1844FE2C">
                  <w:pPr>
                    <w:pStyle w:val="31"/>
                  </w:pPr>
                  <w:r>
                    <w:rPr>
                      <w:rFonts w:hint="eastAsia"/>
                    </w:rPr>
                    <w:t>《恶臭污染物排放标准》（GB14554-93）表1标准</w:t>
                  </w:r>
                </w:p>
              </w:tc>
            </w:tr>
            <w:tr w14:paraId="1498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84" w:type="dxa"/>
                  <w:vMerge w:val="continue"/>
                  <w:vAlign w:val="center"/>
                </w:tcPr>
                <w:p w14:paraId="4EAC2543">
                  <w:pPr>
                    <w:pStyle w:val="31"/>
                  </w:pPr>
                </w:p>
              </w:tc>
              <w:tc>
                <w:tcPr>
                  <w:tcW w:w="851" w:type="dxa"/>
                  <w:vAlign w:val="center"/>
                </w:tcPr>
                <w:p w14:paraId="3D1E5986">
                  <w:pPr>
                    <w:pStyle w:val="31"/>
                  </w:pPr>
                  <w:r>
                    <w:rPr>
                      <w:rFonts w:hint="eastAsia"/>
                    </w:rPr>
                    <w:t>H</w:t>
                  </w:r>
                  <w:r>
                    <w:rPr>
                      <w:rFonts w:hint="eastAsia"/>
                      <w:vertAlign w:val="subscript"/>
                    </w:rPr>
                    <w:t>2</w:t>
                  </w:r>
                  <w:r>
                    <w:rPr>
                      <w:rFonts w:hint="eastAsia"/>
                    </w:rPr>
                    <w:t>S</w:t>
                  </w:r>
                </w:p>
              </w:tc>
              <w:tc>
                <w:tcPr>
                  <w:tcW w:w="997" w:type="dxa"/>
                  <w:vAlign w:val="center"/>
                </w:tcPr>
                <w:p w14:paraId="505D4FE2">
                  <w:pPr>
                    <w:pStyle w:val="31"/>
                  </w:pPr>
                  <w:r>
                    <w:rPr>
                      <w:rFonts w:hint="eastAsia"/>
                    </w:rPr>
                    <w:t>0.056</w:t>
                  </w:r>
                </w:p>
              </w:tc>
              <w:tc>
                <w:tcPr>
                  <w:tcW w:w="1838" w:type="dxa"/>
                  <w:vMerge w:val="continue"/>
                  <w:vAlign w:val="center"/>
                </w:tcPr>
                <w:p w14:paraId="26CE61A7">
                  <w:pPr>
                    <w:pStyle w:val="31"/>
                  </w:pPr>
                </w:p>
              </w:tc>
              <w:tc>
                <w:tcPr>
                  <w:tcW w:w="855" w:type="dxa"/>
                  <w:vMerge w:val="continue"/>
                  <w:vAlign w:val="center"/>
                </w:tcPr>
                <w:p w14:paraId="56850142">
                  <w:pPr>
                    <w:pStyle w:val="31"/>
                  </w:pPr>
                </w:p>
              </w:tc>
              <w:tc>
                <w:tcPr>
                  <w:tcW w:w="993" w:type="dxa"/>
                  <w:vAlign w:val="center"/>
                </w:tcPr>
                <w:p w14:paraId="478E26A7">
                  <w:pPr>
                    <w:pStyle w:val="31"/>
                  </w:pPr>
                  <w:r>
                    <w:rPr>
                      <w:rFonts w:hint="eastAsia"/>
                    </w:rPr>
                    <w:t>0.0056</w:t>
                  </w:r>
                </w:p>
              </w:tc>
              <w:tc>
                <w:tcPr>
                  <w:tcW w:w="1532" w:type="dxa"/>
                  <w:vMerge w:val="continue"/>
                  <w:vAlign w:val="center"/>
                </w:tcPr>
                <w:p w14:paraId="336DC12A">
                  <w:pPr>
                    <w:pStyle w:val="31"/>
                  </w:pPr>
                </w:p>
              </w:tc>
            </w:tr>
            <w:tr w14:paraId="2175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184" w:type="dxa"/>
                  <w:vMerge w:val="restart"/>
                  <w:vAlign w:val="center"/>
                </w:tcPr>
                <w:p w14:paraId="304389B8">
                  <w:pPr>
                    <w:pStyle w:val="31"/>
                  </w:pPr>
                  <w:r>
                    <w:rPr>
                      <w:rFonts w:hint="eastAsia"/>
                    </w:rPr>
                    <w:t>生产废水</w:t>
                  </w:r>
                </w:p>
              </w:tc>
              <w:tc>
                <w:tcPr>
                  <w:tcW w:w="851" w:type="dxa"/>
                  <w:vAlign w:val="center"/>
                </w:tcPr>
                <w:p w14:paraId="2A0736A1">
                  <w:pPr>
                    <w:pStyle w:val="31"/>
                  </w:pPr>
                  <w:r>
                    <w:rPr>
                      <w:rFonts w:hint="eastAsia"/>
                    </w:rPr>
                    <w:t>NH</w:t>
                  </w:r>
                  <w:r>
                    <w:rPr>
                      <w:rFonts w:hint="eastAsia"/>
                      <w:vertAlign w:val="subscript"/>
                    </w:rPr>
                    <w:t>3</w:t>
                  </w:r>
                </w:p>
              </w:tc>
              <w:tc>
                <w:tcPr>
                  <w:tcW w:w="997" w:type="dxa"/>
                  <w:vAlign w:val="center"/>
                </w:tcPr>
                <w:p w14:paraId="71C78FB5">
                  <w:pPr>
                    <w:jc w:val="center"/>
                    <w:rPr>
                      <w:szCs w:val="21"/>
                    </w:rPr>
                  </w:pPr>
                  <w:r>
                    <w:rPr>
                      <w:rFonts w:hint="eastAsia"/>
                      <w:szCs w:val="21"/>
                    </w:rPr>
                    <w:t>0.26</w:t>
                  </w:r>
                </w:p>
              </w:tc>
              <w:tc>
                <w:tcPr>
                  <w:tcW w:w="1838" w:type="dxa"/>
                  <w:vMerge w:val="restart"/>
                  <w:vAlign w:val="center"/>
                </w:tcPr>
                <w:p w14:paraId="0FE10F10">
                  <w:pPr>
                    <w:pStyle w:val="31"/>
                  </w:pPr>
                  <w:r>
                    <w:rPr>
                      <w:rFonts w:hint="eastAsia"/>
                    </w:rPr>
                    <w:t>废水处理单元</w:t>
                  </w:r>
                  <w:r>
                    <w:t>加罩</w:t>
                  </w:r>
                  <w:r>
                    <w:rPr>
                      <w:rFonts w:hint="eastAsia"/>
                    </w:rPr>
                    <w:t>、</w:t>
                  </w:r>
                  <w:r>
                    <w:t>加盖，</w:t>
                  </w:r>
                  <w:r>
                    <w:rPr>
                      <w:rFonts w:hint="eastAsia"/>
                      <w:bCs/>
                    </w:rPr>
                    <w:t>臭氧催化氧化塔内密闭处理，</w:t>
                  </w:r>
                  <w:r>
                    <w:rPr>
                      <w:rFonts w:hint="eastAsia"/>
                    </w:rPr>
                    <w:t>喷洒生物除臭剂，预留恶臭污染物集中收集、处理、导排设施</w:t>
                  </w:r>
                </w:p>
              </w:tc>
              <w:tc>
                <w:tcPr>
                  <w:tcW w:w="855" w:type="dxa"/>
                  <w:vMerge w:val="restart"/>
                  <w:vAlign w:val="center"/>
                </w:tcPr>
                <w:p w14:paraId="480B997A">
                  <w:pPr>
                    <w:pStyle w:val="31"/>
                  </w:pPr>
                  <w:r>
                    <w:rPr>
                      <w:rFonts w:hint="eastAsia"/>
                    </w:rPr>
                    <w:t>无组织</w:t>
                  </w:r>
                </w:p>
              </w:tc>
              <w:tc>
                <w:tcPr>
                  <w:tcW w:w="993" w:type="dxa"/>
                  <w:vAlign w:val="center"/>
                </w:tcPr>
                <w:p w14:paraId="000BADCC">
                  <w:pPr>
                    <w:pStyle w:val="31"/>
                  </w:pPr>
                  <w:r>
                    <w:rPr>
                      <w:rFonts w:hint="eastAsia"/>
                    </w:rPr>
                    <w:t>0.026</w:t>
                  </w:r>
                </w:p>
              </w:tc>
              <w:tc>
                <w:tcPr>
                  <w:tcW w:w="1532" w:type="dxa"/>
                  <w:vMerge w:val="continue"/>
                  <w:vAlign w:val="center"/>
                </w:tcPr>
                <w:p w14:paraId="5B1721BB">
                  <w:pPr>
                    <w:pStyle w:val="31"/>
                  </w:pPr>
                </w:p>
              </w:tc>
            </w:tr>
            <w:tr w14:paraId="52A4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84" w:type="dxa"/>
                  <w:vMerge w:val="continue"/>
                  <w:vAlign w:val="center"/>
                </w:tcPr>
                <w:p w14:paraId="4407BBB1">
                  <w:pPr>
                    <w:pStyle w:val="31"/>
                  </w:pPr>
                </w:p>
              </w:tc>
              <w:tc>
                <w:tcPr>
                  <w:tcW w:w="851" w:type="dxa"/>
                  <w:vAlign w:val="center"/>
                </w:tcPr>
                <w:p w14:paraId="77B85581">
                  <w:pPr>
                    <w:pStyle w:val="31"/>
                  </w:pPr>
                  <w:r>
                    <w:rPr>
                      <w:rFonts w:hint="eastAsia"/>
                    </w:rPr>
                    <w:t>H</w:t>
                  </w:r>
                  <w:r>
                    <w:rPr>
                      <w:rFonts w:hint="eastAsia"/>
                      <w:vertAlign w:val="subscript"/>
                    </w:rPr>
                    <w:t>2</w:t>
                  </w:r>
                  <w:r>
                    <w:rPr>
                      <w:rFonts w:hint="eastAsia"/>
                    </w:rPr>
                    <w:t>S</w:t>
                  </w:r>
                </w:p>
              </w:tc>
              <w:tc>
                <w:tcPr>
                  <w:tcW w:w="997" w:type="dxa"/>
                  <w:vAlign w:val="center"/>
                </w:tcPr>
                <w:p w14:paraId="75B53EC1">
                  <w:pPr>
                    <w:jc w:val="center"/>
                    <w:rPr>
                      <w:szCs w:val="21"/>
                    </w:rPr>
                  </w:pPr>
                  <w:r>
                    <w:rPr>
                      <w:rFonts w:hint="eastAsia"/>
                      <w:szCs w:val="21"/>
                    </w:rPr>
                    <w:t>0.01</w:t>
                  </w:r>
                </w:p>
              </w:tc>
              <w:tc>
                <w:tcPr>
                  <w:tcW w:w="1838" w:type="dxa"/>
                  <w:vMerge w:val="continue"/>
                  <w:vAlign w:val="center"/>
                </w:tcPr>
                <w:p w14:paraId="45356CEC">
                  <w:pPr>
                    <w:pStyle w:val="31"/>
                  </w:pPr>
                </w:p>
              </w:tc>
              <w:tc>
                <w:tcPr>
                  <w:tcW w:w="855" w:type="dxa"/>
                  <w:vMerge w:val="continue"/>
                  <w:vAlign w:val="center"/>
                </w:tcPr>
                <w:p w14:paraId="2DA0687C">
                  <w:pPr>
                    <w:pStyle w:val="31"/>
                  </w:pPr>
                </w:p>
              </w:tc>
              <w:tc>
                <w:tcPr>
                  <w:tcW w:w="993" w:type="dxa"/>
                  <w:vAlign w:val="center"/>
                </w:tcPr>
                <w:p w14:paraId="7DD53336">
                  <w:pPr>
                    <w:pStyle w:val="31"/>
                  </w:pPr>
                  <w:r>
                    <w:rPr>
                      <w:rFonts w:hint="eastAsia"/>
                    </w:rPr>
                    <w:t>0.001</w:t>
                  </w:r>
                </w:p>
              </w:tc>
              <w:tc>
                <w:tcPr>
                  <w:tcW w:w="1532" w:type="dxa"/>
                  <w:vMerge w:val="continue"/>
                  <w:vAlign w:val="center"/>
                </w:tcPr>
                <w:p w14:paraId="771A9A78">
                  <w:pPr>
                    <w:pStyle w:val="31"/>
                  </w:pPr>
                </w:p>
              </w:tc>
            </w:tr>
            <w:tr w14:paraId="5409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84" w:type="dxa"/>
                  <w:vMerge w:val="restart"/>
                  <w:vAlign w:val="center"/>
                </w:tcPr>
                <w:p w14:paraId="7212D5ED">
                  <w:pPr>
                    <w:pStyle w:val="31"/>
                  </w:pPr>
                  <w:r>
                    <w:rPr>
                      <w:rFonts w:hint="eastAsia"/>
                    </w:rPr>
                    <w:t>生活污水</w:t>
                  </w:r>
                </w:p>
              </w:tc>
              <w:tc>
                <w:tcPr>
                  <w:tcW w:w="851" w:type="dxa"/>
                  <w:vAlign w:val="center"/>
                </w:tcPr>
                <w:p w14:paraId="57A5DB69">
                  <w:pPr>
                    <w:pStyle w:val="31"/>
                  </w:pPr>
                  <w:r>
                    <w:rPr>
                      <w:rFonts w:hint="eastAsia"/>
                    </w:rPr>
                    <w:t>NH</w:t>
                  </w:r>
                  <w:r>
                    <w:rPr>
                      <w:rFonts w:hint="eastAsia"/>
                      <w:vertAlign w:val="subscript"/>
                    </w:rPr>
                    <w:t>3</w:t>
                  </w:r>
                </w:p>
              </w:tc>
              <w:tc>
                <w:tcPr>
                  <w:tcW w:w="997" w:type="dxa"/>
                  <w:vAlign w:val="center"/>
                </w:tcPr>
                <w:p w14:paraId="10DF1DC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0.009</w:t>
                  </w:r>
                </w:p>
              </w:tc>
              <w:tc>
                <w:tcPr>
                  <w:tcW w:w="1838" w:type="dxa"/>
                  <w:vMerge w:val="restart"/>
                  <w:vAlign w:val="center"/>
                </w:tcPr>
                <w:p w14:paraId="5A86B5A2">
                  <w:pPr>
                    <w:pStyle w:val="31"/>
                  </w:pPr>
                  <w:r>
                    <w:rPr>
                      <w:rFonts w:hint="eastAsia"/>
                    </w:rPr>
                    <w:t>隔油池、化粪池地埋密闭处理</w:t>
                  </w:r>
                </w:p>
              </w:tc>
              <w:tc>
                <w:tcPr>
                  <w:tcW w:w="855" w:type="dxa"/>
                  <w:vMerge w:val="restart"/>
                  <w:vAlign w:val="center"/>
                </w:tcPr>
                <w:p w14:paraId="7CF2ED3A">
                  <w:pPr>
                    <w:pStyle w:val="31"/>
                  </w:pPr>
                  <w:r>
                    <w:rPr>
                      <w:rFonts w:hint="eastAsia"/>
                    </w:rPr>
                    <w:t>无组织</w:t>
                  </w:r>
                </w:p>
              </w:tc>
              <w:tc>
                <w:tcPr>
                  <w:tcW w:w="993" w:type="dxa"/>
                  <w:vAlign w:val="center"/>
                </w:tcPr>
                <w:p w14:paraId="0E83C10F">
                  <w:pPr>
                    <w:pStyle w:val="31"/>
                  </w:pPr>
                  <w:r>
                    <w:rPr>
                      <w:rFonts w:hint="eastAsia"/>
                    </w:rPr>
                    <w:t>0.0009</w:t>
                  </w:r>
                </w:p>
              </w:tc>
              <w:tc>
                <w:tcPr>
                  <w:tcW w:w="1532" w:type="dxa"/>
                  <w:vMerge w:val="continue"/>
                  <w:vAlign w:val="center"/>
                </w:tcPr>
                <w:p w14:paraId="6F922102">
                  <w:pPr>
                    <w:pStyle w:val="31"/>
                  </w:pPr>
                </w:p>
              </w:tc>
            </w:tr>
            <w:tr w14:paraId="2828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84" w:type="dxa"/>
                  <w:vMerge w:val="continue"/>
                  <w:vAlign w:val="center"/>
                </w:tcPr>
                <w:p w14:paraId="45560A61">
                  <w:pPr>
                    <w:pStyle w:val="31"/>
                  </w:pPr>
                </w:p>
              </w:tc>
              <w:tc>
                <w:tcPr>
                  <w:tcW w:w="851" w:type="dxa"/>
                  <w:vAlign w:val="center"/>
                </w:tcPr>
                <w:p w14:paraId="10D90561">
                  <w:pPr>
                    <w:pStyle w:val="31"/>
                  </w:pPr>
                  <w:r>
                    <w:rPr>
                      <w:rFonts w:hint="eastAsia"/>
                    </w:rPr>
                    <w:t>H</w:t>
                  </w:r>
                  <w:r>
                    <w:rPr>
                      <w:rFonts w:hint="eastAsia"/>
                      <w:vertAlign w:val="subscript"/>
                    </w:rPr>
                    <w:t>2</w:t>
                  </w:r>
                  <w:r>
                    <w:rPr>
                      <w:rFonts w:hint="eastAsia"/>
                    </w:rPr>
                    <w:t>S</w:t>
                  </w:r>
                </w:p>
              </w:tc>
              <w:tc>
                <w:tcPr>
                  <w:tcW w:w="997" w:type="dxa"/>
                  <w:vAlign w:val="center"/>
                </w:tcPr>
                <w:p w14:paraId="70B0216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w:t>
                  </w:r>
                </w:p>
              </w:tc>
              <w:tc>
                <w:tcPr>
                  <w:tcW w:w="1838" w:type="dxa"/>
                  <w:vMerge w:val="continue"/>
                  <w:vAlign w:val="center"/>
                </w:tcPr>
                <w:p w14:paraId="2FFEF524">
                  <w:pPr>
                    <w:pStyle w:val="31"/>
                  </w:pPr>
                </w:p>
              </w:tc>
              <w:tc>
                <w:tcPr>
                  <w:tcW w:w="855" w:type="dxa"/>
                  <w:vMerge w:val="continue"/>
                  <w:vAlign w:val="center"/>
                </w:tcPr>
                <w:p w14:paraId="630F35E0">
                  <w:pPr>
                    <w:pStyle w:val="31"/>
                  </w:pPr>
                </w:p>
              </w:tc>
              <w:tc>
                <w:tcPr>
                  <w:tcW w:w="993" w:type="dxa"/>
                  <w:vAlign w:val="center"/>
                </w:tcPr>
                <w:p w14:paraId="5992BD5F">
                  <w:pPr>
                    <w:pStyle w:val="31"/>
                  </w:pPr>
                  <w:r>
                    <w:rPr>
                      <w:rFonts w:hint="eastAsia"/>
                    </w:rPr>
                    <w:t>0.00003</w:t>
                  </w:r>
                </w:p>
              </w:tc>
              <w:tc>
                <w:tcPr>
                  <w:tcW w:w="1532" w:type="dxa"/>
                  <w:vMerge w:val="continue"/>
                  <w:vAlign w:val="center"/>
                </w:tcPr>
                <w:p w14:paraId="6D77CE09">
                  <w:pPr>
                    <w:pStyle w:val="31"/>
                  </w:pPr>
                </w:p>
              </w:tc>
            </w:tr>
            <w:tr w14:paraId="4DD7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84" w:type="dxa"/>
                  <w:vAlign w:val="center"/>
                </w:tcPr>
                <w:p w14:paraId="1DB92C0C">
                  <w:pPr>
                    <w:pStyle w:val="31"/>
                  </w:pPr>
                  <w:r>
                    <w:rPr>
                      <w:rFonts w:hint="eastAsia"/>
                    </w:rPr>
                    <w:t>职工食堂</w:t>
                  </w:r>
                </w:p>
              </w:tc>
              <w:tc>
                <w:tcPr>
                  <w:tcW w:w="851" w:type="dxa"/>
                  <w:vAlign w:val="center"/>
                </w:tcPr>
                <w:p w14:paraId="63DB83B3">
                  <w:pPr>
                    <w:pStyle w:val="31"/>
                  </w:pPr>
                  <w:r>
                    <w:rPr>
                      <w:rFonts w:hint="eastAsia"/>
                    </w:rPr>
                    <w:t>油烟</w:t>
                  </w:r>
                </w:p>
              </w:tc>
              <w:tc>
                <w:tcPr>
                  <w:tcW w:w="997" w:type="dxa"/>
                  <w:vAlign w:val="center"/>
                </w:tcPr>
                <w:p w14:paraId="1521346B">
                  <w:pPr>
                    <w:pStyle w:val="31"/>
                  </w:pPr>
                  <w:r>
                    <w:rPr>
                      <w:rFonts w:hint="eastAsia"/>
                    </w:rPr>
                    <w:t>0.03</w:t>
                  </w:r>
                </w:p>
              </w:tc>
              <w:tc>
                <w:tcPr>
                  <w:tcW w:w="1838" w:type="dxa"/>
                  <w:vAlign w:val="center"/>
                </w:tcPr>
                <w:p w14:paraId="35E4BC39">
                  <w:pPr>
                    <w:pStyle w:val="31"/>
                  </w:pPr>
                  <w:r>
                    <w:rPr>
                      <w:rFonts w:hint="eastAsia"/>
                    </w:rPr>
                    <w:t>油烟净化器</w:t>
                  </w:r>
                </w:p>
              </w:tc>
              <w:tc>
                <w:tcPr>
                  <w:tcW w:w="855" w:type="dxa"/>
                  <w:vAlign w:val="center"/>
                </w:tcPr>
                <w:p w14:paraId="231597E6">
                  <w:pPr>
                    <w:pStyle w:val="31"/>
                  </w:pPr>
                  <w:r>
                    <w:rPr>
                      <w:rFonts w:hint="eastAsia"/>
                    </w:rPr>
                    <w:t>有组织</w:t>
                  </w:r>
                </w:p>
              </w:tc>
              <w:tc>
                <w:tcPr>
                  <w:tcW w:w="993" w:type="dxa"/>
                  <w:vAlign w:val="center"/>
                </w:tcPr>
                <w:p w14:paraId="0E710715">
                  <w:pPr>
                    <w:pStyle w:val="31"/>
                  </w:pPr>
                  <w:r>
                    <w:rPr>
                      <w:rFonts w:hint="eastAsia"/>
                    </w:rPr>
                    <w:t>0.0045</w:t>
                  </w:r>
                </w:p>
              </w:tc>
              <w:tc>
                <w:tcPr>
                  <w:tcW w:w="1532" w:type="dxa"/>
                  <w:vAlign w:val="center"/>
                </w:tcPr>
                <w:p w14:paraId="212970C5">
                  <w:pPr>
                    <w:pStyle w:val="31"/>
                  </w:pPr>
                  <w:r>
                    <w:rPr>
                      <w:rFonts w:hint="eastAsia"/>
                      <w:color w:val="000000" w:themeColor="text1"/>
                      <w:lang w:bidi="ar"/>
                      <w14:textFill>
                        <w14:solidFill>
                          <w14:schemeClr w14:val="tx1"/>
                        </w14:solidFill>
                      </w14:textFill>
                    </w:rPr>
                    <w:t>《饮食业油烟排放标准（试行）》（GB18483-2001）小型标准</w:t>
                  </w:r>
                </w:p>
              </w:tc>
            </w:tr>
          </w:tbl>
          <w:p w14:paraId="3D7D7B38">
            <w:pPr>
              <w:pStyle w:val="36"/>
              <w:spacing w:line="240" w:lineRule="auto"/>
              <w:ind w:firstLine="0" w:firstLineChars="0"/>
              <w:rPr>
                <w:spacing w:val="0"/>
                <w:lang w:eastAsia="zh-CN"/>
              </w:rPr>
            </w:pPr>
          </w:p>
          <w:p w14:paraId="71DCFC98">
            <w:pPr>
              <w:pStyle w:val="36"/>
              <w:ind w:firstLine="482"/>
              <w:rPr>
                <w:b/>
                <w:bCs/>
                <w:spacing w:val="0"/>
                <w:lang w:eastAsia="zh-CN"/>
              </w:rPr>
            </w:pPr>
            <w:r>
              <w:rPr>
                <w:b/>
                <w:bCs/>
                <w:spacing w:val="0"/>
                <w:lang w:eastAsia="zh-CN"/>
              </w:rPr>
              <w:t>（</w:t>
            </w:r>
            <w:r>
              <w:rPr>
                <w:rFonts w:hint="eastAsia"/>
                <w:b/>
                <w:bCs/>
                <w:spacing w:val="0"/>
                <w:lang w:eastAsia="zh-CN"/>
              </w:rPr>
              <w:t>5</w:t>
            </w:r>
            <w:r>
              <w:rPr>
                <w:b/>
                <w:bCs/>
                <w:spacing w:val="0"/>
                <w:lang w:eastAsia="zh-CN"/>
              </w:rPr>
              <w:t>）非正常</w:t>
            </w:r>
            <w:r>
              <w:rPr>
                <w:rFonts w:hint="eastAsia"/>
                <w:b/>
                <w:bCs/>
                <w:spacing w:val="0"/>
                <w:lang w:eastAsia="zh-CN"/>
              </w:rPr>
              <w:t>排放</w:t>
            </w:r>
            <w:r>
              <w:rPr>
                <w:b/>
                <w:bCs/>
                <w:spacing w:val="0"/>
                <w:lang w:eastAsia="zh-CN"/>
              </w:rPr>
              <w:t>影响分析</w:t>
            </w:r>
          </w:p>
          <w:p w14:paraId="2149D3A2">
            <w:pPr>
              <w:pStyle w:val="36"/>
              <w:ind w:firstLine="480"/>
              <w:rPr>
                <w:spacing w:val="0"/>
                <w:lang w:eastAsia="zh-CN"/>
              </w:rPr>
            </w:pPr>
            <w:r>
              <w:rPr>
                <w:spacing w:val="0"/>
                <w:lang w:eastAsia="zh-CN"/>
              </w:rPr>
              <w:t>项目废气非正常排放</w:t>
            </w:r>
            <w:r>
              <w:rPr>
                <w:rFonts w:hint="eastAsia"/>
                <w:spacing w:val="0"/>
                <w:lang w:eastAsia="zh-CN"/>
              </w:rPr>
              <w:t>情况为厂区生产废水</w:t>
            </w:r>
            <w:r>
              <w:rPr>
                <w:spacing w:val="0"/>
                <w:lang w:eastAsia="zh-CN"/>
              </w:rPr>
              <w:t>处理</w:t>
            </w:r>
            <w:r>
              <w:rPr>
                <w:rFonts w:hint="eastAsia"/>
                <w:spacing w:val="0"/>
                <w:lang w:eastAsia="zh-CN"/>
              </w:rPr>
              <w:t>站，职工食堂油烟净化器出现故障；厂区生产废水处理站，待宰圈及屠宰车间未喷洒生物除臭剂。废气处理效率按零计，则</w:t>
            </w:r>
            <w:r>
              <w:rPr>
                <w:spacing w:val="0"/>
                <w:lang w:eastAsia="zh-CN"/>
              </w:rPr>
              <w:t>项目</w:t>
            </w:r>
            <w:r>
              <w:rPr>
                <w:rFonts w:hint="eastAsia"/>
                <w:spacing w:val="0"/>
                <w:lang w:eastAsia="zh-CN"/>
              </w:rPr>
              <w:t>废气</w:t>
            </w:r>
            <w:r>
              <w:rPr>
                <w:spacing w:val="0"/>
                <w:lang w:eastAsia="zh-CN"/>
              </w:rPr>
              <w:t>非正常排放情况如下</w:t>
            </w:r>
            <w:r>
              <w:rPr>
                <w:rFonts w:hint="eastAsia"/>
                <w:spacing w:val="0"/>
                <w:lang w:eastAsia="zh-CN"/>
              </w:rPr>
              <w:t>表。</w:t>
            </w:r>
          </w:p>
          <w:p w14:paraId="5374132D">
            <w:pPr>
              <w:pStyle w:val="29"/>
              <w:outlineLvl w:val="9"/>
              <w:rPr>
                <w:rFonts w:hint="default"/>
              </w:rPr>
            </w:pPr>
            <w:r>
              <w:t>表4-4 项目废气非正常排放情况表</w:t>
            </w:r>
          </w:p>
          <w:tbl>
            <w:tblPr>
              <w:tblStyle w:val="23"/>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1212"/>
              <w:gridCol w:w="1418"/>
              <w:gridCol w:w="1397"/>
              <w:gridCol w:w="1397"/>
              <w:gridCol w:w="1289"/>
            </w:tblGrid>
            <w:tr w14:paraId="4212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537" w:type="dxa"/>
                  <w:vAlign w:val="center"/>
                </w:tcPr>
                <w:p w14:paraId="27108110">
                  <w:pPr>
                    <w:pStyle w:val="31"/>
                    <w:rPr>
                      <w:b/>
                      <w:bCs/>
                    </w:rPr>
                  </w:pPr>
                  <w:r>
                    <w:rPr>
                      <w:rFonts w:hint="eastAsia"/>
                      <w:b/>
                      <w:bCs/>
                    </w:rPr>
                    <w:t>产污环节</w:t>
                  </w:r>
                </w:p>
              </w:tc>
              <w:tc>
                <w:tcPr>
                  <w:tcW w:w="1212" w:type="dxa"/>
                  <w:vAlign w:val="center"/>
                </w:tcPr>
                <w:p w14:paraId="3F3402E0">
                  <w:pPr>
                    <w:pStyle w:val="31"/>
                    <w:rPr>
                      <w:b/>
                      <w:bCs/>
                    </w:rPr>
                  </w:pPr>
                  <w:r>
                    <w:rPr>
                      <w:rFonts w:hint="eastAsia"/>
                      <w:b/>
                      <w:bCs/>
                    </w:rPr>
                    <w:t>排放方式</w:t>
                  </w:r>
                </w:p>
              </w:tc>
              <w:tc>
                <w:tcPr>
                  <w:tcW w:w="1418" w:type="dxa"/>
                  <w:vAlign w:val="center"/>
                </w:tcPr>
                <w:p w14:paraId="495F30D4">
                  <w:pPr>
                    <w:pStyle w:val="31"/>
                    <w:rPr>
                      <w:b/>
                      <w:bCs/>
                    </w:rPr>
                  </w:pPr>
                  <w:r>
                    <w:rPr>
                      <w:rFonts w:hint="eastAsia"/>
                      <w:b/>
                      <w:bCs/>
                    </w:rPr>
                    <w:t>污染物</w:t>
                  </w:r>
                </w:p>
              </w:tc>
              <w:tc>
                <w:tcPr>
                  <w:tcW w:w="1397" w:type="dxa"/>
                  <w:vAlign w:val="center"/>
                </w:tcPr>
                <w:p w14:paraId="5B9303AA">
                  <w:pPr>
                    <w:pStyle w:val="31"/>
                    <w:rPr>
                      <w:b/>
                      <w:bCs/>
                    </w:rPr>
                  </w:pPr>
                  <w:r>
                    <w:rPr>
                      <w:rFonts w:hint="eastAsia"/>
                      <w:b/>
                      <w:bCs/>
                    </w:rPr>
                    <w:t>排放速率</w:t>
                  </w:r>
                </w:p>
                <w:p w14:paraId="4BAD7D1C">
                  <w:pPr>
                    <w:pStyle w:val="31"/>
                    <w:rPr>
                      <w:b/>
                      <w:bCs/>
                    </w:rPr>
                  </w:pPr>
                  <w:r>
                    <w:rPr>
                      <w:rFonts w:hint="eastAsia"/>
                      <w:b/>
                      <w:bCs/>
                    </w:rPr>
                    <w:t>（kg/h）</w:t>
                  </w:r>
                </w:p>
              </w:tc>
              <w:tc>
                <w:tcPr>
                  <w:tcW w:w="1397" w:type="dxa"/>
                  <w:vAlign w:val="center"/>
                </w:tcPr>
                <w:p w14:paraId="3555BE95">
                  <w:pPr>
                    <w:pStyle w:val="31"/>
                    <w:rPr>
                      <w:b/>
                      <w:bCs/>
                    </w:rPr>
                  </w:pPr>
                  <w:r>
                    <w:rPr>
                      <w:rFonts w:hint="eastAsia"/>
                      <w:b/>
                      <w:bCs/>
                    </w:rPr>
                    <w:t>排放量</w:t>
                  </w:r>
                </w:p>
                <w:p w14:paraId="6DC18480">
                  <w:pPr>
                    <w:pStyle w:val="31"/>
                    <w:rPr>
                      <w:b/>
                      <w:bCs/>
                    </w:rPr>
                  </w:pPr>
                  <w:r>
                    <w:rPr>
                      <w:rFonts w:hint="eastAsia"/>
                      <w:b/>
                      <w:bCs/>
                    </w:rPr>
                    <w:t>（kg/次）</w:t>
                  </w:r>
                </w:p>
              </w:tc>
              <w:tc>
                <w:tcPr>
                  <w:tcW w:w="1289" w:type="dxa"/>
                  <w:vAlign w:val="center"/>
                </w:tcPr>
                <w:p w14:paraId="3CBD37CC">
                  <w:pPr>
                    <w:pStyle w:val="31"/>
                    <w:rPr>
                      <w:b/>
                      <w:bCs/>
                    </w:rPr>
                  </w:pPr>
                  <w:r>
                    <w:rPr>
                      <w:rFonts w:hint="eastAsia"/>
                      <w:b/>
                      <w:bCs/>
                    </w:rPr>
                    <w:t>持续时间</w:t>
                  </w:r>
                </w:p>
              </w:tc>
            </w:tr>
            <w:tr w14:paraId="6CE0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537" w:type="dxa"/>
                  <w:vMerge w:val="restart"/>
                  <w:vAlign w:val="center"/>
                </w:tcPr>
                <w:p w14:paraId="2E350194">
                  <w:pPr>
                    <w:pStyle w:val="31"/>
                  </w:pPr>
                  <w:r>
                    <w:rPr>
                      <w:rFonts w:hint="eastAsia"/>
                    </w:rPr>
                    <w:t>生产废水处理站</w:t>
                  </w:r>
                </w:p>
              </w:tc>
              <w:tc>
                <w:tcPr>
                  <w:tcW w:w="1212" w:type="dxa"/>
                  <w:vMerge w:val="restart"/>
                  <w:vAlign w:val="center"/>
                </w:tcPr>
                <w:p w14:paraId="428A4FDA">
                  <w:pPr>
                    <w:pStyle w:val="31"/>
                  </w:pPr>
                  <w:r>
                    <w:rPr>
                      <w:rFonts w:hint="eastAsia"/>
                    </w:rPr>
                    <w:t>无组织</w:t>
                  </w:r>
                </w:p>
              </w:tc>
              <w:tc>
                <w:tcPr>
                  <w:tcW w:w="1418" w:type="dxa"/>
                  <w:vAlign w:val="center"/>
                </w:tcPr>
                <w:p w14:paraId="4F2623CE">
                  <w:pPr>
                    <w:pStyle w:val="31"/>
                  </w:pPr>
                  <w:r>
                    <w:rPr>
                      <w:rFonts w:hint="eastAsia"/>
                    </w:rPr>
                    <w:t>NH</w:t>
                  </w:r>
                  <w:r>
                    <w:rPr>
                      <w:rFonts w:hint="eastAsia"/>
                      <w:vertAlign w:val="subscript"/>
                    </w:rPr>
                    <w:t>3</w:t>
                  </w:r>
                </w:p>
              </w:tc>
              <w:tc>
                <w:tcPr>
                  <w:tcW w:w="1397" w:type="dxa"/>
                  <w:vAlign w:val="center"/>
                </w:tcPr>
                <w:p w14:paraId="5FA88276">
                  <w:pPr>
                    <w:pStyle w:val="31"/>
                  </w:pPr>
                  <w:r>
                    <w:rPr>
                      <w:rFonts w:hint="eastAsia"/>
                    </w:rPr>
                    <w:t>0.046</w:t>
                  </w:r>
                </w:p>
              </w:tc>
              <w:tc>
                <w:tcPr>
                  <w:tcW w:w="1397" w:type="dxa"/>
                  <w:vAlign w:val="center"/>
                </w:tcPr>
                <w:p w14:paraId="5EA1C507">
                  <w:pPr>
                    <w:pStyle w:val="31"/>
                  </w:pPr>
                  <w:r>
                    <w:rPr>
                      <w:rFonts w:hint="eastAsia"/>
                    </w:rPr>
                    <w:t>0.184</w:t>
                  </w:r>
                </w:p>
              </w:tc>
              <w:tc>
                <w:tcPr>
                  <w:tcW w:w="1289" w:type="dxa"/>
                  <w:vMerge w:val="restart"/>
                  <w:vAlign w:val="center"/>
                </w:tcPr>
                <w:p w14:paraId="3827E099">
                  <w:pPr>
                    <w:pStyle w:val="31"/>
                  </w:pPr>
                  <w:r>
                    <w:rPr>
                      <w:rFonts w:hint="eastAsia"/>
                    </w:rPr>
                    <w:t>4h</w:t>
                  </w:r>
                </w:p>
              </w:tc>
            </w:tr>
            <w:tr w14:paraId="4ED1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537" w:type="dxa"/>
                  <w:vMerge w:val="continue"/>
                  <w:vAlign w:val="center"/>
                </w:tcPr>
                <w:p w14:paraId="6E552BE7">
                  <w:pPr>
                    <w:pStyle w:val="31"/>
                  </w:pPr>
                </w:p>
              </w:tc>
              <w:tc>
                <w:tcPr>
                  <w:tcW w:w="1212" w:type="dxa"/>
                  <w:vMerge w:val="continue"/>
                  <w:vAlign w:val="center"/>
                </w:tcPr>
                <w:p w14:paraId="54823CD2">
                  <w:pPr>
                    <w:pStyle w:val="31"/>
                  </w:pPr>
                </w:p>
              </w:tc>
              <w:tc>
                <w:tcPr>
                  <w:tcW w:w="1418" w:type="dxa"/>
                  <w:vAlign w:val="center"/>
                </w:tcPr>
                <w:p w14:paraId="23642087">
                  <w:pPr>
                    <w:pStyle w:val="31"/>
                  </w:pPr>
                  <w:r>
                    <w:rPr>
                      <w:rFonts w:hint="eastAsia"/>
                    </w:rPr>
                    <w:t>H</w:t>
                  </w:r>
                  <w:r>
                    <w:rPr>
                      <w:rFonts w:hint="eastAsia"/>
                      <w:vertAlign w:val="subscript"/>
                    </w:rPr>
                    <w:t>2</w:t>
                  </w:r>
                  <w:r>
                    <w:rPr>
                      <w:rFonts w:hint="eastAsia"/>
                    </w:rPr>
                    <w:t>S</w:t>
                  </w:r>
                </w:p>
              </w:tc>
              <w:tc>
                <w:tcPr>
                  <w:tcW w:w="1397" w:type="dxa"/>
                  <w:vAlign w:val="center"/>
                </w:tcPr>
                <w:p w14:paraId="721ACE48">
                  <w:pPr>
                    <w:pStyle w:val="31"/>
                  </w:pPr>
                  <w:r>
                    <w:rPr>
                      <w:rFonts w:hint="eastAsia"/>
                    </w:rPr>
                    <w:t>0.002</w:t>
                  </w:r>
                </w:p>
              </w:tc>
              <w:tc>
                <w:tcPr>
                  <w:tcW w:w="1397" w:type="dxa"/>
                  <w:vAlign w:val="center"/>
                </w:tcPr>
                <w:p w14:paraId="0968A0BD">
                  <w:pPr>
                    <w:pStyle w:val="31"/>
                  </w:pPr>
                  <w:r>
                    <w:rPr>
                      <w:rFonts w:hint="eastAsia"/>
                    </w:rPr>
                    <w:t>0.008</w:t>
                  </w:r>
                </w:p>
              </w:tc>
              <w:tc>
                <w:tcPr>
                  <w:tcW w:w="1289" w:type="dxa"/>
                  <w:vMerge w:val="continue"/>
                  <w:vAlign w:val="center"/>
                </w:tcPr>
                <w:p w14:paraId="0F627291">
                  <w:pPr>
                    <w:pStyle w:val="31"/>
                  </w:pPr>
                </w:p>
              </w:tc>
            </w:tr>
            <w:tr w14:paraId="3B6E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537" w:type="dxa"/>
                  <w:vAlign w:val="center"/>
                </w:tcPr>
                <w:p w14:paraId="56986732">
                  <w:pPr>
                    <w:pStyle w:val="31"/>
                  </w:pPr>
                  <w:r>
                    <w:rPr>
                      <w:rFonts w:hint="eastAsia"/>
                    </w:rPr>
                    <w:t>职工食堂</w:t>
                  </w:r>
                </w:p>
              </w:tc>
              <w:tc>
                <w:tcPr>
                  <w:tcW w:w="1212" w:type="dxa"/>
                  <w:vAlign w:val="center"/>
                </w:tcPr>
                <w:p w14:paraId="2FBBC8B3">
                  <w:pPr>
                    <w:pStyle w:val="31"/>
                  </w:pPr>
                  <w:r>
                    <w:rPr>
                      <w:rFonts w:hint="eastAsia"/>
                    </w:rPr>
                    <w:t>无组织</w:t>
                  </w:r>
                </w:p>
              </w:tc>
              <w:tc>
                <w:tcPr>
                  <w:tcW w:w="1418" w:type="dxa"/>
                  <w:vAlign w:val="center"/>
                </w:tcPr>
                <w:p w14:paraId="520F4535">
                  <w:pPr>
                    <w:pStyle w:val="31"/>
                  </w:pPr>
                  <w:r>
                    <w:rPr>
                      <w:rFonts w:hint="eastAsia"/>
                    </w:rPr>
                    <w:t>油烟</w:t>
                  </w:r>
                </w:p>
              </w:tc>
              <w:tc>
                <w:tcPr>
                  <w:tcW w:w="1397" w:type="dxa"/>
                  <w:vAlign w:val="center"/>
                </w:tcPr>
                <w:p w14:paraId="2EDED55A">
                  <w:pPr>
                    <w:pStyle w:val="31"/>
                  </w:pPr>
                  <w:r>
                    <w:rPr>
                      <w:rFonts w:hint="eastAsia"/>
                    </w:rPr>
                    <w:t>0.057</w:t>
                  </w:r>
                </w:p>
              </w:tc>
              <w:tc>
                <w:tcPr>
                  <w:tcW w:w="1397" w:type="dxa"/>
                  <w:vAlign w:val="center"/>
                </w:tcPr>
                <w:p w14:paraId="35ABA208">
                  <w:pPr>
                    <w:pStyle w:val="31"/>
                  </w:pPr>
                  <w:r>
                    <w:rPr>
                      <w:rFonts w:hint="eastAsia"/>
                    </w:rPr>
                    <w:t>0.228</w:t>
                  </w:r>
                </w:p>
              </w:tc>
              <w:tc>
                <w:tcPr>
                  <w:tcW w:w="1289" w:type="dxa"/>
                  <w:vAlign w:val="center"/>
                </w:tcPr>
                <w:p w14:paraId="1473D990">
                  <w:pPr>
                    <w:pStyle w:val="31"/>
                  </w:pPr>
                  <w:r>
                    <w:rPr>
                      <w:rFonts w:hint="eastAsia"/>
                    </w:rPr>
                    <w:t>4h</w:t>
                  </w:r>
                </w:p>
              </w:tc>
            </w:tr>
            <w:tr w14:paraId="76C5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537" w:type="dxa"/>
                  <w:vMerge w:val="restart"/>
                  <w:vAlign w:val="center"/>
                </w:tcPr>
                <w:p w14:paraId="47B9A8E8">
                  <w:pPr>
                    <w:pStyle w:val="31"/>
                    <w:rPr>
                      <w:color w:val="000000" w:themeColor="text1"/>
                      <w14:textFill>
                        <w14:solidFill>
                          <w14:schemeClr w14:val="tx1"/>
                        </w14:solidFill>
                      </w14:textFill>
                    </w:rPr>
                  </w:pPr>
                  <w:r>
                    <w:rPr>
                      <w:rFonts w:hint="eastAsia"/>
                      <w:color w:val="000000" w:themeColor="text1"/>
                      <w14:textFill>
                        <w14:solidFill>
                          <w14:schemeClr w14:val="tx1"/>
                        </w14:solidFill>
                      </w14:textFill>
                    </w:rPr>
                    <w:t>待宰圈及</w:t>
                  </w:r>
                </w:p>
                <w:p w14:paraId="2802F712">
                  <w:pPr>
                    <w:pStyle w:val="31"/>
                  </w:pPr>
                  <w:r>
                    <w:rPr>
                      <w:rFonts w:hint="eastAsia"/>
                      <w:color w:val="000000" w:themeColor="text1"/>
                      <w14:textFill>
                        <w14:solidFill>
                          <w14:schemeClr w14:val="tx1"/>
                        </w14:solidFill>
                      </w14:textFill>
                    </w:rPr>
                    <w:t>屠宰车间</w:t>
                  </w:r>
                </w:p>
              </w:tc>
              <w:tc>
                <w:tcPr>
                  <w:tcW w:w="1212" w:type="dxa"/>
                  <w:vMerge w:val="restart"/>
                  <w:vAlign w:val="center"/>
                </w:tcPr>
                <w:p w14:paraId="14CD3327">
                  <w:pPr>
                    <w:pStyle w:val="31"/>
                  </w:pPr>
                  <w:r>
                    <w:rPr>
                      <w:rFonts w:hint="eastAsia"/>
                    </w:rPr>
                    <w:t>无组织</w:t>
                  </w:r>
                </w:p>
              </w:tc>
              <w:tc>
                <w:tcPr>
                  <w:tcW w:w="1418" w:type="dxa"/>
                  <w:vAlign w:val="center"/>
                </w:tcPr>
                <w:p w14:paraId="1F3008D5">
                  <w:pPr>
                    <w:pStyle w:val="31"/>
                  </w:pPr>
                  <w:r>
                    <w:rPr>
                      <w:rFonts w:hint="eastAsia"/>
                    </w:rPr>
                    <w:t>NH</w:t>
                  </w:r>
                  <w:r>
                    <w:rPr>
                      <w:rFonts w:hint="eastAsia"/>
                      <w:vertAlign w:val="subscript"/>
                    </w:rPr>
                    <w:t>3</w:t>
                  </w:r>
                </w:p>
              </w:tc>
              <w:tc>
                <w:tcPr>
                  <w:tcW w:w="1397" w:type="dxa"/>
                  <w:vAlign w:val="center"/>
                </w:tcPr>
                <w:p w14:paraId="0469D1C0">
                  <w:pPr>
                    <w:pStyle w:val="31"/>
                  </w:pPr>
                  <w:r>
                    <w:rPr>
                      <w:rFonts w:hint="eastAsia"/>
                    </w:rPr>
                    <w:t>0.15</w:t>
                  </w:r>
                </w:p>
              </w:tc>
              <w:tc>
                <w:tcPr>
                  <w:tcW w:w="1397" w:type="dxa"/>
                  <w:vAlign w:val="center"/>
                </w:tcPr>
                <w:p w14:paraId="6AA07642">
                  <w:pPr>
                    <w:pStyle w:val="31"/>
                  </w:pPr>
                  <w:r>
                    <w:rPr>
                      <w:rFonts w:hint="eastAsia"/>
                    </w:rPr>
                    <w:t>0.30</w:t>
                  </w:r>
                </w:p>
              </w:tc>
              <w:tc>
                <w:tcPr>
                  <w:tcW w:w="1289" w:type="dxa"/>
                  <w:vMerge w:val="restart"/>
                  <w:vAlign w:val="center"/>
                </w:tcPr>
                <w:p w14:paraId="0F602705">
                  <w:pPr>
                    <w:pStyle w:val="31"/>
                  </w:pPr>
                  <w:r>
                    <w:rPr>
                      <w:rFonts w:hint="eastAsia"/>
                    </w:rPr>
                    <w:t>2h</w:t>
                  </w:r>
                </w:p>
              </w:tc>
            </w:tr>
            <w:tr w14:paraId="487C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537" w:type="dxa"/>
                  <w:vMerge w:val="continue"/>
                  <w:vAlign w:val="center"/>
                </w:tcPr>
                <w:p w14:paraId="36211F7E">
                  <w:pPr>
                    <w:pStyle w:val="31"/>
                    <w:rPr>
                      <w:color w:val="000000" w:themeColor="text1"/>
                      <w14:textFill>
                        <w14:solidFill>
                          <w14:schemeClr w14:val="tx1"/>
                        </w14:solidFill>
                      </w14:textFill>
                    </w:rPr>
                  </w:pPr>
                </w:p>
              </w:tc>
              <w:tc>
                <w:tcPr>
                  <w:tcW w:w="1212" w:type="dxa"/>
                  <w:vMerge w:val="continue"/>
                  <w:vAlign w:val="center"/>
                </w:tcPr>
                <w:p w14:paraId="2FC1ED4E">
                  <w:pPr>
                    <w:pStyle w:val="31"/>
                  </w:pPr>
                </w:p>
              </w:tc>
              <w:tc>
                <w:tcPr>
                  <w:tcW w:w="1418" w:type="dxa"/>
                  <w:vAlign w:val="center"/>
                </w:tcPr>
                <w:p w14:paraId="3DB99C95">
                  <w:pPr>
                    <w:pStyle w:val="31"/>
                  </w:pPr>
                  <w:r>
                    <w:rPr>
                      <w:rFonts w:hint="eastAsia"/>
                    </w:rPr>
                    <w:t>H</w:t>
                  </w:r>
                  <w:r>
                    <w:rPr>
                      <w:rFonts w:hint="eastAsia"/>
                      <w:vertAlign w:val="subscript"/>
                    </w:rPr>
                    <w:t>2</w:t>
                  </w:r>
                  <w:r>
                    <w:rPr>
                      <w:rFonts w:hint="eastAsia"/>
                    </w:rPr>
                    <w:t>S</w:t>
                  </w:r>
                </w:p>
              </w:tc>
              <w:tc>
                <w:tcPr>
                  <w:tcW w:w="1397" w:type="dxa"/>
                  <w:vAlign w:val="center"/>
                </w:tcPr>
                <w:p w14:paraId="14B8D267">
                  <w:pPr>
                    <w:pStyle w:val="31"/>
                  </w:pPr>
                  <w:r>
                    <w:rPr>
                      <w:rFonts w:hint="eastAsia"/>
                    </w:rPr>
                    <w:t>0.01</w:t>
                  </w:r>
                </w:p>
              </w:tc>
              <w:tc>
                <w:tcPr>
                  <w:tcW w:w="1397" w:type="dxa"/>
                  <w:vAlign w:val="center"/>
                </w:tcPr>
                <w:p w14:paraId="116C7DD5">
                  <w:pPr>
                    <w:pStyle w:val="31"/>
                  </w:pPr>
                  <w:r>
                    <w:rPr>
                      <w:rFonts w:hint="eastAsia"/>
                    </w:rPr>
                    <w:t>0.02</w:t>
                  </w:r>
                </w:p>
              </w:tc>
              <w:tc>
                <w:tcPr>
                  <w:tcW w:w="1289" w:type="dxa"/>
                  <w:vMerge w:val="continue"/>
                  <w:vAlign w:val="center"/>
                </w:tcPr>
                <w:p w14:paraId="225F98F7">
                  <w:pPr>
                    <w:pStyle w:val="31"/>
                  </w:pPr>
                </w:p>
              </w:tc>
            </w:tr>
          </w:tbl>
          <w:p w14:paraId="2B73CAC9">
            <w:pPr>
              <w:pStyle w:val="36"/>
              <w:spacing w:line="240" w:lineRule="auto"/>
              <w:ind w:firstLine="0" w:firstLineChars="0"/>
              <w:rPr>
                <w:spacing w:val="0"/>
                <w:lang w:eastAsia="zh-CN"/>
              </w:rPr>
            </w:pPr>
          </w:p>
          <w:p w14:paraId="61E872A7">
            <w:pPr>
              <w:pStyle w:val="36"/>
              <w:ind w:firstLine="480"/>
              <w:rPr>
                <w:spacing w:val="0"/>
                <w:lang w:eastAsia="zh-CN"/>
              </w:rPr>
            </w:pPr>
            <w:r>
              <w:rPr>
                <w:spacing w:val="0"/>
                <w:lang w:eastAsia="zh-CN"/>
              </w:rPr>
              <w:t>由表</w:t>
            </w:r>
            <w:r>
              <w:rPr>
                <w:rFonts w:hint="eastAsia"/>
                <w:spacing w:val="0"/>
                <w:lang w:eastAsia="zh-CN"/>
              </w:rPr>
              <w:t>4-4</w:t>
            </w:r>
            <w:r>
              <w:rPr>
                <w:spacing w:val="0"/>
                <w:lang w:eastAsia="zh-CN"/>
              </w:rPr>
              <w:t>可知，非正常</w:t>
            </w:r>
            <w:r>
              <w:rPr>
                <w:rFonts w:hint="eastAsia"/>
                <w:spacing w:val="0"/>
                <w:lang w:eastAsia="zh-CN"/>
              </w:rPr>
              <w:t>排放情况下，废气将对厂区环境空气产生一定影响。为最大限度降低废气非正常排放情况的发生，提出下列措施：</w:t>
            </w:r>
          </w:p>
          <w:p w14:paraId="2D8348B6">
            <w:pPr>
              <w:pStyle w:val="36"/>
              <w:ind w:firstLine="480"/>
              <w:rPr>
                <w:spacing w:val="0"/>
                <w:kern w:val="0"/>
                <w:szCs w:val="21"/>
                <w:lang w:eastAsia="zh-CN" w:bidi="ar"/>
              </w:rPr>
            </w:pPr>
            <w:r>
              <w:rPr>
                <w:rFonts w:hint="eastAsia"/>
                <w:spacing w:val="0"/>
                <w:lang w:eastAsia="zh-CN"/>
              </w:rPr>
              <w:t>1）</w:t>
            </w:r>
            <w:r>
              <w:rPr>
                <w:rFonts w:hint="eastAsia"/>
                <w:spacing w:val="0"/>
                <w:kern w:val="0"/>
                <w:szCs w:val="21"/>
                <w:lang w:eastAsia="zh-CN" w:bidi="ar"/>
              </w:rPr>
              <w:t>加强厂区生产废水处理站、职工食堂油烟净化器、待宰圈及屠宰车间的巡检、管护，做好生物除臭剂喷洒台账管理，保障生产废水处理站、职工食堂油烟净化器各项设备、处理单元稳定正常运行。若生产废水处理站出现故障，应立即启动突发环境事件应急预案，暂停生产，及时修缮恢复生产废水处理站正常运行。</w:t>
            </w:r>
          </w:p>
          <w:p w14:paraId="20893201">
            <w:pPr>
              <w:pStyle w:val="36"/>
              <w:ind w:firstLine="480"/>
              <w:rPr>
                <w:spacing w:val="0"/>
                <w:lang w:eastAsia="zh-CN"/>
              </w:rPr>
            </w:pPr>
            <w:r>
              <w:rPr>
                <w:rFonts w:hint="eastAsia"/>
                <w:spacing w:val="0"/>
                <w:lang w:eastAsia="zh-CN"/>
              </w:rPr>
              <w:t>2）加强职工的环保宣传教育和机械、设备操作等岗位</w:t>
            </w:r>
            <w:r>
              <w:rPr>
                <w:spacing w:val="0"/>
                <w:lang w:eastAsia="zh-CN"/>
              </w:rPr>
              <w:t>培训，</w:t>
            </w:r>
            <w:r>
              <w:rPr>
                <w:rFonts w:hint="eastAsia"/>
                <w:spacing w:val="0"/>
                <w:lang w:eastAsia="zh-CN"/>
              </w:rPr>
              <w:t>确保机械、设备等合规操作。</w:t>
            </w:r>
          </w:p>
          <w:p w14:paraId="4A501991">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（6）小结</w:t>
            </w:r>
          </w:p>
          <w:p w14:paraId="7DF1BB45">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项目采取的废气治理措施技术可行、经济合理。在加强环境管理，做好废气治理设（措）施运维、管护，降低</w:t>
            </w:r>
            <w:r>
              <w:rPr>
                <w:rFonts w:hint="eastAsia"/>
                <w:spacing w:val="0"/>
                <w:lang w:eastAsia="zh-CN"/>
              </w:rPr>
              <w:t>废气非正常排放发生概率情况下</w:t>
            </w:r>
            <w:r>
              <w:rPr>
                <w:rFonts w:hint="eastAsia"/>
                <w:color w:val="000000" w:themeColor="text1"/>
                <w:spacing w:val="0"/>
                <w:lang w:eastAsia="zh-CN"/>
                <w14:textFill>
                  <w14:solidFill>
                    <w14:schemeClr w14:val="tx1"/>
                  </w14:solidFill>
                </w14:textFill>
              </w:rPr>
              <w:t>，项目对环境空气的影响不大，不会改变区域环境空气质量功能。</w:t>
            </w:r>
          </w:p>
          <w:p w14:paraId="3DAA3FFA">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（7）环境监测</w:t>
            </w:r>
          </w:p>
          <w:p w14:paraId="476521AD">
            <w:pPr>
              <w:pStyle w:val="36"/>
              <w:ind w:firstLine="480"/>
              <w:rPr>
                <w:spacing w:val="0"/>
                <w:lang w:eastAsia="zh-CN"/>
              </w:rPr>
            </w:pPr>
            <w:r>
              <w:rPr>
                <w:rFonts w:hint="eastAsia"/>
                <w:color w:val="000000" w:themeColor="text1"/>
                <w:spacing w:val="0"/>
                <w:lang w:eastAsia="zh-CN"/>
                <w14:textFill>
                  <w14:solidFill>
                    <w14:schemeClr w14:val="tx1"/>
                  </w14:solidFill>
                </w14:textFill>
              </w:rPr>
              <w:t>根据</w:t>
            </w:r>
            <w:r>
              <w:rPr>
                <w:rFonts w:hint="eastAsia"/>
                <w:spacing w:val="0"/>
                <w:lang w:eastAsia="zh-CN"/>
              </w:rPr>
              <w:t>《排污许可证申请与核发技术规范 农副食品加工工业-屠宰及肉类加工工业》（HJ 860.3-2018），拟定项目废气自行监测方案如下表。</w:t>
            </w:r>
          </w:p>
          <w:p w14:paraId="0DC9CB1C">
            <w:pPr>
              <w:pStyle w:val="29"/>
              <w:outlineLvl w:val="9"/>
              <w:rPr>
                <w:rFonts w:hint="default"/>
              </w:rPr>
            </w:pPr>
            <w:r>
              <w:t>表4-5 项目废气自行监测方案表</w:t>
            </w:r>
          </w:p>
          <w:tbl>
            <w:tblPr>
              <w:tblStyle w:val="22"/>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404"/>
              <w:gridCol w:w="2268"/>
              <w:gridCol w:w="1396"/>
            </w:tblGrid>
            <w:tr w14:paraId="76FC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182" w:type="dxa"/>
                  <w:vAlign w:val="center"/>
                </w:tcPr>
                <w:p w14:paraId="3443153D">
                  <w:pPr>
                    <w:pStyle w:val="31"/>
                    <w:rPr>
                      <w:b/>
                      <w:bCs/>
                    </w:rPr>
                  </w:pPr>
                  <w:r>
                    <w:rPr>
                      <w:rFonts w:hint="eastAsia"/>
                      <w:b/>
                      <w:bCs/>
                    </w:rPr>
                    <w:t>监测项目</w:t>
                  </w:r>
                </w:p>
              </w:tc>
              <w:tc>
                <w:tcPr>
                  <w:tcW w:w="2404" w:type="dxa"/>
                  <w:vAlign w:val="center"/>
                </w:tcPr>
                <w:p w14:paraId="0C92921D">
                  <w:pPr>
                    <w:pStyle w:val="31"/>
                    <w:rPr>
                      <w:b/>
                      <w:bCs/>
                    </w:rPr>
                  </w:pPr>
                  <w:r>
                    <w:rPr>
                      <w:rFonts w:hint="eastAsia"/>
                      <w:b/>
                      <w:bCs/>
                    </w:rPr>
                    <w:t>监测点位</w:t>
                  </w:r>
                </w:p>
              </w:tc>
              <w:tc>
                <w:tcPr>
                  <w:tcW w:w="2268" w:type="dxa"/>
                  <w:vAlign w:val="center"/>
                </w:tcPr>
                <w:p w14:paraId="6DFC2AEA">
                  <w:pPr>
                    <w:pStyle w:val="31"/>
                    <w:rPr>
                      <w:b/>
                      <w:bCs/>
                    </w:rPr>
                  </w:pPr>
                  <w:r>
                    <w:rPr>
                      <w:rFonts w:hint="eastAsia"/>
                      <w:b/>
                      <w:bCs/>
                    </w:rPr>
                    <w:t>监测指标</w:t>
                  </w:r>
                </w:p>
              </w:tc>
              <w:tc>
                <w:tcPr>
                  <w:tcW w:w="1396" w:type="dxa"/>
                  <w:vAlign w:val="center"/>
                </w:tcPr>
                <w:p w14:paraId="7E073EAD">
                  <w:pPr>
                    <w:pStyle w:val="31"/>
                    <w:rPr>
                      <w:b/>
                      <w:bCs/>
                    </w:rPr>
                  </w:pPr>
                  <w:r>
                    <w:rPr>
                      <w:rFonts w:hint="eastAsia"/>
                      <w:b/>
                      <w:bCs/>
                    </w:rPr>
                    <w:t>监测频次</w:t>
                  </w:r>
                </w:p>
              </w:tc>
            </w:tr>
            <w:tr w14:paraId="278C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182" w:type="dxa"/>
                  <w:vAlign w:val="center"/>
                </w:tcPr>
                <w:p w14:paraId="09717DF0">
                  <w:pPr>
                    <w:pStyle w:val="31"/>
                  </w:pPr>
                  <w:r>
                    <w:rPr>
                      <w:rFonts w:hint="eastAsia"/>
                    </w:rPr>
                    <w:t>无组织排放</w:t>
                  </w:r>
                </w:p>
              </w:tc>
              <w:tc>
                <w:tcPr>
                  <w:tcW w:w="2404" w:type="dxa"/>
                  <w:vAlign w:val="center"/>
                </w:tcPr>
                <w:p w14:paraId="61F90EA4">
                  <w:pPr>
                    <w:pStyle w:val="31"/>
                  </w:pPr>
                  <w:r>
                    <w:rPr>
                      <w:rFonts w:hint="eastAsia"/>
                    </w:rPr>
                    <w:t>东、南、西、北厂界</w:t>
                  </w:r>
                </w:p>
              </w:tc>
              <w:tc>
                <w:tcPr>
                  <w:tcW w:w="2268" w:type="dxa"/>
                  <w:vMerge w:val="restart"/>
                  <w:vAlign w:val="center"/>
                </w:tcPr>
                <w:p w14:paraId="2AB39B19">
                  <w:pPr>
                    <w:pStyle w:val="31"/>
                  </w:pPr>
                  <w:r>
                    <w:rPr>
                      <w:rFonts w:hint="eastAsia"/>
                    </w:rPr>
                    <w:t>NH</w:t>
                  </w:r>
                  <w:r>
                    <w:rPr>
                      <w:rFonts w:hint="eastAsia"/>
                      <w:vertAlign w:val="subscript"/>
                    </w:rPr>
                    <w:t>3</w:t>
                  </w:r>
                  <w:r>
                    <w:rPr>
                      <w:rFonts w:hint="eastAsia"/>
                    </w:rPr>
                    <w:t>、H</w:t>
                  </w:r>
                  <w:r>
                    <w:rPr>
                      <w:rFonts w:hint="eastAsia"/>
                      <w:vertAlign w:val="subscript"/>
                    </w:rPr>
                    <w:t>2</w:t>
                  </w:r>
                  <w:r>
                    <w:rPr>
                      <w:rFonts w:hint="eastAsia"/>
                    </w:rPr>
                    <w:t>S、臭气浓度</w:t>
                  </w:r>
                </w:p>
              </w:tc>
              <w:tc>
                <w:tcPr>
                  <w:tcW w:w="1396" w:type="dxa"/>
                  <w:vMerge w:val="restart"/>
                  <w:vAlign w:val="center"/>
                </w:tcPr>
                <w:p w14:paraId="4751C8AD">
                  <w:pPr>
                    <w:pStyle w:val="31"/>
                  </w:pPr>
                  <w:r>
                    <w:rPr>
                      <w:rFonts w:hint="eastAsia"/>
                    </w:rPr>
                    <w:t>1次/半年</w:t>
                  </w:r>
                </w:p>
              </w:tc>
            </w:tr>
            <w:tr w14:paraId="5BB5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182" w:type="dxa"/>
                  <w:vAlign w:val="center"/>
                </w:tcPr>
                <w:p w14:paraId="40466880">
                  <w:pPr>
                    <w:pStyle w:val="31"/>
                  </w:pPr>
                  <w:r>
                    <w:rPr>
                      <w:rFonts w:hint="eastAsia"/>
                    </w:rPr>
                    <w:t>环境空气保护目标</w:t>
                  </w:r>
                </w:p>
              </w:tc>
              <w:tc>
                <w:tcPr>
                  <w:tcW w:w="2404" w:type="dxa"/>
                  <w:vAlign w:val="center"/>
                </w:tcPr>
                <w:p w14:paraId="6823BA4F">
                  <w:pPr>
                    <w:pStyle w:val="31"/>
                  </w:pPr>
                  <w:r>
                    <w:rPr>
                      <w:rFonts w:hint="eastAsia"/>
                    </w:rPr>
                    <w:t>龙池村</w:t>
                  </w:r>
                </w:p>
              </w:tc>
              <w:tc>
                <w:tcPr>
                  <w:tcW w:w="2268" w:type="dxa"/>
                  <w:vMerge w:val="continue"/>
                  <w:vAlign w:val="center"/>
                </w:tcPr>
                <w:p w14:paraId="3DAF514D">
                  <w:pPr>
                    <w:pStyle w:val="31"/>
                  </w:pPr>
                </w:p>
              </w:tc>
              <w:tc>
                <w:tcPr>
                  <w:tcW w:w="1396" w:type="dxa"/>
                  <w:vMerge w:val="continue"/>
                  <w:vAlign w:val="center"/>
                </w:tcPr>
                <w:p w14:paraId="09CEC055">
                  <w:pPr>
                    <w:pStyle w:val="31"/>
                  </w:pPr>
                </w:p>
              </w:tc>
            </w:tr>
          </w:tbl>
          <w:p w14:paraId="5D68DE62">
            <w:pPr>
              <w:pStyle w:val="36"/>
              <w:widowControl/>
              <w:spacing w:line="240" w:lineRule="auto"/>
              <w:ind w:firstLine="0" w:firstLineChars="0"/>
              <w:rPr>
                <w:color w:val="000000" w:themeColor="text1"/>
                <w:spacing w:val="0"/>
                <w:kern w:val="0"/>
                <w:lang w:eastAsia="zh-CN" w:bidi="ar"/>
                <w14:textFill>
                  <w14:solidFill>
                    <w14:schemeClr w14:val="tx1"/>
                  </w14:solidFill>
                </w14:textFill>
              </w:rPr>
            </w:pPr>
          </w:p>
          <w:p w14:paraId="51BE64C3">
            <w:pPr>
              <w:pStyle w:val="36"/>
              <w:widowControl/>
              <w:ind w:firstLine="0" w:firstLineChars="0"/>
              <w:jc w:val="left"/>
              <w:rPr>
                <w:b/>
                <w:bCs/>
                <w:color w:val="000000" w:themeColor="text1"/>
                <w:spacing w:val="0"/>
                <w:kern w:val="0"/>
                <w:sz w:val="28"/>
                <w:szCs w:val="28"/>
                <w:lang w:eastAsia="zh-CN" w:bidi="ar"/>
                <w14:textFill>
                  <w14:solidFill>
                    <w14:schemeClr w14:val="tx1"/>
                  </w14:solidFill>
                </w14:textFill>
              </w:rPr>
            </w:pPr>
            <w:r>
              <w:rPr>
                <w:rFonts w:hint="eastAsia"/>
                <w:b/>
                <w:bCs/>
                <w:color w:val="000000" w:themeColor="text1"/>
                <w:spacing w:val="0"/>
                <w:kern w:val="0"/>
                <w:sz w:val="28"/>
                <w:szCs w:val="28"/>
                <w:lang w:eastAsia="zh-CN" w:bidi="ar"/>
                <w14:textFill>
                  <w14:solidFill>
                    <w14:schemeClr w14:val="tx1"/>
                  </w14:solidFill>
                </w14:textFill>
              </w:rPr>
              <w:t>2、废水</w:t>
            </w:r>
          </w:p>
          <w:p w14:paraId="102C7EA9">
            <w:pPr>
              <w:pStyle w:val="36"/>
              <w:ind w:firstLine="482"/>
              <w:jc w:val="left"/>
              <w:rPr>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w:t>
            </w:r>
            <w:r>
              <w:rPr>
                <w:b/>
                <w:bCs/>
                <w:color w:val="000000" w:themeColor="text1"/>
                <w:spacing w:val="0"/>
                <w:lang w:eastAsia="zh-CN"/>
                <w14:textFill>
                  <w14:solidFill>
                    <w14:schemeClr w14:val="tx1"/>
                  </w14:solidFill>
                </w14:textFill>
              </w:rPr>
              <w:t>1</w:t>
            </w:r>
            <w:r>
              <w:rPr>
                <w:rFonts w:hint="eastAsia"/>
                <w:b/>
                <w:bCs/>
                <w:color w:val="000000" w:themeColor="text1"/>
                <w:spacing w:val="0"/>
                <w:lang w:eastAsia="zh-CN"/>
                <w14:textFill>
                  <w14:solidFill>
                    <w14:schemeClr w14:val="tx1"/>
                  </w14:solidFill>
                </w14:textFill>
              </w:rPr>
              <w:t>）废污水来源及产生量</w:t>
            </w:r>
          </w:p>
          <w:p w14:paraId="1603C980">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运营期，项目废水主要包括生产废水和生活污水。</w:t>
            </w:r>
          </w:p>
          <w:p w14:paraId="2A55FE81">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1）生产废水：牲畜待宰前圈栏冲洗，屠宰过程放血、烫毛、脱毛、胴体清洗、内脏清洗，车间地面及设备冲洗等高浓度有机废水。主要污染物为COD、BOD</w:t>
            </w:r>
            <w:r>
              <w:rPr>
                <w:rFonts w:hint="eastAsia"/>
                <w:color w:val="000000" w:themeColor="text1"/>
                <w:spacing w:val="0"/>
                <w:vertAlign w:val="subscript"/>
                <w:lang w:eastAsia="zh-CN"/>
                <w14:textFill>
                  <w14:solidFill>
                    <w14:schemeClr w14:val="tx1"/>
                  </w14:solidFill>
                </w14:textFill>
              </w:rPr>
              <w:t>5</w:t>
            </w:r>
            <w:r>
              <w:rPr>
                <w:rFonts w:hint="eastAsia"/>
                <w:color w:val="000000" w:themeColor="text1"/>
                <w:spacing w:val="0"/>
                <w:lang w:eastAsia="zh-CN"/>
                <w14:textFill>
                  <w14:solidFill>
                    <w14:schemeClr w14:val="tx1"/>
                  </w14:solidFill>
                </w14:textFill>
              </w:rPr>
              <w:t>、SS、TP、TN、NH</w:t>
            </w:r>
            <w:r>
              <w:rPr>
                <w:rFonts w:hint="eastAsia"/>
                <w:color w:val="000000" w:themeColor="text1"/>
                <w:spacing w:val="0"/>
                <w:vertAlign w:val="sub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-N、动植物油等。</w:t>
            </w:r>
          </w:p>
          <w:p w14:paraId="40116DE2">
            <w:pPr>
              <w:pStyle w:val="36"/>
              <w:ind w:firstLine="480"/>
              <w:rPr>
                <w:color w:val="000000" w:themeColor="text1"/>
                <w:spacing w:val="0"/>
                <w:lang w:eastAsia="zh-CN"/>
                <w14:textFill>
                  <w14:solidFill>
                    <w14:schemeClr w14:val="tx1"/>
                  </w14:solidFill>
                </w14:textFill>
              </w:rPr>
            </w:pPr>
            <w:r>
              <w:rPr>
                <w:rFonts w:hint="eastAsia"/>
                <w:spacing w:val="0"/>
                <w:lang w:eastAsia="zh-CN"/>
              </w:rPr>
              <w:t>2）</w:t>
            </w:r>
            <w:r>
              <w:rPr>
                <w:rFonts w:hint="eastAsia"/>
                <w:color w:val="000000" w:themeColor="text1"/>
                <w:spacing w:val="0"/>
                <w:lang w:eastAsia="zh-CN"/>
                <w14:textFill>
                  <w14:solidFill>
                    <w14:schemeClr w14:val="tx1"/>
                  </w14:solidFill>
                </w14:textFill>
              </w:rPr>
              <w:t>生活污水：厂区办公大楼、职工食堂、交易市场餐厅、交易市场公厕及冷库卫生间等生活污水。主要污染物为COD、BOD</w:t>
            </w:r>
            <w:r>
              <w:rPr>
                <w:rFonts w:hint="eastAsia"/>
                <w:color w:val="000000" w:themeColor="text1"/>
                <w:spacing w:val="0"/>
                <w:vertAlign w:val="subscript"/>
                <w:lang w:eastAsia="zh-CN"/>
                <w14:textFill>
                  <w14:solidFill>
                    <w14:schemeClr w14:val="tx1"/>
                  </w14:solidFill>
                </w14:textFill>
              </w:rPr>
              <w:t>5</w:t>
            </w:r>
            <w:r>
              <w:rPr>
                <w:rFonts w:hint="eastAsia"/>
                <w:color w:val="000000" w:themeColor="text1"/>
                <w:spacing w:val="0"/>
                <w:lang w:eastAsia="zh-CN"/>
                <w14:textFill>
                  <w14:solidFill>
                    <w14:schemeClr w14:val="tx1"/>
                  </w14:solidFill>
                </w14:textFill>
              </w:rPr>
              <w:t>、SS、TP、TN、NH</w:t>
            </w:r>
            <w:r>
              <w:rPr>
                <w:rFonts w:hint="eastAsia"/>
                <w:color w:val="000000" w:themeColor="text1"/>
                <w:spacing w:val="0"/>
                <w:vertAlign w:val="sub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-N、动植物油等。</w:t>
            </w:r>
          </w:p>
          <w:p w14:paraId="2DECA0D1">
            <w:pPr>
              <w:pStyle w:val="36"/>
              <w:ind w:firstLine="480"/>
              <w:rPr>
                <w:rFonts w:cs="Times New Roman"/>
                <w:color w:val="000000" w:themeColor="text1"/>
                <w:spacing w:val="0"/>
                <w:lang w:eastAsia="zh-CN"/>
                <w14:textFill>
                  <w14:solidFill>
                    <w14:schemeClr w14:val="tx1"/>
                  </w14:solidFill>
                </w14:textFill>
              </w:rPr>
            </w:pPr>
            <w:r>
              <w:rPr>
                <w:rFonts w:cs="Times New Roman"/>
                <w:color w:val="000000" w:themeColor="text1"/>
                <w:spacing w:val="0"/>
                <w:lang w:eastAsia="zh-CN"/>
                <w14:textFill>
                  <w14:solidFill>
                    <w14:schemeClr w14:val="tx1"/>
                  </w14:solidFill>
                </w14:textFill>
              </w:rPr>
              <w:t>根据工程分析（详见第二章 水平衡），项目</w:t>
            </w:r>
            <w:r>
              <w:rPr>
                <w:rFonts w:hint="eastAsia" w:cs="Times New Roman"/>
                <w:color w:val="000000" w:themeColor="text1"/>
                <w:spacing w:val="0"/>
                <w:lang w:eastAsia="zh-CN"/>
                <w14:textFill>
                  <w14:solidFill>
                    <w14:schemeClr w14:val="tx1"/>
                  </w14:solidFill>
                </w14:textFill>
              </w:rPr>
              <w:t>扩建完成</w:t>
            </w:r>
            <w:r>
              <w:rPr>
                <w:rFonts w:cs="Times New Roman"/>
                <w:color w:val="000000" w:themeColor="text1"/>
                <w:spacing w:val="0"/>
                <w:lang w:eastAsia="zh-CN"/>
                <w14:textFill>
                  <w14:solidFill>
                    <w14:schemeClr w14:val="tx1"/>
                  </w14:solidFill>
                </w14:textFill>
              </w:rPr>
              <w:t>达产时，全厂废水产生量为63680m</w:t>
            </w:r>
            <w:r>
              <w:rPr>
                <w:rFonts w:cs="Times New Roman"/>
                <w:color w:val="000000" w:themeColor="text1"/>
                <w:spacing w:val="0"/>
                <w:vertAlign w:val="superscript"/>
                <w:lang w:eastAsia="zh-CN"/>
                <w14:textFill>
                  <w14:solidFill>
                    <w14:schemeClr w14:val="tx1"/>
                  </w14:solidFill>
                </w14:textFill>
              </w:rPr>
              <w:t>3</w:t>
            </w:r>
            <w:r>
              <w:rPr>
                <w:rFonts w:cs="Times New Roman"/>
                <w:color w:val="000000" w:themeColor="text1"/>
                <w:spacing w:val="0"/>
                <w:lang w:eastAsia="zh-CN"/>
                <w14:textFill>
                  <w14:solidFill>
                    <w14:schemeClr w14:val="tx1"/>
                  </w14:solidFill>
                </w14:textFill>
              </w:rPr>
              <w:t>/a（181.95m</w:t>
            </w:r>
            <w:r>
              <w:rPr>
                <w:rFonts w:cs="Times New Roman"/>
                <w:color w:val="000000" w:themeColor="text1"/>
                <w:spacing w:val="0"/>
                <w:vertAlign w:val="superscript"/>
                <w:lang w:eastAsia="zh-CN"/>
                <w14:textFill>
                  <w14:solidFill>
                    <w14:schemeClr w14:val="tx1"/>
                  </w14:solidFill>
                </w14:textFill>
              </w:rPr>
              <w:t>3</w:t>
            </w:r>
            <w:r>
              <w:rPr>
                <w:rFonts w:cs="Times New Roman"/>
                <w:color w:val="000000" w:themeColor="text1"/>
                <w:spacing w:val="0"/>
                <w:lang w:eastAsia="zh-CN"/>
                <w14:textFill>
                  <w14:solidFill>
                    <w14:schemeClr w14:val="tx1"/>
                  </w14:solidFill>
                </w14:textFill>
              </w:rPr>
              <w:t>/d）</w:t>
            </w:r>
            <w:r>
              <w:rPr>
                <w:rFonts w:hint="eastAsia" w:cs="Times New Roman"/>
                <w:color w:val="000000" w:themeColor="text1"/>
                <w:spacing w:val="0"/>
                <w:lang w:eastAsia="zh-CN"/>
                <w14:textFill>
                  <w14:solidFill>
                    <w14:schemeClr w14:val="tx1"/>
                  </w14:solidFill>
                </w14:textFill>
              </w:rPr>
              <w:t>，</w:t>
            </w:r>
            <w:r>
              <w:rPr>
                <w:rFonts w:cs="Times New Roman"/>
                <w:color w:val="000000" w:themeColor="text1"/>
                <w:spacing w:val="0"/>
                <w:lang w:eastAsia="zh-CN"/>
                <w14:textFill>
                  <w14:solidFill>
                    <w14:schemeClr w14:val="tx1"/>
                  </w14:solidFill>
                </w14:textFill>
              </w:rPr>
              <w:t>其中生产废水44400m</w:t>
            </w:r>
            <w:r>
              <w:rPr>
                <w:rFonts w:hint="eastAsia" w:cs="Times New Roman"/>
                <w:color w:val="000000" w:themeColor="text1"/>
                <w:spacing w:val="0"/>
                <w:vertAlign w:val="superscript"/>
                <w:lang w:eastAsia="zh-CN"/>
                <w14:textFill>
                  <w14:solidFill>
                    <w14:schemeClr w14:val="tx1"/>
                  </w14:solidFill>
                </w14:textFill>
              </w:rPr>
              <w:t>3</w:t>
            </w:r>
            <w:r>
              <w:rPr>
                <w:rFonts w:cs="Times New Roman"/>
                <w:color w:val="000000" w:themeColor="text1"/>
                <w:spacing w:val="0"/>
                <w:lang w:eastAsia="zh-CN"/>
                <w14:textFill>
                  <w14:solidFill>
                    <w14:schemeClr w14:val="tx1"/>
                  </w14:solidFill>
                </w14:textFill>
              </w:rPr>
              <w:t>/a（126.86m</w:t>
            </w:r>
            <w:r>
              <w:rPr>
                <w:rFonts w:hint="eastAsia" w:cs="Times New Roman"/>
                <w:color w:val="000000" w:themeColor="text1"/>
                <w:spacing w:val="0"/>
                <w:vertAlign w:val="superscript"/>
                <w:lang w:eastAsia="zh-CN"/>
                <w14:textFill>
                  <w14:solidFill>
                    <w14:schemeClr w14:val="tx1"/>
                  </w14:solidFill>
                </w14:textFill>
              </w:rPr>
              <w:t>3</w:t>
            </w:r>
            <w:r>
              <w:rPr>
                <w:rFonts w:cs="Times New Roman"/>
                <w:color w:val="000000" w:themeColor="text1"/>
                <w:spacing w:val="0"/>
                <w:lang w:eastAsia="zh-CN"/>
                <w14:textFill>
                  <w14:solidFill>
                    <w14:schemeClr w14:val="tx1"/>
                  </w14:solidFill>
                </w14:textFill>
              </w:rPr>
              <w:t>/d），生活污水19280m</w:t>
            </w:r>
            <w:r>
              <w:rPr>
                <w:rFonts w:hint="eastAsia" w:cs="Times New Roman"/>
                <w:color w:val="000000" w:themeColor="text1"/>
                <w:spacing w:val="0"/>
                <w:vertAlign w:val="superscript"/>
                <w:lang w:eastAsia="zh-CN"/>
                <w14:textFill>
                  <w14:solidFill>
                    <w14:schemeClr w14:val="tx1"/>
                  </w14:solidFill>
                </w14:textFill>
              </w:rPr>
              <w:t>3</w:t>
            </w:r>
            <w:r>
              <w:rPr>
                <w:rFonts w:cs="Times New Roman"/>
                <w:color w:val="000000" w:themeColor="text1"/>
                <w:spacing w:val="0"/>
                <w:lang w:eastAsia="zh-CN"/>
                <w14:textFill>
                  <w14:solidFill>
                    <w14:schemeClr w14:val="tx1"/>
                  </w14:solidFill>
                </w14:textFill>
              </w:rPr>
              <w:t>/a（55.09m</w:t>
            </w:r>
            <w:r>
              <w:rPr>
                <w:rFonts w:hint="eastAsia" w:cs="Times New Roman"/>
                <w:color w:val="000000" w:themeColor="text1"/>
                <w:spacing w:val="0"/>
                <w:vertAlign w:val="superscript"/>
                <w:lang w:eastAsia="zh-CN"/>
                <w14:textFill>
                  <w14:solidFill>
                    <w14:schemeClr w14:val="tx1"/>
                  </w14:solidFill>
                </w14:textFill>
              </w:rPr>
              <w:t>3</w:t>
            </w:r>
            <w:r>
              <w:rPr>
                <w:rFonts w:cs="Times New Roman"/>
                <w:color w:val="000000" w:themeColor="text1"/>
                <w:spacing w:val="0"/>
                <w:lang w:eastAsia="zh-CN"/>
                <w14:textFill>
                  <w14:solidFill>
                    <w14:schemeClr w14:val="tx1"/>
                  </w14:solidFill>
                </w14:textFill>
              </w:rPr>
              <w:t>/d）。</w:t>
            </w:r>
          </w:p>
          <w:p w14:paraId="69E232D0">
            <w:pPr>
              <w:pStyle w:val="36"/>
              <w:ind w:firstLine="482"/>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（2）废污水治理措施及去向</w:t>
            </w:r>
          </w:p>
          <w:p w14:paraId="25C43AF1">
            <w:pPr>
              <w:pStyle w:val="36"/>
              <w:ind w:firstLine="480"/>
              <w:rPr>
                <w:spacing w:val="0"/>
                <w:lang w:eastAsia="zh-CN"/>
              </w:rPr>
            </w:pPr>
            <w:r>
              <w:rPr>
                <w:rFonts w:hint="eastAsia"/>
                <w:spacing w:val="0"/>
                <w:lang w:eastAsia="zh-CN"/>
              </w:rPr>
              <w:t>项目扩建达产后，厂区实行“雨污分流、清污分流”，废污水实行“浓污分流、分质处理”。</w:t>
            </w:r>
            <w:r>
              <w:rPr>
                <w:rFonts w:hint="eastAsia"/>
                <w:color w:val="000000"/>
                <w:kern w:val="0"/>
                <w:szCs w:val="21"/>
                <w:lang w:eastAsia="zh-CN" w:bidi="ar"/>
              </w:rPr>
              <w:t>雨水通过集排水沟收集至雨水收集池</w:t>
            </w:r>
            <w:r>
              <w:rPr>
                <w:rFonts w:hint="eastAsia"/>
                <w:spacing w:val="0"/>
                <w:lang w:eastAsia="zh-CN"/>
              </w:rPr>
              <w:t>，废污水收集处理达标后综合利用或排入市政污水管网。</w:t>
            </w:r>
          </w:p>
          <w:p w14:paraId="083CAC4D">
            <w:pPr>
              <w:pStyle w:val="36"/>
              <w:ind w:firstLine="480"/>
              <w:rPr>
                <w:spacing w:val="0"/>
                <w:lang w:eastAsia="zh-CN"/>
              </w:rPr>
            </w:pPr>
            <w:r>
              <w:rPr>
                <w:rFonts w:hint="eastAsia"/>
                <w:spacing w:val="0"/>
                <w:lang w:eastAsia="zh-CN"/>
              </w:rPr>
              <w:t>1）生产废水：收集后经厂区现有生产废水处理站处理达《城市污水再生利用 城市杂用水水质》（GB/T 18920-2020）中“城市绿化、道路清扫”标准用于厂区绿化、洒水降尘，不外排。</w:t>
            </w:r>
          </w:p>
          <w:p w14:paraId="7416002C">
            <w:pPr>
              <w:pStyle w:val="36"/>
              <w:ind w:firstLine="480"/>
              <w:rPr>
                <w:spacing w:val="0"/>
                <w:lang w:eastAsia="zh-CN"/>
              </w:rPr>
            </w:pPr>
            <w:r>
              <w:rPr>
                <w:rFonts w:hint="eastAsia"/>
                <w:spacing w:val="0"/>
                <w:lang w:eastAsia="zh-CN"/>
              </w:rPr>
              <w:t>2）生活污水：收集后经现有隔油池、化粪池预处理达</w:t>
            </w:r>
            <w:r>
              <w:rPr>
                <w:rFonts w:hint="eastAsia"/>
                <w:spacing w:val="0"/>
                <w:kern w:val="0"/>
                <w:lang w:eastAsia="zh-CN" w:bidi="ar"/>
              </w:rPr>
              <w:t>《污水排入城镇下水道水质标准》（GB/T 31962-2015）表1 B级标准，</w:t>
            </w:r>
            <w:r>
              <w:rPr>
                <w:rFonts w:hint="eastAsia"/>
                <w:spacing w:val="0"/>
                <w:lang w:eastAsia="zh-CN"/>
              </w:rPr>
              <w:t>接入市政污水管网，最终进入羊街镇污水处理站处理。</w:t>
            </w:r>
          </w:p>
          <w:p w14:paraId="062F5685">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3）回用水量：经核算，厂区绿化、洒水降尘需水量339.6m</w:t>
            </w:r>
            <w:r>
              <w:rPr>
                <w:rFonts w:hint="eastAsia"/>
                <w:color w:val="000000" w:themeColor="text1"/>
                <w:spacing w:val="0"/>
                <w:vertAlign w:val="super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/d。晴天处理达标后生产废水</w:t>
            </w:r>
            <w:r>
              <w:rPr>
                <w:rFonts w:cs="Times New Roman"/>
                <w:color w:val="000000" w:themeColor="text1"/>
                <w:spacing w:val="0"/>
                <w:lang w:eastAsia="zh-CN"/>
                <w14:textFill>
                  <w14:solidFill>
                    <w14:schemeClr w14:val="tx1"/>
                  </w14:solidFill>
                </w14:textFill>
              </w:rPr>
              <w:t>126.86m</w:t>
            </w:r>
            <w:r>
              <w:rPr>
                <w:rFonts w:hint="eastAsia" w:cs="Times New Roman"/>
                <w:color w:val="000000" w:themeColor="text1"/>
                <w:spacing w:val="0"/>
                <w:vertAlign w:val="superscript"/>
                <w:lang w:eastAsia="zh-CN"/>
                <w14:textFill>
                  <w14:solidFill>
                    <w14:schemeClr w14:val="tx1"/>
                  </w14:solidFill>
                </w14:textFill>
              </w:rPr>
              <w:t>3</w:t>
            </w:r>
            <w:r>
              <w:rPr>
                <w:rFonts w:cs="Times New Roman"/>
                <w:color w:val="000000" w:themeColor="text1"/>
                <w:spacing w:val="0"/>
                <w:lang w:eastAsia="zh-CN"/>
                <w14:textFill>
                  <w14:solidFill>
                    <w14:schemeClr w14:val="tx1"/>
                  </w14:solidFill>
                </w14:textFill>
              </w:rPr>
              <w:t>/d</w:t>
            </w:r>
            <w:r>
              <w:rPr>
                <w:rFonts w:hint="eastAsia"/>
                <w:color w:val="000000" w:themeColor="text1"/>
                <w:spacing w:val="0"/>
                <w:lang w:eastAsia="zh-CN"/>
                <w14:textFill>
                  <w14:solidFill>
                    <w14:schemeClr w14:val="tx1"/>
                  </w14:solidFill>
                </w14:textFill>
              </w:rPr>
              <w:t>全部用于厂区绿化、洒水降尘；雨天处理达标后生产废水暂存于4700m</w:t>
            </w:r>
            <w:r>
              <w:rPr>
                <w:rFonts w:hint="eastAsia"/>
                <w:color w:val="000000" w:themeColor="text1"/>
                <w:spacing w:val="0"/>
                <w:vertAlign w:val="super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蓄水池，蓄水池可暂存连续37d处理后生产废水，待晴天蓄水池暂存水量补充用于厂区绿化、洒水降尘缺水。</w:t>
            </w:r>
          </w:p>
          <w:p w14:paraId="1A82FBFA">
            <w:pPr>
              <w:pStyle w:val="36"/>
              <w:ind w:firstLine="482"/>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（3）废污水污染物产排量核算</w:t>
            </w:r>
          </w:p>
          <w:p w14:paraId="544FB94B">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根据《</w:t>
            </w:r>
            <w:r>
              <w:rPr>
                <w:rFonts w:hint="eastAsia" w:cs="Times New Roman"/>
                <w:spacing w:val="0"/>
                <w:lang w:eastAsia="zh-CN"/>
              </w:rPr>
              <w:t xml:space="preserve">排放源统计调查产排污核算方法和系数手册 </w:t>
            </w:r>
            <w:r>
              <w:rPr>
                <w:rFonts w:cs="Times New Roman"/>
                <w:spacing w:val="0"/>
                <w:lang w:eastAsia="zh-CN"/>
              </w:rPr>
              <w:t>屠宰及肉类加工行业系数手册</w:t>
            </w:r>
            <w:r>
              <w:rPr>
                <w:rFonts w:hint="eastAsia" w:cs="Times New Roman"/>
                <w:spacing w:val="0"/>
                <w:lang w:eastAsia="zh-CN"/>
              </w:rPr>
              <w:t>、生活污染源产排污系数手册</w:t>
            </w:r>
            <w:r>
              <w:rPr>
                <w:rFonts w:hint="eastAsia"/>
                <w:color w:val="000000" w:themeColor="text1"/>
                <w:spacing w:val="0"/>
                <w:lang w:eastAsia="zh-CN"/>
                <w14:textFill>
                  <w14:solidFill>
                    <w14:schemeClr w14:val="tx1"/>
                  </w14:solidFill>
                </w14:textFill>
              </w:rPr>
              <w:t>》，结合现有项目监测数据，核算达产时全厂生产废水、生活污水主要污染物产排量。其中，污染物处理去除率根据废污水处理工艺确定。项目废污水污染物产排情况详见表4-6。</w:t>
            </w:r>
          </w:p>
          <w:p w14:paraId="3934B8F4">
            <w:pPr>
              <w:pStyle w:val="29"/>
              <w:outlineLvl w:val="9"/>
              <w:rPr>
                <w:rFonts w:hint="default"/>
              </w:rPr>
            </w:pPr>
            <w:r>
              <w:t>表4-6 项目废污水污染物产排情况表</w:t>
            </w:r>
          </w:p>
          <w:tbl>
            <w:tblPr>
              <w:tblStyle w:val="23"/>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993"/>
              <w:gridCol w:w="993"/>
              <w:gridCol w:w="1276"/>
              <w:gridCol w:w="945"/>
              <w:gridCol w:w="945"/>
              <w:gridCol w:w="945"/>
              <w:gridCol w:w="970"/>
            </w:tblGrid>
            <w:tr w14:paraId="5620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83" w:type="dxa"/>
                  <w:vAlign w:val="center"/>
                </w:tcPr>
                <w:p w14:paraId="36A832E5">
                  <w:pPr>
                    <w:jc w:val="center"/>
                    <w:rPr>
                      <w:b/>
                      <w:bCs/>
                      <w:sz w:val="18"/>
                      <w:szCs w:val="18"/>
                    </w:rPr>
                  </w:pPr>
                  <w:r>
                    <w:rPr>
                      <w:b/>
                      <w:bCs/>
                      <w:sz w:val="18"/>
                      <w:szCs w:val="18"/>
                    </w:rPr>
                    <w:t>污染物</w:t>
                  </w:r>
                </w:p>
              </w:tc>
              <w:tc>
                <w:tcPr>
                  <w:tcW w:w="993" w:type="dxa"/>
                  <w:vAlign w:val="center"/>
                </w:tcPr>
                <w:p w14:paraId="60948530">
                  <w:pPr>
                    <w:jc w:val="center"/>
                    <w:rPr>
                      <w:b/>
                      <w:bCs/>
                      <w:sz w:val="18"/>
                      <w:szCs w:val="18"/>
                    </w:rPr>
                  </w:pPr>
                  <w:r>
                    <w:rPr>
                      <w:b/>
                      <w:bCs/>
                      <w:sz w:val="18"/>
                      <w:szCs w:val="18"/>
                    </w:rPr>
                    <w:t>产生浓度（mg/L）</w:t>
                  </w:r>
                </w:p>
              </w:tc>
              <w:tc>
                <w:tcPr>
                  <w:tcW w:w="993" w:type="dxa"/>
                  <w:vAlign w:val="center"/>
                </w:tcPr>
                <w:p w14:paraId="3CC675E7">
                  <w:pPr>
                    <w:jc w:val="center"/>
                    <w:rPr>
                      <w:b/>
                      <w:bCs/>
                      <w:sz w:val="18"/>
                      <w:szCs w:val="18"/>
                    </w:rPr>
                  </w:pPr>
                  <w:r>
                    <w:rPr>
                      <w:b/>
                      <w:bCs/>
                      <w:sz w:val="18"/>
                      <w:szCs w:val="18"/>
                    </w:rPr>
                    <w:t>产生量（t/a）</w:t>
                  </w:r>
                </w:p>
              </w:tc>
              <w:tc>
                <w:tcPr>
                  <w:tcW w:w="1276" w:type="dxa"/>
                  <w:vAlign w:val="center"/>
                </w:tcPr>
                <w:p w14:paraId="24A5F53D">
                  <w:pPr>
                    <w:jc w:val="center"/>
                    <w:rPr>
                      <w:b/>
                      <w:bCs/>
                      <w:sz w:val="18"/>
                      <w:szCs w:val="18"/>
                    </w:rPr>
                  </w:pPr>
                  <w:r>
                    <w:rPr>
                      <w:b/>
                      <w:bCs/>
                      <w:sz w:val="18"/>
                      <w:szCs w:val="18"/>
                    </w:rPr>
                    <w:t>治理措施</w:t>
                  </w:r>
                </w:p>
              </w:tc>
              <w:tc>
                <w:tcPr>
                  <w:tcW w:w="945" w:type="dxa"/>
                  <w:vAlign w:val="center"/>
                </w:tcPr>
                <w:p w14:paraId="489CA655">
                  <w:pPr>
                    <w:jc w:val="center"/>
                    <w:rPr>
                      <w:b/>
                      <w:bCs/>
                      <w:sz w:val="18"/>
                      <w:szCs w:val="18"/>
                    </w:rPr>
                  </w:pPr>
                  <w:r>
                    <w:rPr>
                      <w:b/>
                      <w:bCs/>
                      <w:sz w:val="18"/>
                      <w:szCs w:val="18"/>
                    </w:rPr>
                    <w:t>排放浓度（mg/L）</w:t>
                  </w:r>
                </w:p>
              </w:tc>
              <w:tc>
                <w:tcPr>
                  <w:tcW w:w="945" w:type="dxa"/>
                  <w:vAlign w:val="center"/>
                </w:tcPr>
                <w:p w14:paraId="3CA5EDDC">
                  <w:pPr>
                    <w:jc w:val="center"/>
                    <w:rPr>
                      <w:b/>
                      <w:bCs/>
                      <w:sz w:val="18"/>
                      <w:szCs w:val="18"/>
                    </w:rPr>
                  </w:pPr>
                  <w:r>
                    <w:rPr>
                      <w:b/>
                      <w:bCs/>
                      <w:sz w:val="18"/>
                      <w:szCs w:val="18"/>
                    </w:rPr>
                    <w:t>执行标准（mg/L）</w:t>
                  </w:r>
                </w:p>
              </w:tc>
              <w:tc>
                <w:tcPr>
                  <w:tcW w:w="945" w:type="dxa"/>
                  <w:vAlign w:val="center"/>
                </w:tcPr>
                <w:p w14:paraId="44A2E8BD">
                  <w:pPr>
                    <w:jc w:val="center"/>
                    <w:rPr>
                      <w:b/>
                      <w:bCs/>
                      <w:sz w:val="18"/>
                      <w:szCs w:val="18"/>
                    </w:rPr>
                  </w:pPr>
                  <w:r>
                    <w:rPr>
                      <w:b/>
                      <w:bCs/>
                      <w:sz w:val="18"/>
                      <w:szCs w:val="18"/>
                    </w:rPr>
                    <w:t>排放量（t/a）</w:t>
                  </w:r>
                </w:p>
              </w:tc>
              <w:tc>
                <w:tcPr>
                  <w:tcW w:w="970" w:type="dxa"/>
                  <w:vAlign w:val="center"/>
                </w:tcPr>
                <w:p w14:paraId="38C77001">
                  <w:pPr>
                    <w:jc w:val="center"/>
                    <w:rPr>
                      <w:b/>
                      <w:bCs/>
                      <w:sz w:val="18"/>
                      <w:szCs w:val="18"/>
                    </w:rPr>
                  </w:pPr>
                  <w:r>
                    <w:rPr>
                      <w:b/>
                      <w:bCs/>
                      <w:sz w:val="18"/>
                      <w:szCs w:val="18"/>
                    </w:rPr>
                    <w:t>去向</w:t>
                  </w:r>
                </w:p>
              </w:tc>
            </w:tr>
            <w:tr w14:paraId="2D997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50" w:type="dxa"/>
                  <w:gridSpan w:val="8"/>
                  <w:vAlign w:val="center"/>
                </w:tcPr>
                <w:p w14:paraId="75A7489C">
                  <w:pPr>
                    <w:jc w:val="center"/>
                    <w:rPr>
                      <w:b/>
                      <w:bCs/>
                      <w:sz w:val="18"/>
                      <w:szCs w:val="18"/>
                    </w:rPr>
                  </w:pPr>
                  <w:r>
                    <w:rPr>
                      <w:b/>
                      <w:bCs/>
                      <w:sz w:val="18"/>
                      <w:szCs w:val="18"/>
                    </w:rPr>
                    <w:t>生产废水</w:t>
                  </w:r>
                </w:p>
              </w:tc>
            </w:tr>
            <w:tr w14:paraId="6580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183" w:type="dxa"/>
                  <w:vAlign w:val="center"/>
                </w:tcPr>
                <w:p w14:paraId="5F234108">
                  <w:pPr>
                    <w:jc w:val="center"/>
                    <w:rPr>
                      <w:sz w:val="18"/>
                      <w:szCs w:val="18"/>
                    </w:rPr>
                  </w:pPr>
                  <w:r>
                    <w:rPr>
                      <w:sz w:val="18"/>
                      <w:szCs w:val="18"/>
                    </w:rPr>
                    <w:t>COD</w:t>
                  </w:r>
                </w:p>
              </w:tc>
              <w:tc>
                <w:tcPr>
                  <w:tcW w:w="993" w:type="dxa"/>
                  <w:vAlign w:val="center"/>
                </w:tcPr>
                <w:p w14:paraId="6682BAD4">
                  <w:pPr>
                    <w:jc w:val="center"/>
                    <w:rPr>
                      <w:sz w:val="18"/>
                      <w:szCs w:val="18"/>
                    </w:rPr>
                  </w:pPr>
                  <w:r>
                    <w:rPr>
                      <w:rFonts w:hint="eastAsia"/>
                      <w:sz w:val="18"/>
                      <w:szCs w:val="18"/>
                    </w:rPr>
                    <w:t>1900</w:t>
                  </w:r>
                </w:p>
              </w:tc>
              <w:tc>
                <w:tcPr>
                  <w:tcW w:w="993" w:type="dxa"/>
                  <w:vAlign w:val="center"/>
                </w:tcPr>
                <w:p w14:paraId="40463893">
                  <w:pPr>
                    <w:jc w:val="center"/>
                    <w:rPr>
                      <w:sz w:val="18"/>
                      <w:szCs w:val="18"/>
                    </w:rPr>
                  </w:pPr>
                  <w:r>
                    <w:rPr>
                      <w:rFonts w:hint="eastAsia"/>
                      <w:sz w:val="18"/>
                      <w:szCs w:val="18"/>
                    </w:rPr>
                    <w:t>84.3</w:t>
                  </w:r>
                </w:p>
              </w:tc>
              <w:tc>
                <w:tcPr>
                  <w:tcW w:w="1276" w:type="dxa"/>
                  <w:vMerge w:val="restart"/>
                  <w:vAlign w:val="center"/>
                </w:tcPr>
                <w:p w14:paraId="60F525E8">
                  <w:pPr>
                    <w:jc w:val="center"/>
                    <w:rPr>
                      <w:sz w:val="18"/>
                      <w:szCs w:val="18"/>
                    </w:rPr>
                  </w:pPr>
                  <w:r>
                    <w:rPr>
                      <w:sz w:val="18"/>
                      <w:szCs w:val="18"/>
                    </w:rPr>
                    <w:t>机械格栅+微滤机+气浮+强化厌氧+接触氧化+过滤吸附+</w:t>
                  </w:r>
                  <w:r>
                    <w:rPr>
                      <w:rFonts w:hint="eastAsia"/>
                      <w:sz w:val="18"/>
                      <w:szCs w:val="18"/>
                    </w:rPr>
                    <w:t>消毒</w:t>
                  </w:r>
                </w:p>
              </w:tc>
              <w:tc>
                <w:tcPr>
                  <w:tcW w:w="945" w:type="dxa"/>
                  <w:vAlign w:val="center"/>
                </w:tcPr>
                <w:p w14:paraId="37BC3290">
                  <w:pPr>
                    <w:jc w:val="center"/>
                    <w:rPr>
                      <w:sz w:val="18"/>
                      <w:szCs w:val="18"/>
                    </w:rPr>
                  </w:pPr>
                  <w:r>
                    <w:rPr>
                      <w:rFonts w:hint="eastAsia"/>
                      <w:sz w:val="18"/>
                      <w:szCs w:val="18"/>
                    </w:rPr>
                    <w:t>20</w:t>
                  </w:r>
                </w:p>
              </w:tc>
              <w:tc>
                <w:tcPr>
                  <w:tcW w:w="945" w:type="dxa"/>
                  <w:vAlign w:val="center"/>
                </w:tcPr>
                <w:p w14:paraId="49EC8CC3">
                  <w:pPr>
                    <w:jc w:val="center"/>
                    <w:rPr>
                      <w:rFonts w:eastAsiaTheme="minorEastAsia"/>
                      <w:sz w:val="18"/>
                      <w:szCs w:val="18"/>
                    </w:rPr>
                  </w:pPr>
                  <w:r>
                    <w:rPr>
                      <w:rFonts w:eastAsiaTheme="minorEastAsia"/>
                      <w:sz w:val="18"/>
                      <w:szCs w:val="18"/>
                    </w:rPr>
                    <w:t>—</w:t>
                  </w:r>
                </w:p>
              </w:tc>
              <w:tc>
                <w:tcPr>
                  <w:tcW w:w="945" w:type="dxa"/>
                  <w:vAlign w:val="center"/>
                </w:tcPr>
                <w:p w14:paraId="12E0F580">
                  <w:pPr>
                    <w:jc w:val="center"/>
                    <w:rPr>
                      <w:sz w:val="18"/>
                      <w:szCs w:val="18"/>
                    </w:rPr>
                  </w:pPr>
                  <w:r>
                    <w:rPr>
                      <w:sz w:val="18"/>
                      <w:szCs w:val="18"/>
                    </w:rPr>
                    <w:t>—</w:t>
                  </w:r>
                </w:p>
              </w:tc>
              <w:tc>
                <w:tcPr>
                  <w:tcW w:w="970" w:type="dxa"/>
                  <w:vMerge w:val="restart"/>
                  <w:vAlign w:val="center"/>
                </w:tcPr>
                <w:p w14:paraId="5B36EF1D">
                  <w:pPr>
                    <w:jc w:val="center"/>
                    <w:rPr>
                      <w:rFonts w:eastAsiaTheme="minorEastAsia"/>
                      <w:sz w:val="18"/>
                      <w:szCs w:val="18"/>
                    </w:rPr>
                  </w:pPr>
                  <w:r>
                    <w:rPr>
                      <w:sz w:val="18"/>
                      <w:szCs w:val="18"/>
                    </w:rPr>
                    <w:t>用于厂区绿化、洒水降尘</w:t>
                  </w:r>
                </w:p>
              </w:tc>
            </w:tr>
            <w:tr w14:paraId="1EB1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183" w:type="dxa"/>
                  <w:vAlign w:val="center"/>
                </w:tcPr>
                <w:p w14:paraId="7C945772">
                  <w:pPr>
                    <w:jc w:val="center"/>
                    <w:rPr>
                      <w:sz w:val="18"/>
                      <w:szCs w:val="18"/>
                    </w:rPr>
                  </w:pPr>
                  <w:r>
                    <w:rPr>
                      <w:sz w:val="18"/>
                      <w:szCs w:val="18"/>
                    </w:rPr>
                    <w:t>BOD</w:t>
                  </w:r>
                  <w:r>
                    <w:rPr>
                      <w:sz w:val="18"/>
                      <w:szCs w:val="18"/>
                      <w:vertAlign w:val="subscript"/>
                    </w:rPr>
                    <w:t>5</w:t>
                  </w:r>
                </w:p>
              </w:tc>
              <w:tc>
                <w:tcPr>
                  <w:tcW w:w="993" w:type="dxa"/>
                  <w:vAlign w:val="center"/>
                </w:tcPr>
                <w:p w14:paraId="61EBBB54">
                  <w:pPr>
                    <w:jc w:val="center"/>
                    <w:rPr>
                      <w:sz w:val="18"/>
                      <w:szCs w:val="18"/>
                    </w:rPr>
                  </w:pPr>
                  <w:r>
                    <w:rPr>
                      <w:rFonts w:hint="eastAsia"/>
                      <w:sz w:val="18"/>
                      <w:szCs w:val="18"/>
                    </w:rPr>
                    <w:t>950</w:t>
                  </w:r>
                </w:p>
              </w:tc>
              <w:tc>
                <w:tcPr>
                  <w:tcW w:w="993" w:type="dxa"/>
                  <w:vAlign w:val="center"/>
                </w:tcPr>
                <w:p w14:paraId="2B7E7CBA">
                  <w:pPr>
                    <w:jc w:val="center"/>
                    <w:rPr>
                      <w:sz w:val="18"/>
                      <w:szCs w:val="18"/>
                    </w:rPr>
                  </w:pPr>
                  <w:r>
                    <w:rPr>
                      <w:rFonts w:hint="eastAsia"/>
                      <w:sz w:val="18"/>
                      <w:szCs w:val="18"/>
                    </w:rPr>
                    <w:t>42.2</w:t>
                  </w:r>
                </w:p>
              </w:tc>
              <w:tc>
                <w:tcPr>
                  <w:tcW w:w="1276" w:type="dxa"/>
                  <w:vMerge w:val="continue"/>
                  <w:vAlign w:val="center"/>
                </w:tcPr>
                <w:p w14:paraId="2E83C509">
                  <w:pPr>
                    <w:jc w:val="center"/>
                    <w:rPr>
                      <w:sz w:val="18"/>
                      <w:szCs w:val="18"/>
                    </w:rPr>
                  </w:pPr>
                </w:p>
              </w:tc>
              <w:tc>
                <w:tcPr>
                  <w:tcW w:w="945" w:type="dxa"/>
                  <w:vAlign w:val="center"/>
                </w:tcPr>
                <w:p w14:paraId="102ABF77">
                  <w:pPr>
                    <w:jc w:val="center"/>
                    <w:rPr>
                      <w:sz w:val="18"/>
                      <w:szCs w:val="18"/>
                    </w:rPr>
                  </w:pPr>
                  <w:r>
                    <w:rPr>
                      <w:rFonts w:hint="eastAsia"/>
                      <w:sz w:val="18"/>
                      <w:szCs w:val="18"/>
                    </w:rPr>
                    <w:t>9.3</w:t>
                  </w:r>
                </w:p>
              </w:tc>
              <w:tc>
                <w:tcPr>
                  <w:tcW w:w="945" w:type="dxa"/>
                  <w:vAlign w:val="center"/>
                </w:tcPr>
                <w:p w14:paraId="52FFFFDC">
                  <w:pPr>
                    <w:jc w:val="center"/>
                    <w:rPr>
                      <w:sz w:val="18"/>
                      <w:szCs w:val="18"/>
                    </w:rPr>
                  </w:pPr>
                  <w:r>
                    <w:rPr>
                      <w:sz w:val="18"/>
                      <w:szCs w:val="18"/>
                    </w:rPr>
                    <w:t>10</w:t>
                  </w:r>
                </w:p>
              </w:tc>
              <w:tc>
                <w:tcPr>
                  <w:tcW w:w="945" w:type="dxa"/>
                  <w:vAlign w:val="center"/>
                </w:tcPr>
                <w:p w14:paraId="42078DA3">
                  <w:pPr>
                    <w:jc w:val="center"/>
                    <w:rPr>
                      <w:sz w:val="18"/>
                      <w:szCs w:val="18"/>
                    </w:rPr>
                  </w:pPr>
                  <w:r>
                    <w:rPr>
                      <w:sz w:val="18"/>
                      <w:szCs w:val="18"/>
                    </w:rPr>
                    <w:t>—</w:t>
                  </w:r>
                </w:p>
              </w:tc>
              <w:tc>
                <w:tcPr>
                  <w:tcW w:w="970" w:type="dxa"/>
                  <w:vMerge w:val="continue"/>
                  <w:vAlign w:val="center"/>
                </w:tcPr>
                <w:p w14:paraId="36D18394">
                  <w:pPr>
                    <w:jc w:val="center"/>
                    <w:rPr>
                      <w:sz w:val="18"/>
                      <w:szCs w:val="18"/>
                    </w:rPr>
                  </w:pPr>
                </w:p>
              </w:tc>
            </w:tr>
            <w:tr w14:paraId="3E3D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183" w:type="dxa"/>
                  <w:vAlign w:val="center"/>
                </w:tcPr>
                <w:p w14:paraId="0AAC2D4A">
                  <w:pPr>
                    <w:jc w:val="center"/>
                    <w:rPr>
                      <w:sz w:val="18"/>
                      <w:szCs w:val="18"/>
                    </w:rPr>
                  </w:pPr>
                  <w:r>
                    <w:rPr>
                      <w:sz w:val="18"/>
                      <w:szCs w:val="18"/>
                    </w:rPr>
                    <w:t>NH</w:t>
                  </w:r>
                  <w:r>
                    <w:rPr>
                      <w:sz w:val="18"/>
                      <w:szCs w:val="18"/>
                      <w:vertAlign w:val="subscript"/>
                    </w:rPr>
                    <w:t>3</w:t>
                  </w:r>
                  <w:r>
                    <w:rPr>
                      <w:sz w:val="18"/>
                      <w:szCs w:val="18"/>
                    </w:rPr>
                    <w:t>-N</w:t>
                  </w:r>
                </w:p>
              </w:tc>
              <w:tc>
                <w:tcPr>
                  <w:tcW w:w="993" w:type="dxa"/>
                  <w:vAlign w:val="center"/>
                </w:tcPr>
                <w:p w14:paraId="0A52290F">
                  <w:pPr>
                    <w:jc w:val="center"/>
                    <w:rPr>
                      <w:sz w:val="18"/>
                      <w:szCs w:val="18"/>
                    </w:rPr>
                  </w:pPr>
                  <w:r>
                    <w:rPr>
                      <w:rFonts w:hint="eastAsia"/>
                      <w:sz w:val="18"/>
                      <w:szCs w:val="18"/>
                    </w:rPr>
                    <w:t>80</w:t>
                  </w:r>
                </w:p>
              </w:tc>
              <w:tc>
                <w:tcPr>
                  <w:tcW w:w="993" w:type="dxa"/>
                  <w:vAlign w:val="center"/>
                </w:tcPr>
                <w:p w14:paraId="0CFDC845">
                  <w:pPr>
                    <w:jc w:val="center"/>
                    <w:rPr>
                      <w:sz w:val="18"/>
                      <w:szCs w:val="18"/>
                    </w:rPr>
                  </w:pPr>
                  <w:r>
                    <w:rPr>
                      <w:rFonts w:hint="eastAsia"/>
                      <w:sz w:val="18"/>
                      <w:szCs w:val="18"/>
                    </w:rPr>
                    <w:t>3.72</w:t>
                  </w:r>
                </w:p>
              </w:tc>
              <w:tc>
                <w:tcPr>
                  <w:tcW w:w="1276" w:type="dxa"/>
                  <w:vMerge w:val="continue"/>
                  <w:vAlign w:val="center"/>
                </w:tcPr>
                <w:p w14:paraId="7EF8ABCC">
                  <w:pPr>
                    <w:jc w:val="center"/>
                    <w:rPr>
                      <w:sz w:val="18"/>
                      <w:szCs w:val="18"/>
                    </w:rPr>
                  </w:pPr>
                </w:p>
              </w:tc>
              <w:tc>
                <w:tcPr>
                  <w:tcW w:w="945" w:type="dxa"/>
                  <w:vAlign w:val="center"/>
                </w:tcPr>
                <w:p w14:paraId="24E39BCF">
                  <w:pPr>
                    <w:jc w:val="center"/>
                    <w:rPr>
                      <w:sz w:val="18"/>
                      <w:szCs w:val="18"/>
                    </w:rPr>
                  </w:pPr>
                  <w:r>
                    <w:rPr>
                      <w:rFonts w:hint="eastAsia"/>
                      <w:sz w:val="18"/>
                      <w:szCs w:val="18"/>
                    </w:rPr>
                    <w:t>7.3</w:t>
                  </w:r>
                </w:p>
              </w:tc>
              <w:tc>
                <w:tcPr>
                  <w:tcW w:w="945" w:type="dxa"/>
                  <w:vAlign w:val="center"/>
                </w:tcPr>
                <w:p w14:paraId="4ADD20DA">
                  <w:pPr>
                    <w:jc w:val="center"/>
                    <w:rPr>
                      <w:sz w:val="18"/>
                      <w:szCs w:val="18"/>
                    </w:rPr>
                  </w:pPr>
                  <w:r>
                    <w:rPr>
                      <w:sz w:val="18"/>
                      <w:szCs w:val="18"/>
                    </w:rPr>
                    <w:t>8</w:t>
                  </w:r>
                </w:p>
              </w:tc>
              <w:tc>
                <w:tcPr>
                  <w:tcW w:w="945" w:type="dxa"/>
                  <w:vAlign w:val="center"/>
                </w:tcPr>
                <w:p w14:paraId="20421E11">
                  <w:pPr>
                    <w:jc w:val="center"/>
                    <w:rPr>
                      <w:sz w:val="18"/>
                      <w:szCs w:val="18"/>
                    </w:rPr>
                  </w:pPr>
                  <w:r>
                    <w:rPr>
                      <w:sz w:val="18"/>
                      <w:szCs w:val="18"/>
                    </w:rPr>
                    <w:t>—</w:t>
                  </w:r>
                </w:p>
              </w:tc>
              <w:tc>
                <w:tcPr>
                  <w:tcW w:w="970" w:type="dxa"/>
                  <w:vMerge w:val="continue"/>
                  <w:vAlign w:val="center"/>
                </w:tcPr>
                <w:p w14:paraId="238847F9">
                  <w:pPr>
                    <w:jc w:val="center"/>
                    <w:rPr>
                      <w:sz w:val="18"/>
                      <w:szCs w:val="18"/>
                    </w:rPr>
                  </w:pPr>
                </w:p>
              </w:tc>
            </w:tr>
            <w:tr w14:paraId="093D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183" w:type="dxa"/>
                  <w:vAlign w:val="center"/>
                </w:tcPr>
                <w:p w14:paraId="6418D9EB">
                  <w:pPr>
                    <w:jc w:val="center"/>
                    <w:rPr>
                      <w:sz w:val="18"/>
                      <w:szCs w:val="18"/>
                    </w:rPr>
                  </w:pPr>
                  <w:r>
                    <w:rPr>
                      <w:sz w:val="18"/>
                      <w:szCs w:val="18"/>
                    </w:rPr>
                    <w:t>TN</w:t>
                  </w:r>
                </w:p>
              </w:tc>
              <w:tc>
                <w:tcPr>
                  <w:tcW w:w="993" w:type="dxa"/>
                  <w:vAlign w:val="center"/>
                </w:tcPr>
                <w:p w14:paraId="286CECBB">
                  <w:pPr>
                    <w:jc w:val="center"/>
                    <w:rPr>
                      <w:sz w:val="18"/>
                      <w:szCs w:val="18"/>
                    </w:rPr>
                  </w:pPr>
                  <w:r>
                    <w:rPr>
                      <w:rFonts w:hint="eastAsia"/>
                      <w:sz w:val="18"/>
                      <w:szCs w:val="18"/>
                    </w:rPr>
                    <w:t>45</w:t>
                  </w:r>
                </w:p>
              </w:tc>
              <w:tc>
                <w:tcPr>
                  <w:tcW w:w="993" w:type="dxa"/>
                  <w:vAlign w:val="center"/>
                </w:tcPr>
                <w:p w14:paraId="75C28C09">
                  <w:pPr>
                    <w:jc w:val="center"/>
                    <w:rPr>
                      <w:sz w:val="18"/>
                      <w:szCs w:val="18"/>
                    </w:rPr>
                  </w:pPr>
                  <w:r>
                    <w:rPr>
                      <w:rFonts w:hint="eastAsia"/>
                      <w:sz w:val="18"/>
                      <w:szCs w:val="18"/>
                    </w:rPr>
                    <w:t>1.99</w:t>
                  </w:r>
                </w:p>
              </w:tc>
              <w:tc>
                <w:tcPr>
                  <w:tcW w:w="1276" w:type="dxa"/>
                  <w:vMerge w:val="continue"/>
                  <w:vAlign w:val="center"/>
                </w:tcPr>
                <w:p w14:paraId="438327C3">
                  <w:pPr>
                    <w:jc w:val="center"/>
                    <w:rPr>
                      <w:sz w:val="18"/>
                      <w:szCs w:val="18"/>
                    </w:rPr>
                  </w:pPr>
                </w:p>
              </w:tc>
              <w:tc>
                <w:tcPr>
                  <w:tcW w:w="945" w:type="dxa"/>
                  <w:vAlign w:val="center"/>
                </w:tcPr>
                <w:p w14:paraId="19992C4C">
                  <w:pPr>
                    <w:jc w:val="center"/>
                    <w:rPr>
                      <w:sz w:val="18"/>
                      <w:szCs w:val="18"/>
                    </w:rPr>
                  </w:pPr>
                  <w:r>
                    <w:rPr>
                      <w:rFonts w:hint="eastAsia"/>
                      <w:sz w:val="18"/>
                      <w:szCs w:val="18"/>
                    </w:rPr>
                    <w:t>9.0</w:t>
                  </w:r>
                </w:p>
              </w:tc>
              <w:tc>
                <w:tcPr>
                  <w:tcW w:w="945" w:type="dxa"/>
                  <w:vAlign w:val="center"/>
                </w:tcPr>
                <w:p w14:paraId="24452BE3">
                  <w:pPr>
                    <w:jc w:val="center"/>
                    <w:rPr>
                      <w:sz w:val="18"/>
                      <w:szCs w:val="18"/>
                    </w:rPr>
                  </w:pPr>
                  <w:r>
                    <w:rPr>
                      <w:sz w:val="18"/>
                      <w:szCs w:val="18"/>
                    </w:rPr>
                    <w:t>—</w:t>
                  </w:r>
                </w:p>
              </w:tc>
              <w:tc>
                <w:tcPr>
                  <w:tcW w:w="945" w:type="dxa"/>
                  <w:vAlign w:val="center"/>
                </w:tcPr>
                <w:p w14:paraId="0CB179DC">
                  <w:pPr>
                    <w:jc w:val="center"/>
                    <w:rPr>
                      <w:sz w:val="18"/>
                      <w:szCs w:val="18"/>
                    </w:rPr>
                  </w:pPr>
                  <w:r>
                    <w:rPr>
                      <w:sz w:val="18"/>
                      <w:szCs w:val="18"/>
                    </w:rPr>
                    <w:t>—</w:t>
                  </w:r>
                </w:p>
              </w:tc>
              <w:tc>
                <w:tcPr>
                  <w:tcW w:w="970" w:type="dxa"/>
                  <w:vMerge w:val="continue"/>
                  <w:vAlign w:val="center"/>
                </w:tcPr>
                <w:p w14:paraId="0F9CB0F6">
                  <w:pPr>
                    <w:jc w:val="center"/>
                    <w:rPr>
                      <w:sz w:val="18"/>
                      <w:szCs w:val="18"/>
                    </w:rPr>
                  </w:pPr>
                </w:p>
              </w:tc>
            </w:tr>
            <w:tr w14:paraId="74A6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183" w:type="dxa"/>
                  <w:vAlign w:val="center"/>
                </w:tcPr>
                <w:p w14:paraId="171D34CD">
                  <w:pPr>
                    <w:jc w:val="center"/>
                    <w:rPr>
                      <w:sz w:val="18"/>
                      <w:szCs w:val="18"/>
                    </w:rPr>
                  </w:pPr>
                  <w:r>
                    <w:rPr>
                      <w:sz w:val="18"/>
                      <w:szCs w:val="18"/>
                    </w:rPr>
                    <w:t>TP</w:t>
                  </w:r>
                </w:p>
              </w:tc>
              <w:tc>
                <w:tcPr>
                  <w:tcW w:w="993" w:type="dxa"/>
                  <w:vAlign w:val="center"/>
                </w:tcPr>
                <w:p w14:paraId="567F4A67">
                  <w:pPr>
                    <w:jc w:val="center"/>
                    <w:rPr>
                      <w:sz w:val="18"/>
                      <w:szCs w:val="18"/>
                    </w:rPr>
                  </w:pPr>
                  <w:r>
                    <w:rPr>
                      <w:rFonts w:hint="eastAsia"/>
                      <w:sz w:val="18"/>
                      <w:szCs w:val="18"/>
                    </w:rPr>
                    <w:t>4.5</w:t>
                  </w:r>
                </w:p>
              </w:tc>
              <w:tc>
                <w:tcPr>
                  <w:tcW w:w="993" w:type="dxa"/>
                  <w:vAlign w:val="center"/>
                </w:tcPr>
                <w:p w14:paraId="6C563884">
                  <w:pPr>
                    <w:jc w:val="center"/>
                    <w:rPr>
                      <w:sz w:val="18"/>
                      <w:szCs w:val="18"/>
                    </w:rPr>
                  </w:pPr>
                  <w:r>
                    <w:rPr>
                      <w:rFonts w:hint="eastAsia"/>
                      <w:sz w:val="18"/>
                      <w:szCs w:val="18"/>
                    </w:rPr>
                    <w:t>0.20</w:t>
                  </w:r>
                </w:p>
              </w:tc>
              <w:tc>
                <w:tcPr>
                  <w:tcW w:w="1276" w:type="dxa"/>
                  <w:vMerge w:val="continue"/>
                  <w:vAlign w:val="center"/>
                </w:tcPr>
                <w:p w14:paraId="42C31DC2">
                  <w:pPr>
                    <w:jc w:val="center"/>
                    <w:rPr>
                      <w:sz w:val="18"/>
                      <w:szCs w:val="18"/>
                    </w:rPr>
                  </w:pPr>
                </w:p>
              </w:tc>
              <w:tc>
                <w:tcPr>
                  <w:tcW w:w="945" w:type="dxa"/>
                  <w:vAlign w:val="center"/>
                </w:tcPr>
                <w:p w14:paraId="5259746A">
                  <w:pPr>
                    <w:jc w:val="center"/>
                    <w:rPr>
                      <w:sz w:val="18"/>
                      <w:szCs w:val="18"/>
                    </w:rPr>
                  </w:pPr>
                  <w:r>
                    <w:rPr>
                      <w:rFonts w:hint="eastAsia"/>
                      <w:sz w:val="18"/>
                      <w:szCs w:val="18"/>
                    </w:rPr>
                    <w:t>0.9</w:t>
                  </w:r>
                </w:p>
              </w:tc>
              <w:tc>
                <w:tcPr>
                  <w:tcW w:w="945" w:type="dxa"/>
                  <w:vAlign w:val="center"/>
                </w:tcPr>
                <w:p w14:paraId="4CD3F7A6">
                  <w:pPr>
                    <w:jc w:val="center"/>
                    <w:rPr>
                      <w:sz w:val="18"/>
                      <w:szCs w:val="18"/>
                    </w:rPr>
                  </w:pPr>
                  <w:r>
                    <w:rPr>
                      <w:sz w:val="18"/>
                      <w:szCs w:val="18"/>
                    </w:rPr>
                    <w:t>—</w:t>
                  </w:r>
                </w:p>
              </w:tc>
              <w:tc>
                <w:tcPr>
                  <w:tcW w:w="945" w:type="dxa"/>
                  <w:vAlign w:val="center"/>
                </w:tcPr>
                <w:p w14:paraId="7AD07FC8">
                  <w:pPr>
                    <w:jc w:val="center"/>
                    <w:rPr>
                      <w:sz w:val="18"/>
                      <w:szCs w:val="18"/>
                    </w:rPr>
                  </w:pPr>
                  <w:r>
                    <w:rPr>
                      <w:sz w:val="18"/>
                      <w:szCs w:val="18"/>
                    </w:rPr>
                    <w:t>—</w:t>
                  </w:r>
                </w:p>
              </w:tc>
              <w:tc>
                <w:tcPr>
                  <w:tcW w:w="970" w:type="dxa"/>
                  <w:vMerge w:val="continue"/>
                  <w:vAlign w:val="center"/>
                </w:tcPr>
                <w:p w14:paraId="2BC30BC0">
                  <w:pPr>
                    <w:jc w:val="center"/>
                    <w:rPr>
                      <w:sz w:val="18"/>
                      <w:szCs w:val="18"/>
                    </w:rPr>
                  </w:pPr>
                </w:p>
              </w:tc>
            </w:tr>
            <w:tr w14:paraId="7BBB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8250" w:type="dxa"/>
                  <w:gridSpan w:val="8"/>
                  <w:vAlign w:val="center"/>
                </w:tcPr>
                <w:p w14:paraId="50F25531">
                  <w:pPr>
                    <w:jc w:val="center"/>
                    <w:rPr>
                      <w:b/>
                      <w:bCs/>
                      <w:sz w:val="18"/>
                      <w:szCs w:val="18"/>
                    </w:rPr>
                  </w:pPr>
                  <w:r>
                    <w:rPr>
                      <w:b/>
                      <w:bCs/>
                      <w:sz w:val="18"/>
                      <w:szCs w:val="18"/>
                    </w:rPr>
                    <w:t>生活污水</w:t>
                  </w:r>
                </w:p>
              </w:tc>
            </w:tr>
            <w:tr w14:paraId="649C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183" w:type="dxa"/>
                  <w:vAlign w:val="center"/>
                </w:tcPr>
                <w:p w14:paraId="7744C7DC">
                  <w:pPr>
                    <w:jc w:val="center"/>
                    <w:rPr>
                      <w:sz w:val="18"/>
                      <w:szCs w:val="18"/>
                    </w:rPr>
                  </w:pPr>
                  <w:r>
                    <w:rPr>
                      <w:sz w:val="18"/>
                      <w:szCs w:val="18"/>
                    </w:rPr>
                    <w:t>COD</w:t>
                  </w:r>
                </w:p>
              </w:tc>
              <w:tc>
                <w:tcPr>
                  <w:tcW w:w="993" w:type="dxa"/>
                  <w:vAlign w:val="center"/>
                </w:tcPr>
                <w:p w14:paraId="24B43E55">
                  <w:pPr>
                    <w:jc w:val="center"/>
                    <w:rPr>
                      <w:sz w:val="18"/>
                      <w:szCs w:val="18"/>
                    </w:rPr>
                  </w:pPr>
                  <w:r>
                    <w:rPr>
                      <w:sz w:val="18"/>
                      <w:szCs w:val="18"/>
                    </w:rPr>
                    <w:t>325</w:t>
                  </w:r>
                </w:p>
              </w:tc>
              <w:tc>
                <w:tcPr>
                  <w:tcW w:w="993" w:type="dxa"/>
                  <w:vAlign w:val="center"/>
                </w:tcPr>
                <w:p w14:paraId="31C7FCA6">
                  <w:pPr>
                    <w:jc w:val="center"/>
                    <w:rPr>
                      <w:sz w:val="18"/>
                      <w:szCs w:val="18"/>
                    </w:rPr>
                  </w:pPr>
                  <w:r>
                    <w:rPr>
                      <w:rFonts w:hint="eastAsia"/>
                      <w:sz w:val="18"/>
                      <w:szCs w:val="18"/>
                    </w:rPr>
                    <w:t>6.27</w:t>
                  </w:r>
                </w:p>
              </w:tc>
              <w:tc>
                <w:tcPr>
                  <w:tcW w:w="1276" w:type="dxa"/>
                  <w:vMerge w:val="restart"/>
                  <w:vAlign w:val="center"/>
                </w:tcPr>
                <w:p w14:paraId="603447DE">
                  <w:pPr>
                    <w:jc w:val="center"/>
                    <w:rPr>
                      <w:sz w:val="18"/>
                      <w:szCs w:val="18"/>
                    </w:rPr>
                  </w:pPr>
                  <w:r>
                    <w:rPr>
                      <w:sz w:val="18"/>
                      <w:szCs w:val="18"/>
                    </w:rPr>
                    <w:t>隔油池+化粪池</w:t>
                  </w:r>
                </w:p>
              </w:tc>
              <w:tc>
                <w:tcPr>
                  <w:tcW w:w="945" w:type="dxa"/>
                  <w:vAlign w:val="center"/>
                </w:tcPr>
                <w:p w14:paraId="50B5E823">
                  <w:pPr>
                    <w:jc w:val="center"/>
                    <w:rPr>
                      <w:rFonts w:eastAsiaTheme="minorEastAsia"/>
                      <w:sz w:val="18"/>
                      <w:szCs w:val="18"/>
                      <w:shd w:val="clear" w:color="auto" w:fill="FFFFFF"/>
                    </w:rPr>
                  </w:pPr>
                  <w:r>
                    <w:rPr>
                      <w:rFonts w:eastAsiaTheme="minorEastAsia"/>
                      <w:sz w:val="18"/>
                      <w:szCs w:val="18"/>
                      <w:shd w:val="clear" w:color="auto" w:fill="FFFFFF"/>
                    </w:rPr>
                    <w:t>146</w:t>
                  </w:r>
                </w:p>
              </w:tc>
              <w:tc>
                <w:tcPr>
                  <w:tcW w:w="945" w:type="dxa"/>
                  <w:vAlign w:val="center"/>
                </w:tcPr>
                <w:p w14:paraId="6D977468">
                  <w:pPr>
                    <w:jc w:val="center"/>
                    <w:rPr>
                      <w:sz w:val="18"/>
                      <w:szCs w:val="18"/>
                    </w:rPr>
                  </w:pPr>
                  <w:r>
                    <w:rPr>
                      <w:sz w:val="18"/>
                      <w:szCs w:val="18"/>
                    </w:rPr>
                    <w:t>500</w:t>
                  </w:r>
                </w:p>
              </w:tc>
              <w:tc>
                <w:tcPr>
                  <w:tcW w:w="945" w:type="dxa"/>
                  <w:vAlign w:val="center"/>
                </w:tcPr>
                <w:p w14:paraId="6659B6FC">
                  <w:pPr>
                    <w:jc w:val="center"/>
                    <w:rPr>
                      <w:sz w:val="18"/>
                      <w:szCs w:val="18"/>
                    </w:rPr>
                  </w:pPr>
                  <w:r>
                    <w:rPr>
                      <w:rFonts w:hint="eastAsia"/>
                      <w:sz w:val="18"/>
                      <w:szCs w:val="18"/>
                    </w:rPr>
                    <w:t>2.82</w:t>
                  </w:r>
                </w:p>
              </w:tc>
              <w:tc>
                <w:tcPr>
                  <w:tcW w:w="970" w:type="dxa"/>
                  <w:vMerge w:val="restart"/>
                  <w:vAlign w:val="center"/>
                </w:tcPr>
                <w:p w14:paraId="1ACDCF78">
                  <w:pPr>
                    <w:jc w:val="center"/>
                    <w:rPr>
                      <w:sz w:val="18"/>
                      <w:szCs w:val="18"/>
                    </w:rPr>
                  </w:pPr>
                  <w:r>
                    <w:rPr>
                      <w:rFonts w:hint="eastAsia"/>
                      <w:sz w:val="18"/>
                      <w:szCs w:val="18"/>
                    </w:rPr>
                    <w:t>接入市政污水管网，最终进入羊街镇污水处理站处理</w:t>
                  </w:r>
                </w:p>
              </w:tc>
            </w:tr>
            <w:tr w14:paraId="05BB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183" w:type="dxa"/>
                  <w:vAlign w:val="center"/>
                </w:tcPr>
                <w:p w14:paraId="7AC4C818">
                  <w:pPr>
                    <w:jc w:val="center"/>
                    <w:rPr>
                      <w:sz w:val="18"/>
                      <w:szCs w:val="18"/>
                    </w:rPr>
                  </w:pPr>
                  <w:r>
                    <w:rPr>
                      <w:sz w:val="18"/>
                      <w:szCs w:val="18"/>
                    </w:rPr>
                    <w:t>BOD</w:t>
                  </w:r>
                  <w:r>
                    <w:rPr>
                      <w:sz w:val="18"/>
                      <w:szCs w:val="18"/>
                      <w:vertAlign w:val="subscript"/>
                    </w:rPr>
                    <w:t>5</w:t>
                  </w:r>
                </w:p>
              </w:tc>
              <w:tc>
                <w:tcPr>
                  <w:tcW w:w="993" w:type="dxa"/>
                  <w:vAlign w:val="center"/>
                </w:tcPr>
                <w:p w14:paraId="6A3D37ED">
                  <w:pPr>
                    <w:jc w:val="center"/>
                    <w:rPr>
                      <w:sz w:val="18"/>
                      <w:szCs w:val="18"/>
                    </w:rPr>
                  </w:pPr>
                  <w:r>
                    <w:rPr>
                      <w:sz w:val="18"/>
                      <w:szCs w:val="18"/>
                    </w:rPr>
                    <w:t>150</w:t>
                  </w:r>
                </w:p>
              </w:tc>
              <w:tc>
                <w:tcPr>
                  <w:tcW w:w="993" w:type="dxa"/>
                  <w:vAlign w:val="center"/>
                </w:tcPr>
                <w:p w14:paraId="49977F00">
                  <w:pPr>
                    <w:jc w:val="center"/>
                    <w:rPr>
                      <w:sz w:val="18"/>
                      <w:szCs w:val="18"/>
                    </w:rPr>
                  </w:pPr>
                  <w:r>
                    <w:rPr>
                      <w:rFonts w:hint="eastAsia"/>
                      <w:sz w:val="18"/>
                      <w:szCs w:val="18"/>
                    </w:rPr>
                    <w:t>2.90</w:t>
                  </w:r>
                </w:p>
              </w:tc>
              <w:tc>
                <w:tcPr>
                  <w:tcW w:w="1276" w:type="dxa"/>
                  <w:vMerge w:val="continue"/>
                  <w:vAlign w:val="center"/>
                </w:tcPr>
                <w:p w14:paraId="53EFFF29">
                  <w:pPr>
                    <w:jc w:val="center"/>
                    <w:rPr>
                      <w:sz w:val="18"/>
                      <w:szCs w:val="18"/>
                    </w:rPr>
                  </w:pPr>
                </w:p>
              </w:tc>
              <w:tc>
                <w:tcPr>
                  <w:tcW w:w="945" w:type="dxa"/>
                  <w:vAlign w:val="center"/>
                </w:tcPr>
                <w:p w14:paraId="391CB1C5">
                  <w:pPr>
                    <w:jc w:val="center"/>
                    <w:rPr>
                      <w:rFonts w:eastAsiaTheme="minorEastAsia"/>
                      <w:sz w:val="18"/>
                      <w:szCs w:val="18"/>
                      <w:shd w:val="clear" w:color="auto" w:fill="FFFFFF"/>
                    </w:rPr>
                  </w:pPr>
                  <w:r>
                    <w:rPr>
                      <w:rFonts w:eastAsiaTheme="minorEastAsia"/>
                      <w:sz w:val="18"/>
                      <w:szCs w:val="18"/>
                      <w:shd w:val="clear" w:color="auto" w:fill="FFFFFF"/>
                    </w:rPr>
                    <w:t>68</w:t>
                  </w:r>
                </w:p>
              </w:tc>
              <w:tc>
                <w:tcPr>
                  <w:tcW w:w="945" w:type="dxa"/>
                  <w:vAlign w:val="center"/>
                </w:tcPr>
                <w:p w14:paraId="1CDC9F4C">
                  <w:pPr>
                    <w:jc w:val="center"/>
                    <w:rPr>
                      <w:sz w:val="18"/>
                      <w:szCs w:val="18"/>
                    </w:rPr>
                  </w:pPr>
                  <w:r>
                    <w:rPr>
                      <w:sz w:val="18"/>
                      <w:szCs w:val="18"/>
                    </w:rPr>
                    <w:t>350</w:t>
                  </w:r>
                </w:p>
              </w:tc>
              <w:tc>
                <w:tcPr>
                  <w:tcW w:w="945" w:type="dxa"/>
                  <w:vAlign w:val="center"/>
                </w:tcPr>
                <w:p w14:paraId="56D7DA16">
                  <w:pPr>
                    <w:jc w:val="center"/>
                    <w:rPr>
                      <w:sz w:val="18"/>
                      <w:szCs w:val="18"/>
                    </w:rPr>
                  </w:pPr>
                  <w:r>
                    <w:rPr>
                      <w:rFonts w:hint="eastAsia"/>
                      <w:sz w:val="18"/>
                      <w:szCs w:val="18"/>
                    </w:rPr>
                    <w:t>1.31</w:t>
                  </w:r>
                </w:p>
              </w:tc>
              <w:tc>
                <w:tcPr>
                  <w:tcW w:w="970" w:type="dxa"/>
                  <w:vMerge w:val="continue"/>
                  <w:vAlign w:val="center"/>
                </w:tcPr>
                <w:p w14:paraId="31D64FAA">
                  <w:pPr>
                    <w:jc w:val="center"/>
                    <w:rPr>
                      <w:sz w:val="18"/>
                      <w:szCs w:val="18"/>
                    </w:rPr>
                  </w:pPr>
                </w:p>
              </w:tc>
            </w:tr>
            <w:tr w14:paraId="2DB6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183" w:type="dxa"/>
                  <w:vAlign w:val="center"/>
                </w:tcPr>
                <w:p w14:paraId="71DAF1DD">
                  <w:pPr>
                    <w:jc w:val="center"/>
                    <w:rPr>
                      <w:sz w:val="18"/>
                      <w:szCs w:val="18"/>
                    </w:rPr>
                  </w:pPr>
                  <w:r>
                    <w:rPr>
                      <w:sz w:val="18"/>
                      <w:szCs w:val="18"/>
                    </w:rPr>
                    <w:t>NH</w:t>
                  </w:r>
                  <w:r>
                    <w:rPr>
                      <w:sz w:val="18"/>
                      <w:szCs w:val="18"/>
                      <w:vertAlign w:val="subscript"/>
                    </w:rPr>
                    <w:t>3</w:t>
                  </w:r>
                  <w:r>
                    <w:rPr>
                      <w:sz w:val="18"/>
                      <w:szCs w:val="18"/>
                    </w:rPr>
                    <w:t>-N</w:t>
                  </w:r>
                </w:p>
              </w:tc>
              <w:tc>
                <w:tcPr>
                  <w:tcW w:w="993" w:type="dxa"/>
                  <w:vAlign w:val="center"/>
                </w:tcPr>
                <w:p w14:paraId="777DA32B">
                  <w:pPr>
                    <w:jc w:val="center"/>
                    <w:rPr>
                      <w:sz w:val="18"/>
                      <w:szCs w:val="18"/>
                    </w:rPr>
                  </w:pPr>
                  <w:r>
                    <w:rPr>
                      <w:sz w:val="18"/>
                      <w:szCs w:val="18"/>
                    </w:rPr>
                    <w:t>37.7</w:t>
                  </w:r>
                </w:p>
              </w:tc>
              <w:tc>
                <w:tcPr>
                  <w:tcW w:w="993" w:type="dxa"/>
                  <w:vAlign w:val="center"/>
                </w:tcPr>
                <w:p w14:paraId="29E99A70">
                  <w:pPr>
                    <w:jc w:val="center"/>
                    <w:rPr>
                      <w:sz w:val="18"/>
                      <w:szCs w:val="18"/>
                    </w:rPr>
                  </w:pPr>
                  <w:r>
                    <w:rPr>
                      <w:rFonts w:hint="eastAsia"/>
                      <w:sz w:val="18"/>
                      <w:szCs w:val="18"/>
                    </w:rPr>
                    <w:t>0.73</w:t>
                  </w:r>
                </w:p>
              </w:tc>
              <w:tc>
                <w:tcPr>
                  <w:tcW w:w="1276" w:type="dxa"/>
                  <w:vMerge w:val="continue"/>
                  <w:vAlign w:val="center"/>
                </w:tcPr>
                <w:p w14:paraId="01D6913C">
                  <w:pPr>
                    <w:jc w:val="center"/>
                    <w:rPr>
                      <w:sz w:val="18"/>
                      <w:szCs w:val="18"/>
                    </w:rPr>
                  </w:pPr>
                </w:p>
              </w:tc>
              <w:tc>
                <w:tcPr>
                  <w:tcW w:w="945" w:type="dxa"/>
                  <w:vAlign w:val="center"/>
                </w:tcPr>
                <w:p w14:paraId="1F8E5668">
                  <w:pPr>
                    <w:jc w:val="center"/>
                    <w:rPr>
                      <w:rFonts w:eastAsiaTheme="minorEastAsia"/>
                      <w:sz w:val="18"/>
                      <w:szCs w:val="18"/>
                      <w:shd w:val="clear" w:color="auto" w:fill="FFFFFF"/>
                    </w:rPr>
                  </w:pPr>
                  <w:r>
                    <w:rPr>
                      <w:rFonts w:hint="eastAsia" w:eastAsiaTheme="minorEastAsia"/>
                      <w:sz w:val="18"/>
                      <w:szCs w:val="18"/>
                      <w:shd w:val="clear" w:color="auto" w:fill="FFFFFF"/>
                    </w:rPr>
                    <w:t>32</w:t>
                  </w:r>
                </w:p>
              </w:tc>
              <w:tc>
                <w:tcPr>
                  <w:tcW w:w="945" w:type="dxa"/>
                  <w:vAlign w:val="center"/>
                </w:tcPr>
                <w:p w14:paraId="3295A2AF">
                  <w:pPr>
                    <w:jc w:val="center"/>
                    <w:rPr>
                      <w:sz w:val="18"/>
                      <w:szCs w:val="18"/>
                    </w:rPr>
                  </w:pPr>
                  <w:r>
                    <w:rPr>
                      <w:sz w:val="18"/>
                      <w:szCs w:val="18"/>
                    </w:rPr>
                    <w:t>45</w:t>
                  </w:r>
                </w:p>
              </w:tc>
              <w:tc>
                <w:tcPr>
                  <w:tcW w:w="945" w:type="dxa"/>
                  <w:vAlign w:val="center"/>
                </w:tcPr>
                <w:p w14:paraId="318EE852">
                  <w:pPr>
                    <w:jc w:val="center"/>
                    <w:rPr>
                      <w:sz w:val="18"/>
                      <w:szCs w:val="18"/>
                    </w:rPr>
                  </w:pPr>
                  <w:r>
                    <w:rPr>
                      <w:rFonts w:hint="eastAsia"/>
                      <w:sz w:val="18"/>
                      <w:szCs w:val="18"/>
                    </w:rPr>
                    <w:t>0.62</w:t>
                  </w:r>
                </w:p>
              </w:tc>
              <w:tc>
                <w:tcPr>
                  <w:tcW w:w="970" w:type="dxa"/>
                  <w:vMerge w:val="continue"/>
                  <w:vAlign w:val="center"/>
                </w:tcPr>
                <w:p w14:paraId="527355F9">
                  <w:pPr>
                    <w:jc w:val="center"/>
                    <w:rPr>
                      <w:sz w:val="18"/>
                      <w:szCs w:val="18"/>
                    </w:rPr>
                  </w:pPr>
                </w:p>
              </w:tc>
            </w:tr>
            <w:tr w14:paraId="577C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183" w:type="dxa"/>
                  <w:vAlign w:val="center"/>
                </w:tcPr>
                <w:p w14:paraId="49537FA1">
                  <w:pPr>
                    <w:jc w:val="center"/>
                    <w:rPr>
                      <w:sz w:val="18"/>
                      <w:szCs w:val="18"/>
                    </w:rPr>
                  </w:pPr>
                  <w:r>
                    <w:rPr>
                      <w:sz w:val="18"/>
                      <w:szCs w:val="18"/>
                    </w:rPr>
                    <w:t>TN</w:t>
                  </w:r>
                </w:p>
              </w:tc>
              <w:tc>
                <w:tcPr>
                  <w:tcW w:w="993" w:type="dxa"/>
                  <w:vAlign w:val="center"/>
                </w:tcPr>
                <w:p w14:paraId="23542D4A">
                  <w:pPr>
                    <w:jc w:val="center"/>
                    <w:rPr>
                      <w:sz w:val="18"/>
                      <w:szCs w:val="18"/>
                    </w:rPr>
                  </w:pPr>
                  <w:r>
                    <w:rPr>
                      <w:sz w:val="18"/>
                      <w:szCs w:val="18"/>
                    </w:rPr>
                    <w:t>49.8</w:t>
                  </w:r>
                </w:p>
              </w:tc>
              <w:tc>
                <w:tcPr>
                  <w:tcW w:w="993" w:type="dxa"/>
                  <w:vAlign w:val="center"/>
                </w:tcPr>
                <w:p w14:paraId="6F5A35A3">
                  <w:pPr>
                    <w:jc w:val="center"/>
                    <w:rPr>
                      <w:sz w:val="18"/>
                      <w:szCs w:val="18"/>
                    </w:rPr>
                  </w:pPr>
                  <w:r>
                    <w:rPr>
                      <w:rFonts w:hint="eastAsia"/>
                      <w:sz w:val="18"/>
                      <w:szCs w:val="18"/>
                    </w:rPr>
                    <w:t>0.96</w:t>
                  </w:r>
                </w:p>
              </w:tc>
              <w:tc>
                <w:tcPr>
                  <w:tcW w:w="1276" w:type="dxa"/>
                  <w:vMerge w:val="continue"/>
                  <w:vAlign w:val="center"/>
                </w:tcPr>
                <w:p w14:paraId="72C8B289">
                  <w:pPr>
                    <w:jc w:val="center"/>
                    <w:rPr>
                      <w:sz w:val="18"/>
                      <w:szCs w:val="18"/>
                    </w:rPr>
                  </w:pPr>
                </w:p>
              </w:tc>
              <w:tc>
                <w:tcPr>
                  <w:tcW w:w="945" w:type="dxa"/>
                  <w:vAlign w:val="center"/>
                </w:tcPr>
                <w:p w14:paraId="18762995">
                  <w:pPr>
                    <w:jc w:val="center"/>
                    <w:rPr>
                      <w:rFonts w:eastAsiaTheme="minorEastAsia"/>
                      <w:sz w:val="18"/>
                      <w:szCs w:val="18"/>
                      <w:shd w:val="clear" w:color="auto" w:fill="FFFFFF"/>
                    </w:rPr>
                  </w:pPr>
                  <w:r>
                    <w:rPr>
                      <w:rFonts w:hint="eastAsia" w:eastAsiaTheme="minorEastAsia"/>
                      <w:sz w:val="18"/>
                      <w:szCs w:val="18"/>
                      <w:shd w:val="clear" w:color="auto" w:fill="FFFFFF"/>
                    </w:rPr>
                    <w:t>46</w:t>
                  </w:r>
                </w:p>
              </w:tc>
              <w:tc>
                <w:tcPr>
                  <w:tcW w:w="945" w:type="dxa"/>
                  <w:vAlign w:val="center"/>
                </w:tcPr>
                <w:p w14:paraId="0825FDB1">
                  <w:pPr>
                    <w:jc w:val="center"/>
                    <w:rPr>
                      <w:sz w:val="18"/>
                      <w:szCs w:val="18"/>
                    </w:rPr>
                  </w:pPr>
                  <w:r>
                    <w:rPr>
                      <w:sz w:val="18"/>
                      <w:szCs w:val="18"/>
                    </w:rPr>
                    <w:t>70</w:t>
                  </w:r>
                </w:p>
              </w:tc>
              <w:tc>
                <w:tcPr>
                  <w:tcW w:w="945" w:type="dxa"/>
                  <w:vAlign w:val="center"/>
                </w:tcPr>
                <w:p w14:paraId="34822A7F">
                  <w:pPr>
                    <w:jc w:val="center"/>
                    <w:rPr>
                      <w:sz w:val="18"/>
                      <w:szCs w:val="18"/>
                    </w:rPr>
                  </w:pPr>
                  <w:r>
                    <w:rPr>
                      <w:rFonts w:hint="eastAsia"/>
                      <w:sz w:val="18"/>
                      <w:szCs w:val="18"/>
                    </w:rPr>
                    <w:t>0.89</w:t>
                  </w:r>
                </w:p>
              </w:tc>
              <w:tc>
                <w:tcPr>
                  <w:tcW w:w="970" w:type="dxa"/>
                  <w:vMerge w:val="continue"/>
                  <w:vAlign w:val="center"/>
                </w:tcPr>
                <w:p w14:paraId="00A510A6">
                  <w:pPr>
                    <w:jc w:val="center"/>
                    <w:rPr>
                      <w:sz w:val="18"/>
                      <w:szCs w:val="18"/>
                    </w:rPr>
                  </w:pPr>
                </w:p>
              </w:tc>
            </w:tr>
            <w:tr w14:paraId="62CD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183" w:type="dxa"/>
                  <w:vAlign w:val="center"/>
                </w:tcPr>
                <w:p w14:paraId="5DDF866F">
                  <w:pPr>
                    <w:jc w:val="center"/>
                    <w:rPr>
                      <w:sz w:val="18"/>
                      <w:szCs w:val="18"/>
                    </w:rPr>
                  </w:pPr>
                  <w:r>
                    <w:rPr>
                      <w:sz w:val="18"/>
                      <w:szCs w:val="18"/>
                    </w:rPr>
                    <w:t>TP</w:t>
                  </w:r>
                </w:p>
              </w:tc>
              <w:tc>
                <w:tcPr>
                  <w:tcW w:w="993" w:type="dxa"/>
                  <w:vAlign w:val="center"/>
                </w:tcPr>
                <w:p w14:paraId="63353D1E">
                  <w:pPr>
                    <w:jc w:val="center"/>
                    <w:rPr>
                      <w:sz w:val="18"/>
                      <w:szCs w:val="18"/>
                    </w:rPr>
                  </w:pPr>
                  <w:r>
                    <w:rPr>
                      <w:sz w:val="18"/>
                      <w:szCs w:val="18"/>
                    </w:rPr>
                    <w:t>4.28</w:t>
                  </w:r>
                </w:p>
              </w:tc>
              <w:tc>
                <w:tcPr>
                  <w:tcW w:w="993" w:type="dxa"/>
                  <w:vAlign w:val="center"/>
                </w:tcPr>
                <w:p w14:paraId="0C769E37">
                  <w:pPr>
                    <w:jc w:val="center"/>
                    <w:rPr>
                      <w:sz w:val="18"/>
                      <w:szCs w:val="18"/>
                    </w:rPr>
                  </w:pPr>
                  <w:r>
                    <w:rPr>
                      <w:rFonts w:hint="eastAsia"/>
                      <w:sz w:val="18"/>
                      <w:szCs w:val="18"/>
                    </w:rPr>
                    <w:t>0.08</w:t>
                  </w:r>
                </w:p>
              </w:tc>
              <w:tc>
                <w:tcPr>
                  <w:tcW w:w="1276" w:type="dxa"/>
                  <w:vMerge w:val="continue"/>
                  <w:vAlign w:val="center"/>
                </w:tcPr>
                <w:p w14:paraId="3DA05030">
                  <w:pPr>
                    <w:jc w:val="center"/>
                    <w:rPr>
                      <w:sz w:val="18"/>
                      <w:szCs w:val="18"/>
                    </w:rPr>
                  </w:pPr>
                </w:p>
              </w:tc>
              <w:tc>
                <w:tcPr>
                  <w:tcW w:w="945" w:type="dxa"/>
                  <w:vAlign w:val="center"/>
                </w:tcPr>
                <w:p w14:paraId="4A3121B8">
                  <w:pPr>
                    <w:jc w:val="center"/>
                    <w:rPr>
                      <w:rFonts w:eastAsiaTheme="minorEastAsia"/>
                      <w:sz w:val="18"/>
                      <w:szCs w:val="18"/>
                      <w:shd w:val="clear" w:color="auto" w:fill="FFFFFF"/>
                    </w:rPr>
                  </w:pPr>
                  <w:r>
                    <w:rPr>
                      <w:rFonts w:hint="eastAsia" w:eastAsiaTheme="minorEastAsia"/>
                      <w:sz w:val="18"/>
                      <w:szCs w:val="18"/>
                      <w:shd w:val="clear" w:color="auto" w:fill="FFFFFF"/>
                    </w:rPr>
                    <w:t>3.8</w:t>
                  </w:r>
                </w:p>
              </w:tc>
              <w:tc>
                <w:tcPr>
                  <w:tcW w:w="945" w:type="dxa"/>
                  <w:vAlign w:val="center"/>
                </w:tcPr>
                <w:p w14:paraId="59E77957">
                  <w:pPr>
                    <w:jc w:val="center"/>
                    <w:rPr>
                      <w:sz w:val="18"/>
                      <w:szCs w:val="18"/>
                    </w:rPr>
                  </w:pPr>
                  <w:r>
                    <w:rPr>
                      <w:sz w:val="18"/>
                      <w:szCs w:val="18"/>
                    </w:rPr>
                    <w:t>8</w:t>
                  </w:r>
                </w:p>
              </w:tc>
              <w:tc>
                <w:tcPr>
                  <w:tcW w:w="945" w:type="dxa"/>
                  <w:vAlign w:val="center"/>
                </w:tcPr>
                <w:p w14:paraId="2026F538">
                  <w:pPr>
                    <w:jc w:val="center"/>
                    <w:rPr>
                      <w:sz w:val="18"/>
                      <w:szCs w:val="18"/>
                    </w:rPr>
                  </w:pPr>
                  <w:r>
                    <w:rPr>
                      <w:rFonts w:hint="eastAsia"/>
                      <w:sz w:val="18"/>
                      <w:szCs w:val="18"/>
                    </w:rPr>
                    <w:t>0.07</w:t>
                  </w:r>
                </w:p>
              </w:tc>
              <w:tc>
                <w:tcPr>
                  <w:tcW w:w="970" w:type="dxa"/>
                  <w:vMerge w:val="continue"/>
                  <w:vAlign w:val="center"/>
                </w:tcPr>
                <w:p w14:paraId="119A2D6E">
                  <w:pPr>
                    <w:jc w:val="center"/>
                    <w:rPr>
                      <w:sz w:val="18"/>
                      <w:szCs w:val="18"/>
                    </w:rPr>
                  </w:pPr>
                </w:p>
              </w:tc>
            </w:tr>
            <w:tr w14:paraId="0AAE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183" w:type="dxa"/>
                  <w:vAlign w:val="center"/>
                </w:tcPr>
                <w:p w14:paraId="5AF711C2">
                  <w:pPr>
                    <w:jc w:val="center"/>
                    <w:rPr>
                      <w:sz w:val="18"/>
                      <w:szCs w:val="18"/>
                    </w:rPr>
                  </w:pPr>
                  <w:r>
                    <w:rPr>
                      <w:sz w:val="18"/>
                      <w:szCs w:val="18"/>
                    </w:rPr>
                    <w:t>动植物油</w:t>
                  </w:r>
                </w:p>
              </w:tc>
              <w:tc>
                <w:tcPr>
                  <w:tcW w:w="993" w:type="dxa"/>
                  <w:vAlign w:val="center"/>
                </w:tcPr>
                <w:p w14:paraId="537127DA">
                  <w:pPr>
                    <w:jc w:val="center"/>
                    <w:rPr>
                      <w:sz w:val="18"/>
                      <w:szCs w:val="18"/>
                    </w:rPr>
                  </w:pPr>
                  <w:r>
                    <w:rPr>
                      <w:rFonts w:hint="eastAsia"/>
                      <w:sz w:val="18"/>
                      <w:szCs w:val="18"/>
                    </w:rPr>
                    <w:t>5.0</w:t>
                  </w:r>
                </w:p>
              </w:tc>
              <w:tc>
                <w:tcPr>
                  <w:tcW w:w="993" w:type="dxa"/>
                  <w:vAlign w:val="center"/>
                </w:tcPr>
                <w:p w14:paraId="3712B102">
                  <w:pPr>
                    <w:jc w:val="center"/>
                    <w:rPr>
                      <w:sz w:val="18"/>
                      <w:szCs w:val="18"/>
                    </w:rPr>
                  </w:pPr>
                  <w:r>
                    <w:rPr>
                      <w:rFonts w:hint="eastAsia"/>
                      <w:sz w:val="18"/>
                      <w:szCs w:val="18"/>
                    </w:rPr>
                    <w:t>0.10</w:t>
                  </w:r>
                </w:p>
              </w:tc>
              <w:tc>
                <w:tcPr>
                  <w:tcW w:w="1276" w:type="dxa"/>
                  <w:vMerge w:val="continue"/>
                  <w:vAlign w:val="center"/>
                </w:tcPr>
                <w:p w14:paraId="631D7942">
                  <w:pPr>
                    <w:jc w:val="center"/>
                    <w:rPr>
                      <w:sz w:val="18"/>
                      <w:szCs w:val="18"/>
                    </w:rPr>
                  </w:pPr>
                </w:p>
              </w:tc>
              <w:tc>
                <w:tcPr>
                  <w:tcW w:w="945" w:type="dxa"/>
                  <w:vAlign w:val="center"/>
                </w:tcPr>
                <w:p w14:paraId="7CC1C984">
                  <w:pPr>
                    <w:jc w:val="center"/>
                    <w:rPr>
                      <w:rFonts w:eastAsiaTheme="minorEastAsia"/>
                      <w:sz w:val="18"/>
                      <w:szCs w:val="18"/>
                      <w:shd w:val="clear" w:color="auto" w:fill="FFFFFF"/>
                    </w:rPr>
                  </w:pPr>
                  <w:r>
                    <w:rPr>
                      <w:rFonts w:hint="eastAsia" w:eastAsiaTheme="minorEastAsia"/>
                      <w:sz w:val="18"/>
                      <w:szCs w:val="18"/>
                      <w:shd w:val="clear" w:color="auto" w:fill="FFFFFF"/>
                    </w:rPr>
                    <w:t>1.0</w:t>
                  </w:r>
                </w:p>
              </w:tc>
              <w:tc>
                <w:tcPr>
                  <w:tcW w:w="945" w:type="dxa"/>
                  <w:vAlign w:val="center"/>
                </w:tcPr>
                <w:p w14:paraId="315CC66A">
                  <w:pPr>
                    <w:jc w:val="center"/>
                    <w:rPr>
                      <w:sz w:val="18"/>
                      <w:szCs w:val="18"/>
                    </w:rPr>
                  </w:pPr>
                  <w:r>
                    <w:rPr>
                      <w:sz w:val="18"/>
                      <w:szCs w:val="18"/>
                    </w:rPr>
                    <w:t>100</w:t>
                  </w:r>
                </w:p>
              </w:tc>
              <w:tc>
                <w:tcPr>
                  <w:tcW w:w="945" w:type="dxa"/>
                  <w:vAlign w:val="center"/>
                </w:tcPr>
                <w:p w14:paraId="4F3494EB">
                  <w:pPr>
                    <w:jc w:val="center"/>
                    <w:rPr>
                      <w:sz w:val="18"/>
                      <w:szCs w:val="18"/>
                    </w:rPr>
                  </w:pPr>
                  <w:r>
                    <w:rPr>
                      <w:rFonts w:hint="eastAsia"/>
                      <w:sz w:val="18"/>
                      <w:szCs w:val="18"/>
                    </w:rPr>
                    <w:t>0.02</w:t>
                  </w:r>
                </w:p>
              </w:tc>
              <w:tc>
                <w:tcPr>
                  <w:tcW w:w="970" w:type="dxa"/>
                  <w:vMerge w:val="continue"/>
                  <w:vAlign w:val="center"/>
                </w:tcPr>
                <w:p w14:paraId="2F41CEFE">
                  <w:pPr>
                    <w:jc w:val="center"/>
                    <w:rPr>
                      <w:sz w:val="18"/>
                      <w:szCs w:val="18"/>
                    </w:rPr>
                  </w:pPr>
                </w:p>
              </w:tc>
            </w:tr>
          </w:tbl>
          <w:p w14:paraId="28C2A263">
            <w:pPr>
              <w:pStyle w:val="36"/>
              <w:spacing w:line="240" w:lineRule="auto"/>
              <w:ind w:firstLine="0" w:firstLineChars="0"/>
              <w:rPr>
                <w:color w:val="000000" w:themeColor="text1"/>
                <w:spacing w:val="0"/>
                <w:lang w:eastAsia="zh-CN"/>
                <w14:textFill>
                  <w14:solidFill>
                    <w14:schemeClr w14:val="tx1"/>
                  </w14:solidFill>
                </w14:textFill>
              </w:rPr>
            </w:pPr>
          </w:p>
          <w:p w14:paraId="0EEE0E0A">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（4）废污水</w:t>
            </w:r>
            <w:r>
              <w:rPr>
                <w:b/>
                <w:bCs/>
                <w:spacing w:val="0"/>
                <w:lang w:eastAsia="zh-CN"/>
              </w:rPr>
              <w:t>治理</w:t>
            </w:r>
            <w:r>
              <w:rPr>
                <w:rFonts w:hint="eastAsia"/>
                <w:b/>
                <w:bCs/>
                <w:spacing w:val="0"/>
                <w:lang w:eastAsia="zh-CN"/>
              </w:rPr>
              <w:t>措施可行性分析</w:t>
            </w:r>
          </w:p>
          <w:p w14:paraId="5D9D51A6">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1）生产废水依托现有生产废水处理站处理可行性分析</w:t>
            </w:r>
          </w:p>
          <w:p w14:paraId="4DC70870">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厂区现有生产废水</w:t>
            </w:r>
            <w:commentRangeStart w:id="4"/>
            <w:r>
              <w:rPr>
                <w:rFonts w:hint="eastAsia"/>
                <w:color w:val="000000" w:themeColor="text1"/>
                <w:spacing w:val="0"/>
                <w:lang w:eastAsia="zh-CN"/>
                <w14:textFill>
                  <w14:solidFill>
                    <w14:schemeClr w14:val="tx1"/>
                  </w14:solidFill>
                </w14:textFill>
              </w:rPr>
              <w:t>处理站处理规模为250m</w:t>
            </w:r>
            <w:r>
              <w:rPr>
                <w:rFonts w:hint="eastAsia"/>
                <w:color w:val="000000" w:themeColor="text1"/>
                <w:spacing w:val="0"/>
                <w:vertAlign w:val="super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/d，处理工艺为“机械格栅+微滤机+气浮+强化厌氧（IC塔）+接触氧化+过滤吸附+消毒（次氯酸钠+臭氧）”</w:t>
            </w:r>
            <w:commentRangeEnd w:id="4"/>
            <w:r>
              <w:rPr>
                <w:rStyle w:val="28"/>
                <w:rFonts w:hint="eastAsia"/>
                <w:color w:val="000000" w:themeColor="text1"/>
                <w:spacing w:val="0"/>
                <w:sz w:val="24"/>
                <w:lang w:eastAsia="zh-CN"/>
                <w14:textFill>
                  <w14:solidFill>
                    <w14:schemeClr w14:val="tx1"/>
                  </w14:solidFill>
                </w14:textFill>
              </w:rPr>
              <w:commentReference w:id="4"/>
            </w:r>
            <w:r>
              <w:rPr>
                <w:rFonts w:hint="eastAsia"/>
                <w:color w:val="000000" w:themeColor="text1"/>
                <w:spacing w:val="0"/>
                <w:lang w:eastAsia="zh-CN"/>
                <w14:textFill>
                  <w14:solidFill>
                    <w14:schemeClr w14:val="tx1"/>
                  </w14:solidFill>
                </w14:textFill>
              </w:rPr>
              <w:t>，属于《排污许可证申请与核发技术规范 农副食品加工工业-屠宰及肉类加工工业》（HJ 860.3-2018）中可行的生产废水处理工艺。</w:t>
            </w:r>
          </w:p>
          <w:p w14:paraId="069EFA9A">
            <w:pPr>
              <w:pStyle w:val="36"/>
              <w:ind w:firstLine="0" w:firstLineChars="0"/>
              <w:rPr>
                <w:color w:val="000000" w:themeColor="text1"/>
                <w:spacing w:val="0"/>
                <w:lang w:eastAsia="zh-CN"/>
                <w14:textFill>
                  <w14:solidFill>
                    <w14:schemeClr w14:val="tx1"/>
                  </w14:solidFill>
                </w14:textFill>
              </w:rPr>
            </w:pPr>
            <w:r>
              <w:rPr>
                <w:rFonts w:hint="eastAsia"/>
              </w:rPr>
              <w:drawing>
                <wp:inline distT="0" distB="0" distL="114300" distR="114300">
                  <wp:extent cx="5192395" cy="1756410"/>
                  <wp:effectExtent l="0" t="0" r="0" b="0"/>
                  <wp:docPr id="1846566635" name="ECB019B1-382A-4266-B25C-5B523AA43C14-4" descr="C:/Users/Administrator/AppData/Local/Temp/wps.UhXbS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66635" name="ECB019B1-382A-4266-B25C-5B523AA43C14-4" descr="C:/Users/Administrator/AppData/Local/Temp/wps.UhXbSpwps"/>
                          <pic:cNvPicPr>
                            <a:picLocks noChangeAspect="1"/>
                          </pic:cNvPicPr>
                        </pic:nvPicPr>
                        <pic:blipFill>
                          <a:blip r:embed="rId25"/>
                          <a:stretch>
                            <a:fillRect/>
                          </a:stretch>
                        </pic:blipFill>
                        <pic:spPr>
                          <a:xfrm>
                            <a:off x="0" y="0"/>
                            <a:ext cx="5217640" cy="1765190"/>
                          </a:xfrm>
                          <a:prstGeom prst="rect">
                            <a:avLst/>
                          </a:prstGeom>
                        </pic:spPr>
                      </pic:pic>
                    </a:graphicData>
                  </a:graphic>
                </wp:inline>
              </w:drawing>
            </w:r>
          </w:p>
          <w:p w14:paraId="210CC94F">
            <w:pPr>
              <w:pStyle w:val="36"/>
              <w:spacing w:line="240" w:lineRule="auto"/>
              <w:ind w:firstLine="0" w:firstLineChars="0"/>
              <w:jc w:val="center"/>
              <w:rPr>
                <w:b/>
                <w:bCs/>
                <w:spacing w:val="0"/>
                <w:sz w:val="21"/>
                <w:szCs w:val="21"/>
                <w:lang w:eastAsia="zh-CN"/>
              </w:rPr>
            </w:pPr>
            <w:r>
              <w:rPr>
                <w:b/>
                <w:bCs/>
                <w:spacing w:val="0"/>
                <w:sz w:val="21"/>
                <w:szCs w:val="21"/>
                <w:lang w:eastAsia="zh-CN"/>
              </w:rPr>
              <w:t>图</w:t>
            </w:r>
            <w:r>
              <w:rPr>
                <w:rFonts w:hint="eastAsia"/>
                <w:b/>
                <w:bCs/>
                <w:spacing w:val="0"/>
                <w:sz w:val="21"/>
                <w:szCs w:val="21"/>
                <w:lang w:eastAsia="zh-CN"/>
              </w:rPr>
              <w:t>4</w:t>
            </w:r>
            <w:r>
              <w:rPr>
                <w:b/>
                <w:bCs/>
                <w:spacing w:val="0"/>
                <w:sz w:val="21"/>
                <w:szCs w:val="21"/>
                <w:lang w:eastAsia="zh-CN"/>
              </w:rPr>
              <w:t>-</w:t>
            </w:r>
            <w:r>
              <w:rPr>
                <w:rFonts w:hint="eastAsia"/>
                <w:b/>
                <w:bCs/>
                <w:spacing w:val="0"/>
                <w:sz w:val="21"/>
                <w:szCs w:val="21"/>
                <w:lang w:eastAsia="zh-CN"/>
              </w:rPr>
              <w:t>1</w:t>
            </w:r>
            <w:r>
              <w:rPr>
                <w:b/>
                <w:bCs/>
                <w:spacing w:val="0"/>
                <w:sz w:val="21"/>
                <w:szCs w:val="21"/>
                <w:lang w:eastAsia="zh-CN"/>
              </w:rPr>
              <w:t xml:space="preserve"> 项目</w:t>
            </w:r>
            <w:r>
              <w:rPr>
                <w:rFonts w:hint="eastAsia"/>
                <w:b/>
                <w:bCs/>
                <w:spacing w:val="0"/>
                <w:sz w:val="21"/>
                <w:szCs w:val="21"/>
                <w:lang w:eastAsia="zh-CN"/>
              </w:rPr>
              <w:t>生产废水处理站工艺流程图</w:t>
            </w:r>
          </w:p>
          <w:p w14:paraId="34C9BDCC">
            <w:pPr>
              <w:pStyle w:val="36"/>
              <w:spacing w:line="240" w:lineRule="auto"/>
              <w:ind w:firstLine="0" w:firstLineChars="0"/>
              <w:rPr>
                <w:color w:val="000000" w:themeColor="text1"/>
                <w:spacing w:val="0"/>
                <w:lang w:eastAsia="zh-CN"/>
                <w14:textFill>
                  <w14:solidFill>
                    <w14:schemeClr w14:val="tx1"/>
                  </w14:solidFill>
                </w14:textFill>
              </w:rPr>
            </w:pPr>
          </w:p>
          <w:p w14:paraId="3873F5F4">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项目达产后，全厂生产废水量约</w:t>
            </w:r>
            <w:r>
              <w:rPr>
                <w:rFonts w:cs="Times New Roman"/>
                <w:color w:val="000000" w:themeColor="text1"/>
                <w:spacing w:val="0"/>
                <w:lang w:eastAsia="zh-CN"/>
                <w14:textFill>
                  <w14:solidFill>
                    <w14:schemeClr w14:val="tx1"/>
                  </w14:solidFill>
                </w14:textFill>
              </w:rPr>
              <w:t>126.86m</w:t>
            </w:r>
            <w:r>
              <w:rPr>
                <w:rFonts w:hint="eastAsia" w:cs="Times New Roman"/>
                <w:color w:val="000000" w:themeColor="text1"/>
                <w:spacing w:val="0"/>
                <w:vertAlign w:val="superscript"/>
                <w:lang w:eastAsia="zh-CN"/>
                <w14:textFill>
                  <w14:solidFill>
                    <w14:schemeClr w14:val="tx1"/>
                  </w14:solidFill>
                </w14:textFill>
              </w:rPr>
              <w:t>3</w:t>
            </w:r>
            <w:r>
              <w:rPr>
                <w:rFonts w:cs="Times New Roman"/>
                <w:color w:val="000000" w:themeColor="text1"/>
                <w:spacing w:val="0"/>
                <w:lang w:eastAsia="zh-CN"/>
                <w14:textFill>
                  <w14:solidFill>
                    <w14:schemeClr w14:val="tx1"/>
                  </w14:solidFill>
                </w14:textFill>
              </w:rPr>
              <w:t>/d</w:t>
            </w:r>
            <w:r>
              <w:rPr>
                <w:rFonts w:hint="eastAsia"/>
                <w:color w:val="000000" w:themeColor="text1"/>
                <w:spacing w:val="0"/>
                <w:lang w:eastAsia="zh-CN"/>
                <w14:textFill>
                  <w14:solidFill>
                    <w14:schemeClr w14:val="tx1"/>
                  </w14:solidFill>
                </w14:textFill>
              </w:rPr>
              <w:t>，为高浓度屠宰有机废水，COD、BOD</w:t>
            </w:r>
            <w:r>
              <w:rPr>
                <w:rFonts w:hint="eastAsia"/>
                <w:color w:val="000000" w:themeColor="text1"/>
                <w:spacing w:val="0"/>
                <w:vertAlign w:val="subscript"/>
                <w:lang w:eastAsia="zh-CN"/>
                <w14:textFill>
                  <w14:solidFill>
                    <w14:schemeClr w14:val="tx1"/>
                  </w14:solidFill>
                </w14:textFill>
              </w:rPr>
              <w:t>5</w:t>
            </w:r>
            <w:r>
              <w:rPr>
                <w:rFonts w:hint="eastAsia"/>
                <w:color w:val="000000" w:themeColor="text1"/>
                <w:spacing w:val="0"/>
                <w:lang w:eastAsia="zh-CN"/>
                <w14:textFill>
                  <w14:solidFill>
                    <w14:schemeClr w14:val="tx1"/>
                  </w14:solidFill>
                </w14:textFill>
              </w:rPr>
              <w:t>、NH</w:t>
            </w:r>
            <w:r>
              <w:rPr>
                <w:rFonts w:hint="eastAsia"/>
                <w:color w:val="000000" w:themeColor="text1"/>
                <w:spacing w:val="0"/>
                <w:vertAlign w:val="sub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-N浓度约1900</w:t>
            </w:r>
            <w:r>
              <w:rPr>
                <w:rFonts w:hint="eastAsia" w:cs="Times New Roman"/>
                <w:spacing w:val="0"/>
                <w:lang w:eastAsia="zh-CN"/>
              </w:rPr>
              <w:t>mg/L</w:t>
            </w:r>
            <w:r>
              <w:rPr>
                <w:rFonts w:hint="eastAsia"/>
                <w:color w:val="000000" w:themeColor="text1"/>
                <w:spacing w:val="0"/>
                <w:lang w:eastAsia="zh-CN"/>
                <w14:textFill>
                  <w14:solidFill>
                    <w14:schemeClr w14:val="tx1"/>
                  </w14:solidFill>
                </w14:textFill>
              </w:rPr>
              <w:t>、950</w:t>
            </w:r>
            <w:r>
              <w:rPr>
                <w:rFonts w:hint="eastAsia" w:cs="Times New Roman"/>
                <w:spacing w:val="0"/>
                <w:lang w:eastAsia="zh-CN"/>
              </w:rPr>
              <w:t>mg/L</w:t>
            </w:r>
            <w:r>
              <w:rPr>
                <w:rFonts w:hint="eastAsia"/>
                <w:color w:val="000000" w:themeColor="text1"/>
                <w:spacing w:val="0"/>
                <w:lang w:eastAsia="zh-CN"/>
                <w14:textFill>
                  <w14:solidFill>
                    <w14:schemeClr w14:val="tx1"/>
                  </w14:solidFill>
                </w14:textFill>
              </w:rPr>
              <w:t>、80</w:t>
            </w:r>
            <w:r>
              <w:rPr>
                <w:rFonts w:hint="eastAsia" w:cs="Times New Roman"/>
                <w:spacing w:val="0"/>
                <w:lang w:eastAsia="zh-CN"/>
              </w:rPr>
              <w:t>mg/L</w:t>
            </w:r>
            <w:r>
              <w:rPr>
                <w:rFonts w:hint="eastAsia"/>
                <w:color w:val="000000" w:themeColor="text1"/>
                <w:spacing w:val="0"/>
                <w:lang w:eastAsia="zh-CN"/>
                <w14:textFill>
                  <w14:solidFill>
                    <w14:schemeClr w14:val="tx1"/>
                  </w14:solidFill>
                </w14:textFill>
              </w:rPr>
              <w:t>。生产废水处理站处理规模250m</w:t>
            </w:r>
            <w:r>
              <w:rPr>
                <w:rFonts w:hint="eastAsia"/>
                <w:color w:val="000000" w:themeColor="text1"/>
                <w:spacing w:val="0"/>
                <w:vertAlign w:val="super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/d，可完全消纳生产废水量，生产废水处理达标后用于厂区绿化、洒水降尘，不外排。</w:t>
            </w:r>
          </w:p>
          <w:p w14:paraId="0F53ABAD">
            <w:pPr>
              <w:pStyle w:val="36"/>
              <w:ind w:firstLine="480"/>
              <w:rPr>
                <w:color w:val="000000"/>
                <w:spacing w:val="0"/>
                <w:lang w:eastAsia="zh-CN"/>
              </w:rPr>
            </w:pPr>
            <w:r>
              <w:rPr>
                <w:rFonts w:hint="eastAsia"/>
                <w:color w:val="000000"/>
                <w:spacing w:val="0"/>
                <w:lang w:eastAsia="zh-CN"/>
              </w:rPr>
              <w:t>目前，生产废水处理站运行稳定。根据2024年11月，项目排污许可自行监测：废水处理站回用水监测口水质达到《城市污水再生利用 城市杂用水水质》（GB/T 18920-2020）表1“城市绿化、道路清扫”标准。</w:t>
            </w:r>
          </w:p>
          <w:p w14:paraId="156D4057">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综上分析，项目生产废水依托现有生产废水处理站处理是可行的。</w:t>
            </w:r>
          </w:p>
          <w:p w14:paraId="60A3E7CB">
            <w:pPr>
              <w:pStyle w:val="36"/>
              <w:ind w:firstLine="480"/>
              <w:rPr>
                <w:spacing w:val="0"/>
                <w:lang w:eastAsia="zh-CN"/>
              </w:rPr>
            </w:pPr>
            <w:r>
              <w:rPr>
                <w:rFonts w:hint="eastAsia"/>
                <w:spacing w:val="0"/>
                <w:lang w:eastAsia="zh-CN"/>
              </w:rPr>
              <w:t>2）生活污水依托现有设施预处理可行性分析</w:t>
            </w:r>
          </w:p>
          <w:p w14:paraId="380438D1">
            <w:pPr>
              <w:pStyle w:val="36"/>
              <w:ind w:firstLine="480"/>
              <w:rPr>
                <w:rFonts w:cs="Times New Roman"/>
                <w:spacing w:val="0"/>
                <w:lang w:eastAsia="zh-CN"/>
              </w:rPr>
            </w:pPr>
            <w:r>
              <w:rPr>
                <w:rFonts w:hint="eastAsia"/>
                <w:spacing w:val="0"/>
                <w:lang w:eastAsia="zh-CN"/>
              </w:rPr>
              <w:t>厂区现状设有地埋式100m</w:t>
            </w:r>
            <w:r>
              <w:rPr>
                <w:rFonts w:hint="eastAsia"/>
                <w:spacing w:val="0"/>
                <w:vertAlign w:val="superscript"/>
                <w:lang w:eastAsia="zh-CN"/>
              </w:rPr>
              <w:t>3</w:t>
            </w:r>
            <w:r>
              <w:rPr>
                <w:rFonts w:hint="eastAsia"/>
                <w:spacing w:val="0"/>
                <w:lang w:eastAsia="zh-CN"/>
              </w:rPr>
              <w:t>隔油池、300m</w:t>
            </w:r>
            <w:r>
              <w:rPr>
                <w:rFonts w:hint="eastAsia"/>
                <w:spacing w:val="0"/>
                <w:vertAlign w:val="superscript"/>
                <w:lang w:eastAsia="zh-CN"/>
              </w:rPr>
              <w:t>3</w:t>
            </w:r>
            <w:r>
              <w:rPr>
                <w:rFonts w:hint="eastAsia"/>
                <w:spacing w:val="0"/>
                <w:lang w:eastAsia="zh-CN"/>
              </w:rPr>
              <w:t>化粪池各1个，办公大楼、职工食堂、交易市场、冷库产生的生活污水收集进入隔油池、化粪池预处理。项目达产后，全厂生活污水量保持不变，为</w:t>
            </w:r>
            <w:r>
              <w:rPr>
                <w:rFonts w:cs="Times New Roman"/>
                <w:spacing w:val="0"/>
                <w:lang w:eastAsia="zh-CN"/>
              </w:rPr>
              <w:t>55.09m</w:t>
            </w:r>
            <w:r>
              <w:rPr>
                <w:rFonts w:hint="eastAsia" w:cs="Times New Roman"/>
                <w:spacing w:val="0"/>
                <w:vertAlign w:val="superscript"/>
                <w:lang w:eastAsia="zh-CN"/>
              </w:rPr>
              <w:t>3</w:t>
            </w:r>
            <w:r>
              <w:rPr>
                <w:rFonts w:cs="Times New Roman"/>
                <w:spacing w:val="0"/>
                <w:lang w:eastAsia="zh-CN"/>
              </w:rPr>
              <w:t>/d</w:t>
            </w:r>
            <w:r>
              <w:rPr>
                <w:rFonts w:hint="eastAsia" w:cs="Times New Roman"/>
                <w:spacing w:val="0"/>
                <w:lang w:eastAsia="zh-CN"/>
              </w:rPr>
              <w:t>，COD、BOD</w:t>
            </w:r>
            <w:r>
              <w:rPr>
                <w:rFonts w:hint="eastAsia" w:cs="Times New Roman"/>
                <w:spacing w:val="0"/>
                <w:vertAlign w:val="subscript"/>
                <w:lang w:eastAsia="zh-CN"/>
              </w:rPr>
              <w:t>5</w:t>
            </w:r>
            <w:r>
              <w:rPr>
                <w:rFonts w:hint="eastAsia" w:cs="Times New Roman"/>
                <w:spacing w:val="0"/>
                <w:lang w:eastAsia="zh-CN"/>
              </w:rPr>
              <w:t>、TP、TN、NH</w:t>
            </w:r>
            <w:r>
              <w:rPr>
                <w:rFonts w:hint="eastAsia" w:cs="Times New Roman"/>
                <w:spacing w:val="0"/>
                <w:vertAlign w:val="subscript"/>
                <w:lang w:eastAsia="zh-CN"/>
              </w:rPr>
              <w:t>3</w:t>
            </w:r>
            <w:r>
              <w:rPr>
                <w:rFonts w:hint="eastAsia" w:cs="Times New Roman"/>
                <w:spacing w:val="0"/>
                <w:lang w:eastAsia="zh-CN"/>
              </w:rPr>
              <w:t>-N浓度约325mg/L、150mg/L、4.3mg/L、50mg/L、37mg/L。隔油池、化粪池容积满足《建筑给水排水设计标准》（GB50015-2019）对污水处理工艺的停留时间要求，处理后水质满足</w:t>
            </w:r>
            <w:r>
              <w:rPr>
                <w:rFonts w:hint="eastAsia"/>
                <w:spacing w:val="0"/>
                <w:kern w:val="0"/>
                <w:lang w:eastAsia="zh-CN" w:bidi="ar"/>
              </w:rPr>
              <w:t>《污水排入城镇下水道水质标准》（GB/T 31962-2015）表1 B级标准</w:t>
            </w:r>
            <w:r>
              <w:rPr>
                <w:rFonts w:hint="eastAsia" w:cs="Times New Roman"/>
                <w:spacing w:val="0"/>
                <w:lang w:eastAsia="zh-CN"/>
              </w:rPr>
              <w:t>。</w:t>
            </w:r>
          </w:p>
          <w:p w14:paraId="287169E9">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综上分析，项目生活污水依托现有设施预处理是可行的。</w:t>
            </w:r>
          </w:p>
          <w:p w14:paraId="1B4A0A7F">
            <w:pPr>
              <w:pStyle w:val="36"/>
              <w:ind w:firstLine="480"/>
              <w:rPr>
                <w:spacing w:val="0"/>
                <w:lang w:eastAsia="zh-CN"/>
              </w:rPr>
            </w:pPr>
            <w:r>
              <w:rPr>
                <w:rFonts w:hint="eastAsia"/>
                <w:spacing w:val="0"/>
                <w:lang w:eastAsia="zh-CN"/>
              </w:rPr>
              <w:t>3）生活污水依托现有羊街镇污水处理站处理可行性分析</w:t>
            </w:r>
          </w:p>
          <w:p w14:paraId="27B704AC">
            <w:pPr>
              <w:pStyle w:val="36"/>
              <w:ind w:firstLine="480"/>
              <w:rPr>
                <w:spacing w:val="0"/>
                <w:lang w:eastAsia="zh-CN"/>
              </w:rPr>
            </w:pPr>
            <w:r>
              <w:rPr>
                <w:rFonts w:hint="eastAsia"/>
                <w:spacing w:val="0"/>
                <w:lang w:eastAsia="zh-CN"/>
              </w:rPr>
              <w:t>项目达产后，全厂生活污水量约</w:t>
            </w:r>
            <w:r>
              <w:rPr>
                <w:rFonts w:cs="Times New Roman"/>
                <w:spacing w:val="0"/>
                <w:lang w:eastAsia="zh-CN"/>
              </w:rPr>
              <w:t>55.09m</w:t>
            </w:r>
            <w:r>
              <w:rPr>
                <w:rFonts w:hint="eastAsia" w:cs="Times New Roman"/>
                <w:spacing w:val="0"/>
                <w:vertAlign w:val="superscript"/>
                <w:lang w:eastAsia="zh-CN"/>
              </w:rPr>
              <w:t>3</w:t>
            </w:r>
            <w:r>
              <w:rPr>
                <w:rFonts w:cs="Times New Roman"/>
                <w:spacing w:val="0"/>
                <w:lang w:eastAsia="zh-CN"/>
              </w:rPr>
              <w:t>/d</w:t>
            </w:r>
            <w:r>
              <w:rPr>
                <w:rFonts w:hint="eastAsia"/>
                <w:spacing w:val="0"/>
                <w:lang w:eastAsia="zh-CN"/>
              </w:rPr>
              <w:t>，经隔油池、化粪池预处理达</w:t>
            </w:r>
            <w:r>
              <w:rPr>
                <w:rFonts w:hint="eastAsia"/>
                <w:spacing w:val="0"/>
                <w:kern w:val="0"/>
                <w:lang w:eastAsia="zh-CN" w:bidi="ar"/>
              </w:rPr>
              <w:t>《污水排入城镇下水道水质标准》（GB/T 31962-2015）表1 B级标准</w:t>
            </w:r>
            <w:r>
              <w:rPr>
                <w:rFonts w:hint="eastAsia"/>
                <w:spacing w:val="0"/>
                <w:lang w:eastAsia="zh-CN"/>
              </w:rPr>
              <w:t>后，接入市政污水管网，最终进入羊街镇污水处理站处理。</w:t>
            </w:r>
          </w:p>
          <w:p w14:paraId="39ABCDCB">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羊街镇污水处理站位于阳先线东侧，距项目区约3km。2015年3月污水处理站竣工运行，2023年10月完成工艺改造，改造后处理规模为1500m</w:t>
            </w:r>
            <w:r>
              <w:rPr>
                <w:rFonts w:hint="eastAsia"/>
                <w:color w:val="000000" w:themeColor="text1"/>
                <w:spacing w:val="0"/>
                <w:vertAlign w:val="super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d，处理工艺为“厌氧-缺氧-好氧（AAO）+高效沉淀+转盘过滤+消毒（紫外）”，污水接纳范围为羊街镇及附近大庄村、羊街村、龙池村，生活污水经处理达《城镇污水处理厂污染物排放标准》（GB18918-2002）一级A标准，出水再经人工湿地进一步净化处理后，最终进入果马河。</w:t>
            </w:r>
          </w:p>
          <w:p w14:paraId="335C48A9">
            <w:pPr>
              <w:pStyle w:val="36"/>
              <w:ind w:firstLine="0" w:firstLineChars="0"/>
              <w:jc w:val="center"/>
              <w:rPr>
                <w:color w:val="000000" w:themeColor="text1"/>
                <w:lang w:eastAsia="zh-CN"/>
                <w14:textFill>
                  <w14:solidFill>
                    <w14:schemeClr w14:val="tx1"/>
                  </w14:solidFill>
                </w14:textFill>
              </w:rPr>
            </w:pPr>
            <w:r>
              <w:rPr>
                <w:rFonts w:hint="eastAsia" w:eastAsia="仿宋"/>
                <w:lang w:eastAsia="zh-CN"/>
              </w:rPr>
              <w:drawing>
                <wp:inline distT="0" distB="0" distL="114300" distR="114300">
                  <wp:extent cx="5179060" cy="3286125"/>
                  <wp:effectExtent l="0" t="0" r="0" b="0"/>
                  <wp:docPr id="26" name="ECB019B1-382A-4266-B25C-5B523AA43C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B019B1-382A-4266-B25C-5B523AA43C14-5"/>
                          <pic:cNvPicPr>
                            <a:picLocks noChangeAspect="1"/>
                          </pic:cNvPicPr>
                        </pic:nvPicPr>
                        <pic:blipFill>
                          <a:blip r:embed="rId26"/>
                          <a:stretch>
                            <a:fillRect/>
                          </a:stretch>
                        </pic:blipFill>
                        <pic:spPr>
                          <a:xfrm>
                            <a:off x="0" y="0"/>
                            <a:ext cx="5198856" cy="3298517"/>
                          </a:xfrm>
                          <a:prstGeom prst="rect">
                            <a:avLst/>
                          </a:prstGeom>
                        </pic:spPr>
                      </pic:pic>
                    </a:graphicData>
                  </a:graphic>
                </wp:inline>
              </w:drawing>
            </w:r>
          </w:p>
          <w:p w14:paraId="4F4EA981">
            <w:pPr>
              <w:pStyle w:val="36"/>
              <w:spacing w:line="240" w:lineRule="auto"/>
              <w:ind w:firstLine="0" w:firstLineChars="0"/>
              <w:jc w:val="center"/>
              <w:rPr>
                <w:b/>
                <w:bCs/>
                <w:spacing w:val="0"/>
                <w:sz w:val="21"/>
                <w:szCs w:val="21"/>
                <w:lang w:eastAsia="zh-CN"/>
              </w:rPr>
            </w:pPr>
            <w:r>
              <w:rPr>
                <w:b/>
                <w:bCs/>
                <w:spacing w:val="0"/>
                <w:sz w:val="21"/>
                <w:szCs w:val="21"/>
                <w:lang w:eastAsia="zh-CN"/>
              </w:rPr>
              <w:t>图</w:t>
            </w:r>
            <w:r>
              <w:rPr>
                <w:rFonts w:hint="eastAsia"/>
                <w:b/>
                <w:bCs/>
                <w:spacing w:val="0"/>
                <w:sz w:val="21"/>
                <w:szCs w:val="21"/>
                <w:lang w:eastAsia="zh-CN"/>
              </w:rPr>
              <w:t>4</w:t>
            </w:r>
            <w:r>
              <w:rPr>
                <w:b/>
                <w:bCs/>
                <w:spacing w:val="0"/>
                <w:sz w:val="21"/>
                <w:szCs w:val="21"/>
                <w:lang w:eastAsia="zh-CN"/>
              </w:rPr>
              <w:t>-</w:t>
            </w:r>
            <w:r>
              <w:rPr>
                <w:rFonts w:hint="eastAsia"/>
                <w:b/>
                <w:bCs/>
                <w:spacing w:val="0"/>
                <w:sz w:val="21"/>
                <w:szCs w:val="21"/>
                <w:lang w:eastAsia="zh-CN"/>
              </w:rPr>
              <w:t>2</w:t>
            </w:r>
            <w:r>
              <w:rPr>
                <w:b/>
                <w:bCs/>
                <w:spacing w:val="0"/>
                <w:sz w:val="21"/>
                <w:szCs w:val="21"/>
                <w:lang w:eastAsia="zh-CN"/>
              </w:rPr>
              <w:t xml:space="preserve"> </w:t>
            </w:r>
            <w:r>
              <w:rPr>
                <w:rFonts w:hint="eastAsia"/>
                <w:b/>
                <w:bCs/>
                <w:spacing w:val="0"/>
                <w:sz w:val="21"/>
                <w:szCs w:val="21"/>
                <w:lang w:eastAsia="zh-CN"/>
              </w:rPr>
              <w:t>羊街镇污水处理站工艺流程图</w:t>
            </w:r>
          </w:p>
          <w:p w14:paraId="0F02A950">
            <w:pPr>
              <w:pStyle w:val="36"/>
              <w:spacing w:line="240" w:lineRule="auto"/>
              <w:ind w:firstLine="0" w:firstLineChars="0"/>
              <w:rPr>
                <w:color w:val="000000" w:themeColor="text1"/>
                <w:spacing w:val="0"/>
                <w:lang w:eastAsia="zh-CN"/>
                <w14:textFill>
                  <w14:solidFill>
                    <w14:schemeClr w14:val="tx1"/>
                  </w14:solidFill>
                </w14:textFill>
              </w:rPr>
            </w:pPr>
          </w:p>
          <w:p w14:paraId="74260DE5">
            <w:pPr>
              <w:pStyle w:val="36"/>
              <w:ind w:firstLine="480"/>
              <w:rPr>
                <w:rFonts w:cs="Times New Roman"/>
                <w:spacing w:val="0"/>
                <w:lang w:eastAsia="zh-CN"/>
              </w:rPr>
            </w:pPr>
            <w:r>
              <w:rPr>
                <w:rFonts w:hint="eastAsia"/>
                <w:spacing w:val="0"/>
                <w:lang w:eastAsia="zh-CN"/>
              </w:rPr>
              <w:t>目前，羊街镇污水处理站运行稳定，实际污水处理量约800m</w:t>
            </w:r>
            <w:r>
              <w:rPr>
                <w:rFonts w:hint="eastAsia"/>
                <w:spacing w:val="0"/>
                <w:vertAlign w:val="superscript"/>
                <w:lang w:eastAsia="zh-CN"/>
              </w:rPr>
              <w:t>3</w:t>
            </w:r>
            <w:r>
              <w:rPr>
                <w:rFonts w:hint="eastAsia"/>
                <w:spacing w:val="0"/>
                <w:lang w:eastAsia="zh-CN"/>
              </w:rPr>
              <w:t>/d。项目生活污水量约</w:t>
            </w:r>
            <w:r>
              <w:rPr>
                <w:rFonts w:cs="Times New Roman"/>
                <w:spacing w:val="0"/>
                <w:lang w:eastAsia="zh-CN"/>
              </w:rPr>
              <w:t>55.09m</w:t>
            </w:r>
            <w:r>
              <w:rPr>
                <w:rFonts w:hint="eastAsia" w:cs="Times New Roman"/>
                <w:spacing w:val="0"/>
                <w:vertAlign w:val="superscript"/>
                <w:lang w:eastAsia="zh-CN"/>
              </w:rPr>
              <w:t>3</w:t>
            </w:r>
            <w:r>
              <w:rPr>
                <w:rFonts w:cs="Times New Roman"/>
                <w:spacing w:val="0"/>
                <w:lang w:eastAsia="zh-CN"/>
              </w:rPr>
              <w:t>/d</w:t>
            </w:r>
            <w:r>
              <w:rPr>
                <w:rFonts w:hint="eastAsia" w:cs="Times New Roman"/>
                <w:spacing w:val="0"/>
                <w:lang w:eastAsia="zh-CN"/>
              </w:rPr>
              <w:t>，经隔油池、化粪池处理达</w:t>
            </w:r>
            <w:r>
              <w:rPr>
                <w:rFonts w:hint="eastAsia"/>
                <w:spacing w:val="0"/>
                <w:kern w:val="0"/>
                <w:lang w:eastAsia="zh-CN" w:bidi="ar"/>
              </w:rPr>
              <w:t>《污水排入城镇下水道水质标准》（GB/T 31962-2015）表1 B级标准</w:t>
            </w:r>
            <w:r>
              <w:rPr>
                <w:rFonts w:hint="eastAsia"/>
                <w:spacing w:val="0"/>
                <w:lang w:eastAsia="zh-CN"/>
              </w:rPr>
              <w:t>后</w:t>
            </w:r>
            <w:r>
              <w:rPr>
                <w:rFonts w:hint="eastAsia" w:cs="Times New Roman"/>
                <w:spacing w:val="0"/>
                <w:lang w:eastAsia="zh-CN"/>
              </w:rPr>
              <w:t>接入市政污水管网，最终进入羊街镇污水处理站处理。全厂生活污水量占羊街镇污水处理站剩余处理能力700</w:t>
            </w:r>
            <w:r>
              <w:rPr>
                <w:rFonts w:hint="eastAsia"/>
                <w:spacing w:val="0"/>
                <w:lang w:eastAsia="zh-CN"/>
              </w:rPr>
              <w:t>m</w:t>
            </w:r>
            <w:r>
              <w:rPr>
                <w:rFonts w:hint="eastAsia"/>
                <w:spacing w:val="0"/>
                <w:vertAlign w:val="superscript"/>
                <w:lang w:eastAsia="zh-CN"/>
              </w:rPr>
              <w:t>3</w:t>
            </w:r>
            <w:r>
              <w:rPr>
                <w:rFonts w:hint="eastAsia"/>
                <w:spacing w:val="0"/>
                <w:lang w:eastAsia="zh-CN"/>
              </w:rPr>
              <w:t>/d</w:t>
            </w:r>
            <w:r>
              <w:rPr>
                <w:rFonts w:hint="eastAsia" w:cs="Times New Roman"/>
                <w:spacing w:val="0"/>
                <w:lang w:eastAsia="zh-CN"/>
              </w:rPr>
              <w:t>的7.8%，所接纳的生活污水不会对羊街镇污水处理站造成冲击。</w:t>
            </w:r>
          </w:p>
          <w:p w14:paraId="65D7A785">
            <w:pPr>
              <w:pStyle w:val="36"/>
              <w:ind w:firstLine="480"/>
              <w:rPr>
                <w:spacing w:val="0"/>
                <w:lang w:eastAsia="zh-CN"/>
              </w:rPr>
            </w:pPr>
            <w:r>
              <w:rPr>
                <w:rFonts w:hint="eastAsia"/>
                <w:spacing w:val="0"/>
                <w:lang w:eastAsia="zh-CN"/>
              </w:rPr>
              <w:t>2026年1月，羊街镇人民政府对项目全厂生活污水纳入集镇污水处理系统意见进行复函，“同意将云南海潮集团听牧肉牛产业股份有限公司厂区每日产生的60立方生活污水纳入羊街镇集镇生活污水处理系统统一处理，请贵公司按要求完成雨污分流设施优化，确保生活污水规范接入。”目前，羊街镇污水处理站污水管网已覆盖至项目厂区外，全厂生活污水可得到接纳。</w:t>
            </w:r>
          </w:p>
          <w:p w14:paraId="768330CE">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综上分析，项目生活污水依托羊街镇污水处理站处理是可行的。</w:t>
            </w:r>
          </w:p>
          <w:p w14:paraId="72EFEDFE">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（5）中水回用可行性分析</w:t>
            </w:r>
          </w:p>
          <w:p w14:paraId="2DFB5698">
            <w:pPr>
              <w:pStyle w:val="36"/>
              <w:ind w:firstLine="480"/>
              <w:rPr>
                <w:rFonts w:cs="Times New Roman"/>
                <w:spacing w:val="0"/>
                <w:lang w:eastAsia="zh-CN"/>
              </w:rPr>
            </w:pPr>
            <w:r>
              <w:rPr>
                <w:rFonts w:hint="eastAsia"/>
                <w:color w:val="000000" w:themeColor="text1"/>
                <w:spacing w:val="0"/>
                <w:lang w:eastAsia="zh-CN"/>
                <w14:textFill>
                  <w14:solidFill>
                    <w14:schemeClr w14:val="tx1"/>
                  </w14:solidFill>
                </w14:textFill>
              </w:rPr>
              <w:t>根据</w:t>
            </w:r>
            <w:r>
              <w:rPr>
                <w:rFonts w:cs="Times New Roman"/>
                <w:color w:val="000000" w:themeColor="text1"/>
                <w:spacing w:val="0"/>
                <w:lang w:eastAsia="zh-CN"/>
                <w14:textFill>
                  <w14:solidFill>
                    <w14:schemeClr w14:val="tx1"/>
                  </w14:solidFill>
                </w14:textFill>
              </w:rPr>
              <w:t>工程分析（详见第二章 水平衡）</w:t>
            </w:r>
            <w:r>
              <w:rPr>
                <w:rFonts w:hint="eastAsia" w:cs="Times New Roman"/>
                <w:color w:val="000000" w:themeColor="text1"/>
                <w:spacing w:val="0"/>
                <w:lang w:eastAsia="zh-CN"/>
                <w14:textFill>
                  <w14:solidFill>
                    <w14:schemeClr w14:val="tx1"/>
                  </w14:solidFill>
                </w14:textFill>
              </w:rPr>
              <w:t>，</w:t>
            </w:r>
            <w:r>
              <w:rPr>
                <w:rFonts w:hint="eastAsia" w:cs="Times New Roman"/>
                <w:spacing w:val="0"/>
                <w:lang w:eastAsia="zh-CN"/>
              </w:rPr>
              <w:t>全厂</w:t>
            </w:r>
            <w:r>
              <w:rPr>
                <w:rFonts w:cs="Times New Roman"/>
                <w:spacing w:val="0"/>
                <w:lang w:eastAsia="zh-CN"/>
              </w:rPr>
              <w:t>绿化、洒水降尘</w:t>
            </w:r>
            <w:r>
              <w:rPr>
                <w:rFonts w:hint="eastAsia" w:cs="Times New Roman"/>
                <w:spacing w:val="0"/>
                <w:lang w:eastAsia="zh-CN"/>
              </w:rPr>
              <w:t>用水量</w:t>
            </w:r>
            <w:r>
              <w:rPr>
                <w:rFonts w:hint="eastAsia"/>
                <w:spacing w:val="0"/>
                <w:lang w:eastAsia="zh-CN"/>
              </w:rPr>
              <w:t>约339.6</w:t>
            </w:r>
            <w:r>
              <w:rPr>
                <w:color w:val="000000" w:themeColor="text1"/>
                <w:spacing w:val="0"/>
                <w:lang w:eastAsia="zh-CN"/>
                <w14:textFill>
                  <w14:solidFill>
                    <w14:schemeClr w14:val="tx1"/>
                  </w14:solidFill>
                </w14:textFill>
              </w:rPr>
              <w:t>m</w:t>
            </w:r>
            <w:r>
              <w:rPr>
                <w:color w:val="000000" w:themeColor="text1"/>
                <w:spacing w:val="0"/>
                <w:vertAlign w:val="superscript"/>
                <w:lang w:eastAsia="zh-CN"/>
                <w14:textFill>
                  <w14:solidFill>
                    <w14:schemeClr w14:val="tx1"/>
                  </w14:solidFill>
                </w14:textFill>
              </w:rPr>
              <w:t>3</w:t>
            </w:r>
            <w:r>
              <w:rPr>
                <w:color w:val="000000" w:themeColor="text1"/>
                <w:spacing w:val="0"/>
                <w:lang w:eastAsia="zh-CN"/>
                <w14:textFill>
                  <w14:solidFill>
                    <w14:schemeClr w14:val="tx1"/>
                  </w14:solidFill>
                </w14:textFill>
              </w:rPr>
              <w:t>/d</w:t>
            </w:r>
            <w:r>
              <w:rPr>
                <w:rFonts w:hint="eastAsia"/>
                <w:spacing w:val="0"/>
                <w:lang w:eastAsia="zh-CN"/>
              </w:rPr>
              <w:t>。项目达产后，全厂生产废水量约</w:t>
            </w:r>
            <w:r>
              <w:rPr>
                <w:color w:val="000000" w:themeColor="text1"/>
                <w:spacing w:val="0"/>
                <w:lang w:eastAsia="zh-CN"/>
                <w14:textFill>
                  <w14:solidFill>
                    <w14:schemeClr w14:val="tx1"/>
                  </w14:solidFill>
                </w14:textFill>
              </w:rPr>
              <w:t>126.8</w:t>
            </w:r>
            <w:r>
              <w:rPr>
                <w:rFonts w:hint="eastAsia"/>
                <w:color w:val="000000" w:themeColor="text1"/>
                <w:spacing w:val="0"/>
                <w:lang w:eastAsia="zh-CN"/>
                <w14:textFill>
                  <w14:solidFill>
                    <w14:schemeClr w14:val="tx1"/>
                  </w14:solidFill>
                </w14:textFill>
              </w:rPr>
              <w:t>6</w:t>
            </w:r>
            <w:r>
              <w:rPr>
                <w:color w:val="000000" w:themeColor="text1"/>
                <w:spacing w:val="0"/>
                <w:lang w:eastAsia="zh-CN"/>
                <w14:textFill>
                  <w14:solidFill>
                    <w14:schemeClr w14:val="tx1"/>
                  </w14:solidFill>
                </w14:textFill>
              </w:rPr>
              <w:t>m</w:t>
            </w:r>
            <w:r>
              <w:rPr>
                <w:color w:val="000000" w:themeColor="text1"/>
                <w:spacing w:val="0"/>
                <w:vertAlign w:val="superscript"/>
                <w:lang w:eastAsia="zh-CN"/>
                <w14:textFill>
                  <w14:solidFill>
                    <w14:schemeClr w14:val="tx1"/>
                  </w14:solidFill>
                </w14:textFill>
              </w:rPr>
              <w:t>3</w:t>
            </w:r>
            <w:r>
              <w:rPr>
                <w:color w:val="000000" w:themeColor="text1"/>
                <w:spacing w:val="0"/>
                <w:lang w:eastAsia="zh-CN"/>
                <w14:textFill>
                  <w14:solidFill>
                    <w14:schemeClr w14:val="tx1"/>
                  </w14:solidFill>
                </w14:textFill>
              </w:rPr>
              <w:t>/d</w:t>
            </w:r>
            <w:r>
              <w:rPr>
                <w:rFonts w:hint="eastAsia"/>
                <w:color w:val="000000" w:themeColor="text1"/>
                <w:spacing w:val="0"/>
                <w:lang w:eastAsia="zh-CN"/>
                <w14:textFill>
                  <w14:solidFill>
                    <w14:schemeClr w14:val="tx1"/>
                  </w14:solidFill>
                </w14:textFill>
              </w:rPr>
              <w:t>，正常情况下可</w:t>
            </w:r>
            <w:r>
              <w:rPr>
                <w:rFonts w:hint="eastAsia"/>
                <w:spacing w:val="0"/>
                <w:lang w:eastAsia="zh-CN"/>
              </w:rPr>
              <w:t>完全消纳用于厂区绿化、洒水降尘，不外排。雨天情况下，</w:t>
            </w:r>
            <w:r>
              <w:rPr>
                <w:rFonts w:hint="eastAsia" w:cs="Times New Roman"/>
                <w:spacing w:val="0"/>
                <w:lang w:eastAsia="zh-CN"/>
              </w:rPr>
              <w:t>厂区现有4700</w:t>
            </w:r>
            <w:r>
              <w:rPr>
                <w:rFonts w:cs="Times New Roman"/>
                <w:spacing w:val="0"/>
                <w:kern w:val="0"/>
                <w:szCs w:val="21"/>
                <w:lang w:eastAsia="zh-CN" w:bidi="ar"/>
              </w:rPr>
              <w:t>m</w:t>
            </w:r>
            <w:r>
              <w:rPr>
                <w:rFonts w:cs="Times New Roman"/>
                <w:spacing w:val="0"/>
                <w:kern w:val="0"/>
                <w:szCs w:val="21"/>
                <w:vertAlign w:val="superscript"/>
                <w:lang w:eastAsia="zh-CN" w:bidi="ar"/>
              </w:rPr>
              <w:t>3</w:t>
            </w:r>
            <w:r>
              <w:rPr>
                <w:rFonts w:hint="eastAsia" w:cs="Times New Roman"/>
                <w:spacing w:val="0"/>
                <w:lang w:eastAsia="zh-CN"/>
              </w:rPr>
              <w:t>蓄水池可暂存37d连续雨天生产废水量，雨天间隔则有约212.7</w:t>
            </w:r>
            <w:r>
              <w:rPr>
                <w:rFonts w:cs="Times New Roman"/>
                <w:spacing w:val="0"/>
                <w:kern w:val="0"/>
                <w:szCs w:val="21"/>
                <w:lang w:eastAsia="zh-CN" w:bidi="ar"/>
              </w:rPr>
              <w:t>m</w:t>
            </w:r>
            <w:r>
              <w:rPr>
                <w:rFonts w:cs="Times New Roman"/>
                <w:spacing w:val="0"/>
                <w:kern w:val="0"/>
                <w:szCs w:val="21"/>
                <w:vertAlign w:val="superscript"/>
                <w:lang w:eastAsia="zh-CN" w:bidi="ar"/>
              </w:rPr>
              <w:t>3</w:t>
            </w:r>
            <w:r>
              <w:rPr>
                <w:rFonts w:cs="Times New Roman"/>
                <w:spacing w:val="0"/>
                <w:lang w:eastAsia="zh-CN"/>
              </w:rPr>
              <w:t>/</w:t>
            </w:r>
            <w:r>
              <w:rPr>
                <w:rFonts w:hint="eastAsia" w:cs="Times New Roman"/>
                <w:spacing w:val="0"/>
                <w:lang w:eastAsia="zh-CN"/>
              </w:rPr>
              <w:t>d的绿化、洒水降尘用水缺口，可利用蓄水池暂存的处理后生产废水进行补充。</w:t>
            </w:r>
          </w:p>
          <w:p w14:paraId="550574FC">
            <w:pPr>
              <w:pStyle w:val="36"/>
              <w:ind w:firstLine="480"/>
              <w:rPr>
                <w:rFonts w:cs="Times New Roman" w:eastAsiaTheme="minorEastAsia"/>
                <w:spacing w:val="0"/>
                <w:lang w:eastAsia="zh-CN"/>
              </w:rPr>
            </w:pPr>
            <w:r>
              <w:rPr>
                <w:rFonts w:cs="Times New Roman"/>
                <w:spacing w:val="0"/>
                <w:lang w:eastAsia="zh-CN"/>
              </w:rPr>
              <w:t>另一方面，本次环评是按项目达产规模核算生产废水量。结合实际情况，</w:t>
            </w:r>
            <w:r>
              <w:rPr>
                <w:rFonts w:cs="Times New Roman" w:eastAsiaTheme="minorEastAsia"/>
                <w:spacing w:val="0"/>
                <w:lang w:eastAsia="zh-CN"/>
              </w:rPr>
              <w:t>目前肉牛屠宰量仅有达产规模30000头/年的50%，项目扩建后，全厂实际生产废水量远小于环评预测</w:t>
            </w:r>
            <w:r>
              <w:rPr>
                <w:rFonts w:hint="eastAsia" w:cs="Times New Roman" w:eastAsiaTheme="minorEastAsia"/>
                <w:spacing w:val="0"/>
                <w:lang w:eastAsia="zh-CN"/>
              </w:rPr>
              <w:t>的</w:t>
            </w:r>
            <w:r>
              <w:rPr>
                <w:rFonts w:cs="Times New Roman" w:eastAsiaTheme="minorEastAsia"/>
                <w:spacing w:val="0"/>
                <w:lang w:eastAsia="zh-CN"/>
              </w:rPr>
              <w:t>产生量</w:t>
            </w:r>
            <w:r>
              <w:rPr>
                <w:rFonts w:cs="Times New Roman" w:eastAsiaTheme="minorEastAsia"/>
                <w:color w:val="000000" w:themeColor="text1"/>
                <w:spacing w:val="0"/>
                <w:lang w:eastAsia="zh-CN"/>
                <w14:textFill>
                  <w14:solidFill>
                    <w14:schemeClr w14:val="tx1"/>
                  </w14:solidFill>
                </w14:textFill>
              </w:rPr>
              <w:t>126.86m</w:t>
            </w:r>
            <w:r>
              <w:rPr>
                <w:rFonts w:cs="Times New Roman" w:eastAsiaTheme="minorEastAsia"/>
                <w:color w:val="000000" w:themeColor="text1"/>
                <w:spacing w:val="0"/>
                <w:vertAlign w:val="superscript"/>
                <w:lang w:eastAsia="zh-CN"/>
                <w14:textFill>
                  <w14:solidFill>
                    <w14:schemeClr w14:val="tx1"/>
                  </w14:solidFill>
                </w14:textFill>
              </w:rPr>
              <w:t>3</w:t>
            </w:r>
            <w:r>
              <w:rPr>
                <w:rFonts w:cs="Times New Roman" w:eastAsiaTheme="minorEastAsia"/>
                <w:color w:val="000000" w:themeColor="text1"/>
                <w:spacing w:val="0"/>
                <w:lang w:eastAsia="zh-CN"/>
                <w14:textFill>
                  <w14:solidFill>
                    <w14:schemeClr w14:val="tx1"/>
                  </w14:solidFill>
                </w14:textFill>
              </w:rPr>
              <w:t>/d</w:t>
            </w:r>
            <w:r>
              <w:rPr>
                <w:rFonts w:cs="Times New Roman" w:eastAsiaTheme="minorEastAsia"/>
                <w:spacing w:val="0"/>
                <w:lang w:eastAsia="zh-CN"/>
              </w:rPr>
              <w:t>。</w:t>
            </w:r>
          </w:p>
          <w:p w14:paraId="49D653A1">
            <w:pPr>
              <w:pStyle w:val="36"/>
              <w:ind w:firstLine="480"/>
              <w:rPr>
                <w:rFonts w:cs="Times New Roman"/>
                <w:color w:val="000000" w:themeColor="text1"/>
                <w:spacing w:val="0"/>
                <w:lang w:eastAsia="zh-CN"/>
                <w14:textFill>
                  <w14:solidFill>
                    <w14:schemeClr w14:val="tx1"/>
                  </w14:solidFill>
                </w14:textFill>
              </w:rPr>
            </w:pPr>
            <w:r>
              <w:rPr>
                <w:rFonts w:cs="Times New Roman"/>
                <w:color w:val="000000" w:themeColor="text1"/>
                <w:spacing w:val="0"/>
                <w:lang w:eastAsia="zh-CN"/>
                <w14:textFill>
                  <w14:solidFill>
                    <w14:schemeClr w14:val="tx1"/>
                  </w14:solidFill>
                </w14:textFill>
              </w:rPr>
              <w:t>综上分析，</w:t>
            </w:r>
            <w:r>
              <w:rPr>
                <w:rFonts w:hint="eastAsia" w:cs="Times New Roman"/>
                <w:color w:val="000000" w:themeColor="text1"/>
                <w:spacing w:val="0"/>
                <w:lang w:eastAsia="zh-CN"/>
                <w14:textFill>
                  <w14:solidFill>
                    <w14:schemeClr w14:val="tx1"/>
                  </w14:solidFill>
                </w14:textFill>
              </w:rPr>
              <w:t>厂区现有生产废水处理站</w:t>
            </w:r>
            <w:r>
              <w:rPr>
                <w:rFonts w:cs="Times New Roman"/>
                <w:color w:val="000000" w:themeColor="text1"/>
                <w:spacing w:val="0"/>
                <w:lang w:eastAsia="zh-CN"/>
                <w14:textFill>
                  <w14:solidFill>
                    <w14:schemeClr w14:val="tx1"/>
                  </w14:solidFill>
                </w14:textFill>
              </w:rPr>
              <w:t>处理达标后生产废水可作为中水回用于厂区绿化、洒水降尘，不外排。</w:t>
            </w:r>
          </w:p>
          <w:p w14:paraId="3E5314E4">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（6）初期雨水处置和非正常排放影响分析</w:t>
            </w:r>
          </w:p>
          <w:p w14:paraId="14553AA9">
            <w:pPr>
              <w:pStyle w:val="36"/>
              <w:ind w:firstLine="480"/>
              <w:rPr>
                <w:spacing w:val="0"/>
                <w:lang w:eastAsia="zh-CN"/>
              </w:rPr>
            </w:pPr>
            <w:r>
              <w:rPr>
                <w:rFonts w:hint="eastAsia"/>
                <w:spacing w:val="0"/>
                <w:lang w:eastAsia="zh-CN"/>
              </w:rPr>
              <w:t>项目初期雨水收集暂存于30m</w:t>
            </w:r>
            <w:r>
              <w:rPr>
                <w:rFonts w:hint="eastAsia"/>
                <w:spacing w:val="0"/>
                <w:vertAlign w:val="superscript"/>
                <w:lang w:eastAsia="zh-CN"/>
              </w:rPr>
              <w:t>3</w:t>
            </w:r>
            <w:r>
              <w:rPr>
                <w:rFonts w:hint="eastAsia"/>
                <w:spacing w:val="0"/>
                <w:lang w:eastAsia="zh-CN"/>
              </w:rPr>
              <w:t>的地埋式雨水收集池，后经厂区现有生产废水处理站处理达《城市污水再生利用 城市杂用水水质》（GB/T 18920-2020）表1“城市绿化、道路清扫”标准后用于厂区绿化、洒水降尘，不外排。</w:t>
            </w:r>
          </w:p>
          <w:p w14:paraId="70317CBB">
            <w:pPr>
              <w:pStyle w:val="36"/>
              <w:ind w:firstLine="480"/>
              <w:rPr>
                <w:spacing w:val="0"/>
                <w:lang w:eastAsia="zh-CN"/>
              </w:rPr>
            </w:pPr>
            <w:r>
              <w:rPr>
                <w:spacing w:val="0"/>
                <w:lang w:eastAsia="zh-CN"/>
              </w:rPr>
              <w:t>项目</w:t>
            </w:r>
            <w:r>
              <w:rPr>
                <w:rFonts w:hint="eastAsia"/>
                <w:spacing w:val="0"/>
                <w:lang w:eastAsia="zh-CN"/>
              </w:rPr>
              <w:t>废水</w:t>
            </w:r>
            <w:r>
              <w:rPr>
                <w:spacing w:val="0"/>
                <w:lang w:eastAsia="zh-CN"/>
              </w:rPr>
              <w:t>非正常排放</w:t>
            </w:r>
            <w:r>
              <w:rPr>
                <w:rFonts w:hint="eastAsia"/>
                <w:spacing w:val="0"/>
                <w:lang w:eastAsia="zh-CN"/>
              </w:rPr>
              <w:t>情况为：厂区生产废水</w:t>
            </w:r>
            <w:r>
              <w:rPr>
                <w:spacing w:val="0"/>
                <w:lang w:eastAsia="zh-CN"/>
              </w:rPr>
              <w:t>处理</w:t>
            </w:r>
            <w:r>
              <w:rPr>
                <w:rFonts w:hint="eastAsia"/>
                <w:spacing w:val="0"/>
                <w:lang w:eastAsia="zh-CN"/>
              </w:rPr>
              <w:t>站检修或出现故障，生产废水未经处理或处理效果不能满足中水回用要求。</w:t>
            </w:r>
          </w:p>
          <w:p w14:paraId="24B811FB">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厂区生产废水处理站配套建有800m</w:t>
            </w:r>
            <w:r>
              <w:rPr>
                <w:rFonts w:hint="eastAsia"/>
                <w:color w:val="000000" w:themeColor="text1"/>
                <w:spacing w:val="0"/>
                <w:vertAlign w:val="super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的事故应急池，按项目达产生产废水量</w:t>
            </w:r>
            <w:r>
              <w:rPr>
                <w:rFonts w:cs="Times New Roman" w:eastAsiaTheme="minorEastAsia"/>
                <w:color w:val="000000" w:themeColor="text1"/>
                <w:spacing w:val="0"/>
                <w:lang w:eastAsia="zh-CN"/>
                <w14:textFill>
                  <w14:solidFill>
                    <w14:schemeClr w14:val="tx1"/>
                  </w14:solidFill>
                </w14:textFill>
              </w:rPr>
              <w:t>126.86m</w:t>
            </w:r>
            <w:r>
              <w:rPr>
                <w:rFonts w:cs="Times New Roman" w:eastAsiaTheme="minorEastAsia"/>
                <w:color w:val="000000" w:themeColor="text1"/>
                <w:spacing w:val="0"/>
                <w:vertAlign w:val="superscript"/>
                <w:lang w:eastAsia="zh-CN"/>
                <w14:textFill>
                  <w14:solidFill>
                    <w14:schemeClr w14:val="tx1"/>
                  </w14:solidFill>
                </w14:textFill>
              </w:rPr>
              <w:t>3</w:t>
            </w:r>
            <w:r>
              <w:rPr>
                <w:rFonts w:cs="Times New Roman" w:eastAsiaTheme="minorEastAsia"/>
                <w:color w:val="000000" w:themeColor="text1"/>
                <w:spacing w:val="0"/>
                <w:lang w:eastAsia="zh-CN"/>
                <w14:textFill>
                  <w14:solidFill>
                    <w14:schemeClr w14:val="tx1"/>
                  </w14:solidFill>
                </w14:textFill>
              </w:rPr>
              <w:t>/d</w:t>
            </w:r>
            <w:r>
              <w:rPr>
                <w:rFonts w:hint="eastAsia"/>
                <w:color w:val="000000" w:themeColor="text1"/>
                <w:spacing w:val="0"/>
                <w:lang w:eastAsia="zh-CN"/>
                <w14:textFill>
                  <w14:solidFill>
                    <w14:schemeClr w14:val="tx1"/>
                  </w14:solidFill>
                </w14:textFill>
              </w:rPr>
              <w:t>计，则事故应急池可暂存6d的生产废水量。待废水处理站检修完成或故障排除后，事故应急池暂存生产废水可泵回废水处理站处理达标后</w:t>
            </w:r>
            <w:r>
              <w:rPr>
                <w:rFonts w:hint="eastAsia"/>
                <w:spacing w:val="0"/>
                <w:lang w:eastAsia="zh-CN"/>
              </w:rPr>
              <w:t>用于厂区绿化、洒水降尘，不外排。</w:t>
            </w:r>
          </w:p>
          <w:p w14:paraId="30218A76">
            <w:pPr>
              <w:pStyle w:val="36"/>
              <w:ind w:firstLine="480"/>
              <w:rPr>
                <w:color w:val="000000" w:themeColor="text1"/>
                <w:spacing w:val="0"/>
                <w:lang w:eastAsia="zh-CN"/>
                <w14:textFill>
                  <w14:solidFill>
                    <w14:schemeClr w14:val="tx1"/>
                  </w14:solidFill>
                </w14:textFill>
              </w:rPr>
            </w:pPr>
            <w:r>
              <w:rPr>
                <w:rFonts w:hint="eastAsia"/>
                <w:spacing w:val="0"/>
                <w:lang w:eastAsia="zh-CN"/>
              </w:rPr>
              <w:t>为最大限度降低废水非正常排放情况的发生，提出下列措施：</w:t>
            </w:r>
          </w:p>
          <w:p w14:paraId="2660035D">
            <w:pPr>
              <w:pStyle w:val="36"/>
              <w:ind w:firstLine="480"/>
              <w:rPr>
                <w:spacing w:val="0"/>
                <w:kern w:val="0"/>
                <w:szCs w:val="21"/>
                <w:lang w:eastAsia="zh-CN" w:bidi="ar"/>
              </w:rPr>
            </w:pPr>
            <w:r>
              <w:rPr>
                <w:rFonts w:hint="eastAsia"/>
                <w:spacing w:val="0"/>
                <w:lang w:eastAsia="zh-CN"/>
              </w:rPr>
              <w:t>1）</w:t>
            </w:r>
            <w:r>
              <w:rPr>
                <w:rFonts w:hint="eastAsia"/>
                <w:spacing w:val="0"/>
                <w:kern w:val="0"/>
                <w:szCs w:val="21"/>
                <w:lang w:eastAsia="zh-CN" w:bidi="ar"/>
              </w:rPr>
              <w:t>加强厂区生产废水处理站，雨水收集池、事故应急池的巡检、管护，保障生产废水处理站各项设备、处理单元稳定正常运行，处理后出水满足中水回用要求，雨水收集池、事故应急池容积满足初期雨水、生产废水暂存要求。</w:t>
            </w:r>
          </w:p>
          <w:p w14:paraId="4F7E9930">
            <w:pPr>
              <w:pStyle w:val="36"/>
              <w:ind w:firstLine="480"/>
              <w:rPr>
                <w:spacing w:val="0"/>
                <w:lang w:eastAsia="zh-CN"/>
              </w:rPr>
            </w:pPr>
            <w:r>
              <w:rPr>
                <w:rFonts w:hint="eastAsia"/>
                <w:spacing w:val="0"/>
                <w:lang w:eastAsia="zh-CN"/>
              </w:rPr>
              <w:t>2）加强职工和生产废水处理站人员的环保宣传教育和机械、设备操作等岗位</w:t>
            </w:r>
            <w:r>
              <w:rPr>
                <w:spacing w:val="0"/>
                <w:lang w:eastAsia="zh-CN"/>
              </w:rPr>
              <w:t>培训，</w:t>
            </w:r>
            <w:r>
              <w:rPr>
                <w:rFonts w:hint="eastAsia"/>
                <w:spacing w:val="0"/>
                <w:lang w:eastAsia="zh-CN"/>
              </w:rPr>
              <w:t>确保废水处理站机械、设备等合规操作。</w:t>
            </w:r>
          </w:p>
          <w:p w14:paraId="44968095">
            <w:pPr>
              <w:pStyle w:val="36"/>
              <w:ind w:firstLine="480"/>
              <w:rPr>
                <w:spacing w:val="0"/>
                <w:lang w:eastAsia="zh-CN"/>
              </w:rPr>
            </w:pPr>
            <w:r>
              <w:rPr>
                <w:rFonts w:hint="eastAsia"/>
                <w:color w:val="000000" w:themeColor="text1"/>
                <w:spacing w:val="0"/>
                <w:lang w:eastAsia="zh-CN"/>
                <w14:textFill>
                  <w14:solidFill>
                    <w14:schemeClr w14:val="tx1"/>
                  </w14:solidFill>
                </w14:textFill>
              </w:rPr>
              <w:t>3）</w:t>
            </w:r>
            <w:r>
              <w:rPr>
                <w:rFonts w:hint="eastAsia"/>
                <w:spacing w:val="0"/>
                <w:kern w:val="0"/>
                <w:szCs w:val="21"/>
                <w:lang w:eastAsia="zh-CN" w:bidi="ar"/>
              </w:rPr>
              <w:t>若遇极端天气或不可预见情况，厂区蓄水池、生产废水处理站事故应急池已满，且处理后生产废水不能自行消纳，应立即启动突发环境事件应急预案，暂停生产</w:t>
            </w:r>
            <w:r>
              <w:rPr>
                <w:rFonts w:hint="eastAsia"/>
                <w:spacing w:val="0"/>
                <w:lang w:eastAsia="zh-CN"/>
              </w:rPr>
              <w:t>。</w:t>
            </w:r>
          </w:p>
          <w:p w14:paraId="5CCFA905">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（7）小结</w:t>
            </w:r>
          </w:p>
          <w:p w14:paraId="25941D4E">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项目采取的废污水治理措施技术和环境可行，经济合理。在加强环境管理，做好废污水治理设（措）施运维、管护，确保废污水处理达标后综合利用或接管处理，降低</w:t>
            </w:r>
            <w:r>
              <w:rPr>
                <w:rFonts w:hint="eastAsia"/>
                <w:spacing w:val="0"/>
                <w:lang w:eastAsia="zh-CN"/>
              </w:rPr>
              <w:t>废水非正常排放发生概率情况下</w:t>
            </w:r>
            <w:r>
              <w:rPr>
                <w:rFonts w:hint="eastAsia"/>
                <w:color w:val="000000" w:themeColor="text1"/>
                <w:spacing w:val="0"/>
                <w:lang w:eastAsia="zh-CN"/>
                <w14:textFill>
                  <w14:solidFill>
                    <w14:schemeClr w14:val="tx1"/>
                  </w14:solidFill>
                </w14:textFill>
              </w:rPr>
              <w:t>，项目不会对区域水环境质量功能产生明显不利影响，环境可接受。</w:t>
            </w:r>
          </w:p>
          <w:p w14:paraId="679E65D3">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（8）环境监测</w:t>
            </w:r>
          </w:p>
          <w:p w14:paraId="2D502E18">
            <w:pPr>
              <w:pStyle w:val="36"/>
              <w:ind w:firstLine="480"/>
              <w:rPr>
                <w:spacing w:val="0"/>
                <w:lang w:eastAsia="zh-CN"/>
              </w:rPr>
            </w:pPr>
            <w:r>
              <w:rPr>
                <w:rFonts w:hint="eastAsia"/>
                <w:color w:val="000000" w:themeColor="text1"/>
                <w:spacing w:val="0"/>
                <w:lang w:eastAsia="zh-CN"/>
                <w14:textFill>
                  <w14:solidFill>
                    <w14:schemeClr w14:val="tx1"/>
                  </w14:solidFill>
                </w14:textFill>
              </w:rPr>
              <w:t>根据</w:t>
            </w:r>
            <w:r>
              <w:rPr>
                <w:rFonts w:hint="eastAsia"/>
                <w:spacing w:val="0"/>
                <w:lang w:eastAsia="zh-CN"/>
              </w:rPr>
              <w:t>《排污许可证申请与核发技术规范 农副食品加工工业-屠宰及肉类加工工业》（HJ 860.3-2018），拟定项目废水自行监测方案如下表。</w:t>
            </w:r>
          </w:p>
          <w:p w14:paraId="56B20636">
            <w:pPr>
              <w:pStyle w:val="29"/>
              <w:outlineLvl w:val="9"/>
              <w:rPr>
                <w:rFonts w:hint="default"/>
              </w:rPr>
            </w:pPr>
            <w:r>
              <w:t>表4-7 项目废水自行监测方案表</w:t>
            </w:r>
          </w:p>
          <w:tbl>
            <w:tblPr>
              <w:tblStyle w:val="22"/>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701"/>
              <w:gridCol w:w="3969"/>
              <w:gridCol w:w="1254"/>
            </w:tblGrid>
            <w:tr w14:paraId="6E8B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26" w:type="dxa"/>
                  <w:vAlign w:val="center"/>
                </w:tcPr>
                <w:p w14:paraId="2D605451">
                  <w:pPr>
                    <w:pStyle w:val="31"/>
                    <w:rPr>
                      <w:b/>
                      <w:bCs/>
                    </w:rPr>
                  </w:pPr>
                  <w:r>
                    <w:rPr>
                      <w:rFonts w:hint="eastAsia"/>
                      <w:b/>
                      <w:bCs/>
                    </w:rPr>
                    <w:t>监测项目</w:t>
                  </w:r>
                </w:p>
              </w:tc>
              <w:tc>
                <w:tcPr>
                  <w:tcW w:w="1701" w:type="dxa"/>
                  <w:vAlign w:val="center"/>
                </w:tcPr>
                <w:p w14:paraId="638F8024">
                  <w:pPr>
                    <w:pStyle w:val="31"/>
                    <w:rPr>
                      <w:b/>
                      <w:bCs/>
                    </w:rPr>
                  </w:pPr>
                  <w:r>
                    <w:rPr>
                      <w:rFonts w:hint="eastAsia"/>
                      <w:b/>
                      <w:bCs/>
                    </w:rPr>
                    <w:t>监测点位</w:t>
                  </w:r>
                </w:p>
              </w:tc>
              <w:tc>
                <w:tcPr>
                  <w:tcW w:w="3969" w:type="dxa"/>
                  <w:vAlign w:val="center"/>
                </w:tcPr>
                <w:p w14:paraId="1333C151">
                  <w:pPr>
                    <w:pStyle w:val="31"/>
                    <w:rPr>
                      <w:b/>
                      <w:bCs/>
                    </w:rPr>
                  </w:pPr>
                  <w:r>
                    <w:rPr>
                      <w:rFonts w:hint="eastAsia"/>
                      <w:b/>
                      <w:bCs/>
                    </w:rPr>
                    <w:t>监测指标</w:t>
                  </w:r>
                </w:p>
              </w:tc>
              <w:tc>
                <w:tcPr>
                  <w:tcW w:w="1254" w:type="dxa"/>
                  <w:vAlign w:val="center"/>
                </w:tcPr>
                <w:p w14:paraId="438C0AE8">
                  <w:pPr>
                    <w:pStyle w:val="31"/>
                    <w:rPr>
                      <w:b/>
                      <w:bCs/>
                    </w:rPr>
                  </w:pPr>
                  <w:r>
                    <w:rPr>
                      <w:rFonts w:hint="eastAsia"/>
                      <w:b/>
                      <w:bCs/>
                    </w:rPr>
                    <w:t>监测频次</w:t>
                  </w:r>
                </w:p>
              </w:tc>
            </w:tr>
            <w:tr w14:paraId="4DD5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26" w:type="dxa"/>
                  <w:vMerge w:val="restart"/>
                  <w:vAlign w:val="center"/>
                </w:tcPr>
                <w:p w14:paraId="6C9294AD">
                  <w:pPr>
                    <w:pStyle w:val="31"/>
                  </w:pPr>
                  <w:r>
                    <w:rPr>
                      <w:rFonts w:hint="eastAsia"/>
                    </w:rPr>
                    <w:t>生产废水</w:t>
                  </w:r>
                </w:p>
              </w:tc>
              <w:tc>
                <w:tcPr>
                  <w:tcW w:w="1701" w:type="dxa"/>
                  <w:vMerge w:val="restart"/>
                  <w:vAlign w:val="center"/>
                </w:tcPr>
                <w:p w14:paraId="4E5EA55C">
                  <w:pPr>
                    <w:pStyle w:val="31"/>
                  </w:pPr>
                  <w:r>
                    <w:rPr>
                      <w:rFonts w:hint="eastAsia"/>
                      <w:color w:val="000000"/>
                    </w:rPr>
                    <w:t>厂区生产废水处理站回用水监测口</w:t>
                  </w:r>
                </w:p>
              </w:tc>
              <w:tc>
                <w:tcPr>
                  <w:tcW w:w="3969" w:type="dxa"/>
                  <w:vAlign w:val="center"/>
                </w:tcPr>
                <w:p w14:paraId="1FFAA5A6">
                  <w:pPr>
                    <w:pStyle w:val="31"/>
                  </w:pPr>
                  <w:r>
                    <w:rPr>
                      <w:rFonts w:hint="eastAsia"/>
                    </w:rPr>
                    <w:t>流量、pH、COD、TP、TN、NH</w:t>
                  </w:r>
                  <w:r>
                    <w:rPr>
                      <w:rFonts w:hint="eastAsia"/>
                      <w:vertAlign w:val="subscript"/>
                    </w:rPr>
                    <w:t>3</w:t>
                  </w:r>
                  <w:r>
                    <w:rPr>
                      <w:rFonts w:hint="eastAsia"/>
                    </w:rPr>
                    <w:t>-N</w:t>
                  </w:r>
                </w:p>
              </w:tc>
              <w:tc>
                <w:tcPr>
                  <w:tcW w:w="1254" w:type="dxa"/>
                  <w:vAlign w:val="center"/>
                </w:tcPr>
                <w:p w14:paraId="6DB18201">
                  <w:pPr>
                    <w:pStyle w:val="31"/>
                  </w:pPr>
                  <w:r>
                    <w:rPr>
                      <w:rFonts w:hint="eastAsia"/>
                    </w:rPr>
                    <w:t>自动监测</w:t>
                  </w:r>
                </w:p>
              </w:tc>
            </w:tr>
            <w:tr w14:paraId="6724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26" w:type="dxa"/>
                  <w:vMerge w:val="continue"/>
                  <w:vAlign w:val="center"/>
                </w:tcPr>
                <w:p w14:paraId="400566E1">
                  <w:pPr>
                    <w:pStyle w:val="31"/>
                  </w:pPr>
                </w:p>
              </w:tc>
              <w:tc>
                <w:tcPr>
                  <w:tcW w:w="1701" w:type="dxa"/>
                  <w:vMerge w:val="continue"/>
                  <w:vAlign w:val="center"/>
                </w:tcPr>
                <w:p w14:paraId="2A489FCE">
                  <w:pPr>
                    <w:pStyle w:val="31"/>
                    <w:rPr>
                      <w:color w:val="000000"/>
                    </w:rPr>
                  </w:pPr>
                </w:p>
              </w:tc>
              <w:tc>
                <w:tcPr>
                  <w:tcW w:w="3969" w:type="dxa"/>
                  <w:vAlign w:val="center"/>
                </w:tcPr>
                <w:p w14:paraId="3F27620D">
                  <w:pPr>
                    <w:pStyle w:val="31"/>
                  </w:pPr>
                  <w:r>
                    <w:rPr>
                      <w:rFonts w:hint="eastAsia"/>
                    </w:rPr>
                    <w:t>SS、BOD</w:t>
                  </w:r>
                  <w:r>
                    <w:rPr>
                      <w:rFonts w:hint="eastAsia"/>
                      <w:vertAlign w:val="subscript"/>
                    </w:rPr>
                    <w:t>5</w:t>
                  </w:r>
                  <w:r>
                    <w:rPr>
                      <w:rFonts w:hint="eastAsia"/>
                    </w:rPr>
                    <w:t>、动植物油、色度、阴离子表面活性剂、溶解性总固体、总大肠菌群</w:t>
                  </w:r>
                </w:p>
              </w:tc>
              <w:tc>
                <w:tcPr>
                  <w:tcW w:w="1254" w:type="dxa"/>
                  <w:vAlign w:val="center"/>
                </w:tcPr>
                <w:p w14:paraId="64E959BF">
                  <w:pPr>
                    <w:pStyle w:val="31"/>
                  </w:pPr>
                  <w:r>
                    <w:rPr>
                      <w:rFonts w:hint="eastAsia"/>
                    </w:rPr>
                    <w:t>1次/季度</w:t>
                  </w:r>
                </w:p>
              </w:tc>
            </w:tr>
            <w:tr w14:paraId="5F6E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26" w:type="dxa"/>
                  <w:vAlign w:val="center"/>
                </w:tcPr>
                <w:p w14:paraId="68E7732C">
                  <w:pPr>
                    <w:pStyle w:val="31"/>
                  </w:pPr>
                  <w:r>
                    <w:rPr>
                      <w:rFonts w:hint="eastAsia"/>
                    </w:rPr>
                    <w:t>生活污水</w:t>
                  </w:r>
                </w:p>
              </w:tc>
              <w:tc>
                <w:tcPr>
                  <w:tcW w:w="1701" w:type="dxa"/>
                  <w:vAlign w:val="center"/>
                </w:tcPr>
                <w:p w14:paraId="123A4FE8">
                  <w:pPr>
                    <w:pStyle w:val="31"/>
                  </w:pPr>
                  <w:r>
                    <w:rPr>
                      <w:rFonts w:hint="eastAsia"/>
                    </w:rPr>
                    <w:t>厂区生活污水总排放口</w:t>
                  </w:r>
                </w:p>
              </w:tc>
              <w:tc>
                <w:tcPr>
                  <w:tcW w:w="3969" w:type="dxa"/>
                  <w:vAlign w:val="center"/>
                </w:tcPr>
                <w:p w14:paraId="6218207D">
                  <w:pPr>
                    <w:pStyle w:val="31"/>
                  </w:pPr>
                  <w:r>
                    <w:rPr>
                      <w:rFonts w:hint="eastAsia"/>
                    </w:rPr>
                    <w:t>流量、pH、COD、BOD</w:t>
                  </w:r>
                  <w:r>
                    <w:rPr>
                      <w:rFonts w:hint="eastAsia"/>
                      <w:vertAlign w:val="subscript"/>
                    </w:rPr>
                    <w:t>5</w:t>
                  </w:r>
                  <w:r>
                    <w:rPr>
                      <w:rFonts w:hint="eastAsia"/>
                    </w:rPr>
                    <w:t>、TP、TN、NH</w:t>
                  </w:r>
                  <w:r>
                    <w:rPr>
                      <w:rFonts w:hint="eastAsia"/>
                      <w:vertAlign w:val="subscript"/>
                    </w:rPr>
                    <w:t>3</w:t>
                  </w:r>
                  <w:r>
                    <w:rPr>
                      <w:rFonts w:hint="eastAsia"/>
                    </w:rPr>
                    <w:t>-N、SS、动植物油、磷酸盐、阴离子表面活性剂、溶解性总固体</w:t>
                  </w:r>
                </w:p>
              </w:tc>
              <w:tc>
                <w:tcPr>
                  <w:tcW w:w="1254" w:type="dxa"/>
                  <w:vAlign w:val="center"/>
                </w:tcPr>
                <w:p w14:paraId="52A357DD">
                  <w:pPr>
                    <w:pStyle w:val="31"/>
                  </w:pPr>
                  <w:r>
                    <w:rPr>
                      <w:rFonts w:hint="eastAsia"/>
                    </w:rPr>
                    <w:t>1次/月</w:t>
                  </w:r>
                </w:p>
              </w:tc>
            </w:tr>
          </w:tbl>
          <w:p w14:paraId="37400082">
            <w:pPr>
              <w:rPr>
                <w:sz w:val="24"/>
              </w:rPr>
            </w:pPr>
          </w:p>
          <w:p w14:paraId="239E0D60">
            <w:pPr>
              <w:pStyle w:val="36"/>
              <w:widowControl/>
              <w:ind w:firstLine="0" w:firstLineChars="0"/>
              <w:jc w:val="left"/>
              <w:rPr>
                <w:b/>
                <w:bCs/>
                <w:color w:val="000000" w:themeColor="text1"/>
                <w:spacing w:val="0"/>
                <w:kern w:val="0"/>
                <w:sz w:val="28"/>
                <w:szCs w:val="28"/>
                <w:lang w:eastAsia="zh-CN" w:bidi="ar"/>
                <w14:textFill>
                  <w14:solidFill>
                    <w14:schemeClr w14:val="tx1"/>
                  </w14:solidFill>
                </w14:textFill>
              </w:rPr>
            </w:pPr>
            <w:r>
              <w:rPr>
                <w:rFonts w:hint="eastAsia"/>
                <w:b/>
                <w:bCs/>
                <w:color w:val="000000" w:themeColor="text1"/>
                <w:spacing w:val="0"/>
                <w:kern w:val="0"/>
                <w:sz w:val="28"/>
                <w:szCs w:val="28"/>
                <w:lang w:eastAsia="zh-CN" w:bidi="ar"/>
                <w14:textFill>
                  <w14:solidFill>
                    <w14:schemeClr w14:val="tx1"/>
                  </w14:solidFill>
                </w14:textFill>
              </w:rPr>
              <w:t>3、噪声</w:t>
            </w:r>
          </w:p>
          <w:p w14:paraId="0173F199">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（1）噪声来源及源强分析</w:t>
            </w:r>
          </w:p>
          <w:p w14:paraId="464F90E8">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运营期，项目噪声源主要为待宰圈、肉羊屠宰叫声，脱毛、屠宰工序机械、设备噪声以及车辆噪声。</w:t>
            </w:r>
          </w:p>
          <w:p w14:paraId="6678E0A9">
            <w:pPr>
              <w:pStyle w:val="36"/>
              <w:widowControl/>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1）肉羊待宰圈静养，以及屠宰刺杀放血时产生叫声，其中待宰静养叫声较小，杀羊时则产生高于80dB（A）的嘶叫声，嘶叫声持续时间较短。</w:t>
            </w:r>
          </w:p>
          <w:p w14:paraId="00960A00">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2）肉羊宰杀后，进入脱毛、屠宰工序，此时脱毛机、提升机设备产生持续机械噪声，噪声源强在60-70dB（A）。</w:t>
            </w:r>
          </w:p>
          <w:p w14:paraId="07109EAC">
            <w:pPr>
              <w:pStyle w:val="36"/>
              <w:widowControl/>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3）活羊运输入厂、屠宰后肉羊运输产生一定车辆噪声，噪声源强约75dB（A），属瞬时噪声，对外环境影响较小。</w:t>
            </w:r>
          </w:p>
          <w:p w14:paraId="454AB4C3">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（2）噪声预测及影响分析</w:t>
            </w:r>
          </w:p>
          <w:p w14:paraId="4BB0D492">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根据《环境影响评价技术导则 声环境》（</w:t>
            </w:r>
            <w:r>
              <w:rPr>
                <w:color w:val="000000" w:themeColor="text1"/>
                <w:spacing w:val="0"/>
                <w:lang w:eastAsia="zh-CN"/>
                <w14:textFill>
                  <w14:solidFill>
                    <w14:schemeClr w14:val="tx1"/>
                  </w14:solidFill>
                </w14:textFill>
              </w:rPr>
              <w:t>HJ</w:t>
            </w:r>
            <w:r>
              <w:rPr>
                <w:rFonts w:hint="eastAsia"/>
                <w:color w:val="000000" w:themeColor="text1"/>
                <w:spacing w:val="0"/>
                <w:lang w:eastAsia="zh-CN"/>
                <w14:textFill>
                  <w14:solidFill>
                    <w14:schemeClr w14:val="tx1"/>
                  </w14:solidFill>
                </w14:textFill>
              </w:rPr>
              <w:t xml:space="preserve"> </w:t>
            </w:r>
            <w:r>
              <w:rPr>
                <w:color w:val="000000" w:themeColor="text1"/>
                <w:spacing w:val="0"/>
                <w:lang w:eastAsia="zh-CN"/>
                <w14:textFill>
                  <w14:solidFill>
                    <w14:schemeClr w14:val="tx1"/>
                  </w14:solidFill>
                </w14:textFill>
              </w:rPr>
              <w:t>2.4-2021</w:t>
            </w:r>
            <w:r>
              <w:rPr>
                <w:rFonts w:hint="eastAsia"/>
                <w:color w:val="000000" w:themeColor="text1"/>
                <w:spacing w:val="0"/>
                <w:lang w:eastAsia="zh-CN"/>
                <w14:textFill>
                  <w14:solidFill>
                    <w14:schemeClr w14:val="tx1"/>
                  </w14:solidFill>
                </w14:textFill>
              </w:rPr>
              <w:t>），本次评价将屠宰车间脱毛机简化为点声源，采用无指向性点声源几何发散衰减公式进行噪声预测。声源传播过程中，噪声经距离衰减、空气吸收后到达厂界。肉羊屠宰车间夜间不屠宰。</w:t>
            </w:r>
          </w:p>
          <w:p w14:paraId="31A7BCD7">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声源噪声随距离传播衰减公式为：</w:t>
            </w:r>
            <w:r>
              <w:rPr>
                <w:color w:val="000000" w:themeColor="text1"/>
                <w:spacing w:val="0"/>
                <w:lang w:eastAsia="zh-CN"/>
                <w14:textFill>
                  <w14:solidFill>
                    <w14:schemeClr w14:val="tx1"/>
                  </w14:solidFill>
                </w14:textFill>
              </w:rPr>
              <w:t>L</w:t>
            </w:r>
            <w:r>
              <w:rPr>
                <w:color w:val="000000" w:themeColor="text1"/>
                <w:spacing w:val="0"/>
                <w:vertAlign w:val="subscript"/>
                <w:lang w:eastAsia="zh-CN"/>
                <w14:textFill>
                  <w14:solidFill>
                    <w14:schemeClr w14:val="tx1"/>
                  </w14:solidFill>
                </w14:textFill>
              </w:rPr>
              <w:t>P2</w:t>
            </w:r>
            <w:r>
              <w:rPr>
                <w:color w:val="000000" w:themeColor="text1"/>
                <w:spacing w:val="0"/>
                <w:lang w:eastAsia="zh-CN"/>
                <w14:textFill>
                  <w14:solidFill>
                    <w14:schemeClr w14:val="tx1"/>
                  </w14:solidFill>
                </w14:textFill>
              </w:rPr>
              <w:t>=L</w:t>
            </w:r>
            <w:r>
              <w:rPr>
                <w:color w:val="000000" w:themeColor="text1"/>
                <w:spacing w:val="0"/>
                <w:vertAlign w:val="subscript"/>
                <w:lang w:eastAsia="zh-CN"/>
                <w14:textFill>
                  <w14:solidFill>
                    <w14:schemeClr w14:val="tx1"/>
                  </w14:solidFill>
                </w14:textFill>
              </w:rPr>
              <w:t>P1</w:t>
            </w:r>
            <w:r>
              <w:rPr>
                <w:rFonts w:hint="eastAsia"/>
                <w:color w:val="000000" w:themeColor="text1"/>
                <w:spacing w:val="0"/>
                <w:lang w:eastAsia="zh-CN"/>
                <w14:textFill>
                  <w14:solidFill>
                    <w14:schemeClr w14:val="tx1"/>
                  </w14:solidFill>
                </w14:textFill>
              </w:rPr>
              <w:t>-</w:t>
            </w:r>
            <w:r>
              <w:rPr>
                <w:color w:val="000000" w:themeColor="text1"/>
                <w:spacing w:val="0"/>
                <w:lang w:eastAsia="zh-CN"/>
                <w14:textFill>
                  <w14:solidFill>
                    <w14:schemeClr w14:val="tx1"/>
                  </w14:solidFill>
                </w14:textFill>
              </w:rPr>
              <w:t>20lg</w:t>
            </w:r>
            <w:r>
              <w:rPr>
                <w:rFonts w:hint="eastAsia"/>
                <w:color w:val="000000" w:themeColor="text1"/>
                <w:spacing w:val="0"/>
                <w:lang w:eastAsia="zh-CN"/>
                <w14:textFill>
                  <w14:solidFill>
                    <w14:schemeClr w14:val="tx1"/>
                  </w14:solidFill>
                </w14:textFill>
              </w:rPr>
              <w:t>（</w:t>
            </w:r>
            <w:r>
              <w:rPr>
                <w:color w:val="000000" w:themeColor="text1"/>
                <w:spacing w:val="0"/>
                <w:lang w:eastAsia="zh-CN"/>
                <w14:textFill>
                  <w14:solidFill>
                    <w14:schemeClr w14:val="tx1"/>
                  </w14:solidFill>
                </w14:textFill>
              </w:rPr>
              <w:t>r</w:t>
            </w:r>
            <w:r>
              <w:rPr>
                <w:color w:val="000000" w:themeColor="text1"/>
                <w:spacing w:val="0"/>
                <w:vertAlign w:val="subscript"/>
                <w:lang w:eastAsia="zh-CN"/>
                <w14:textFill>
                  <w14:solidFill>
                    <w14:schemeClr w14:val="tx1"/>
                  </w14:solidFill>
                </w14:textFill>
              </w:rPr>
              <w:t>2</w:t>
            </w:r>
            <w:r>
              <w:rPr>
                <w:color w:val="000000" w:themeColor="text1"/>
                <w:spacing w:val="0"/>
                <w:lang w:eastAsia="zh-CN"/>
                <w14:textFill>
                  <w14:solidFill>
                    <w14:schemeClr w14:val="tx1"/>
                  </w14:solidFill>
                </w14:textFill>
              </w:rPr>
              <w:t>/r</w:t>
            </w:r>
            <w:r>
              <w:rPr>
                <w:color w:val="000000" w:themeColor="text1"/>
                <w:spacing w:val="0"/>
                <w:vertAlign w:val="subscript"/>
                <w:lang w:eastAsia="zh-CN"/>
                <w14:textFill>
                  <w14:solidFill>
                    <w14:schemeClr w14:val="tx1"/>
                  </w14:solidFill>
                </w14:textFill>
              </w:rPr>
              <w:t>1</w:t>
            </w:r>
            <w:r>
              <w:rPr>
                <w:rFonts w:hint="eastAsia"/>
                <w:color w:val="000000" w:themeColor="text1"/>
                <w:spacing w:val="0"/>
                <w:lang w:eastAsia="zh-CN"/>
                <w14:textFill>
                  <w14:solidFill>
                    <w14:schemeClr w14:val="tx1"/>
                  </w14:solidFill>
                </w14:textFill>
              </w:rPr>
              <w:t>）</w:t>
            </w:r>
          </w:p>
          <w:p w14:paraId="0B045DA6">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式中：</w:t>
            </w:r>
            <w:r>
              <w:rPr>
                <w:color w:val="000000" w:themeColor="text1"/>
                <w:spacing w:val="0"/>
                <w:lang w:eastAsia="zh-CN"/>
                <w14:textFill>
                  <w14:solidFill>
                    <w14:schemeClr w14:val="tx1"/>
                  </w14:solidFill>
                </w14:textFill>
              </w:rPr>
              <w:t>L</w:t>
            </w:r>
            <w:r>
              <w:rPr>
                <w:color w:val="000000" w:themeColor="text1"/>
                <w:spacing w:val="0"/>
                <w:vertAlign w:val="subscript"/>
                <w:lang w:eastAsia="zh-CN"/>
                <w14:textFill>
                  <w14:solidFill>
                    <w14:schemeClr w14:val="tx1"/>
                  </w14:solidFill>
                </w14:textFill>
              </w:rPr>
              <w:t>P1</w:t>
            </w:r>
            <w:r>
              <w:rPr>
                <w:rFonts w:hint="eastAsia"/>
                <w:color w:val="000000" w:themeColor="text1"/>
                <w:spacing w:val="0"/>
                <w:lang w:eastAsia="zh-CN"/>
                <w14:textFill>
                  <w14:solidFill>
                    <w14:schemeClr w14:val="tx1"/>
                  </w14:solidFill>
                </w14:textFill>
              </w:rPr>
              <w:t>—受声点</w:t>
            </w:r>
            <w:r>
              <w:rPr>
                <w:color w:val="000000" w:themeColor="text1"/>
                <w:spacing w:val="0"/>
                <w:lang w:eastAsia="zh-CN"/>
                <w14:textFill>
                  <w14:solidFill>
                    <w14:schemeClr w14:val="tx1"/>
                  </w14:solidFill>
                </w14:textFill>
              </w:rPr>
              <w:t>P</w:t>
            </w:r>
            <w:r>
              <w:rPr>
                <w:color w:val="000000" w:themeColor="text1"/>
                <w:spacing w:val="0"/>
                <w:vertAlign w:val="subscript"/>
                <w:lang w:eastAsia="zh-CN"/>
                <w14:textFill>
                  <w14:solidFill>
                    <w14:schemeClr w14:val="tx1"/>
                  </w14:solidFill>
                </w14:textFill>
              </w:rPr>
              <w:t>1</w:t>
            </w:r>
            <w:r>
              <w:rPr>
                <w:rFonts w:hint="eastAsia"/>
                <w:color w:val="000000" w:themeColor="text1"/>
                <w:spacing w:val="0"/>
                <w:lang w:eastAsia="zh-CN"/>
                <w14:textFill>
                  <w14:solidFill>
                    <w14:schemeClr w14:val="tx1"/>
                  </w14:solidFill>
                </w14:textFill>
              </w:rPr>
              <w:t>处声级dB（A）；</w:t>
            </w:r>
          </w:p>
          <w:p w14:paraId="41895F1A">
            <w:pPr>
              <w:pStyle w:val="36"/>
              <w:ind w:firstLine="1200" w:firstLineChars="500"/>
              <w:rPr>
                <w:color w:val="000000" w:themeColor="text1"/>
                <w:spacing w:val="0"/>
                <w:lang w:eastAsia="zh-CN"/>
                <w14:textFill>
                  <w14:solidFill>
                    <w14:schemeClr w14:val="tx1"/>
                  </w14:solidFill>
                </w14:textFill>
              </w:rPr>
            </w:pPr>
            <w:r>
              <w:rPr>
                <w:color w:val="000000" w:themeColor="text1"/>
                <w:spacing w:val="0"/>
                <w:lang w:eastAsia="zh-CN"/>
                <w14:textFill>
                  <w14:solidFill>
                    <w14:schemeClr w14:val="tx1"/>
                  </w14:solidFill>
                </w14:textFill>
              </w:rPr>
              <w:t>L</w:t>
            </w:r>
            <w:r>
              <w:rPr>
                <w:color w:val="000000" w:themeColor="text1"/>
                <w:spacing w:val="0"/>
                <w:vertAlign w:val="subscript"/>
                <w:lang w:eastAsia="zh-CN"/>
                <w14:textFill>
                  <w14:solidFill>
                    <w14:schemeClr w14:val="tx1"/>
                  </w14:solidFill>
                </w14:textFill>
              </w:rPr>
              <w:t>P2</w:t>
            </w:r>
            <w:r>
              <w:rPr>
                <w:rFonts w:hint="eastAsia"/>
                <w:color w:val="000000" w:themeColor="text1"/>
                <w:spacing w:val="0"/>
                <w:lang w:eastAsia="zh-CN"/>
                <w14:textFill>
                  <w14:solidFill>
                    <w14:schemeClr w14:val="tx1"/>
                  </w14:solidFill>
                </w14:textFill>
              </w:rPr>
              <w:t>—受声点</w:t>
            </w:r>
            <w:r>
              <w:rPr>
                <w:color w:val="000000" w:themeColor="text1"/>
                <w:spacing w:val="0"/>
                <w:lang w:eastAsia="zh-CN"/>
                <w14:textFill>
                  <w14:solidFill>
                    <w14:schemeClr w14:val="tx1"/>
                  </w14:solidFill>
                </w14:textFill>
              </w:rPr>
              <w:t>P</w:t>
            </w:r>
            <w:r>
              <w:rPr>
                <w:color w:val="000000" w:themeColor="text1"/>
                <w:spacing w:val="0"/>
                <w:vertAlign w:val="subscript"/>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处声级dB（A）；</w:t>
            </w:r>
          </w:p>
          <w:p w14:paraId="4E125252">
            <w:pPr>
              <w:pStyle w:val="36"/>
              <w:ind w:firstLine="1200" w:firstLineChars="500"/>
              <w:rPr>
                <w:color w:val="000000" w:themeColor="text1"/>
                <w:spacing w:val="0"/>
                <w:lang w:eastAsia="zh-CN"/>
                <w14:textFill>
                  <w14:solidFill>
                    <w14:schemeClr w14:val="tx1"/>
                  </w14:solidFill>
                </w14:textFill>
              </w:rPr>
            </w:pPr>
            <w:r>
              <w:rPr>
                <w:color w:val="000000" w:themeColor="text1"/>
                <w:spacing w:val="0"/>
                <w:lang w:eastAsia="zh-CN"/>
                <w14:textFill>
                  <w14:solidFill>
                    <w14:schemeClr w14:val="tx1"/>
                  </w14:solidFill>
                </w14:textFill>
              </w:rPr>
              <w:t>r</w:t>
            </w:r>
            <w:r>
              <w:rPr>
                <w:color w:val="000000" w:themeColor="text1"/>
                <w:spacing w:val="0"/>
                <w:vertAlign w:val="subscript"/>
                <w:lang w:eastAsia="zh-CN"/>
                <w14:textFill>
                  <w14:solidFill>
                    <w14:schemeClr w14:val="tx1"/>
                  </w14:solidFill>
                </w14:textFill>
              </w:rPr>
              <w:t>1</w:t>
            </w:r>
            <w:r>
              <w:rPr>
                <w:rFonts w:hint="eastAsia"/>
                <w:color w:val="000000" w:themeColor="text1"/>
                <w:spacing w:val="0"/>
                <w:lang w:eastAsia="zh-CN"/>
                <w14:textFill>
                  <w14:solidFill>
                    <w14:schemeClr w14:val="tx1"/>
                  </w14:solidFill>
                </w14:textFill>
              </w:rPr>
              <w:t>—声源至</w:t>
            </w:r>
            <w:r>
              <w:rPr>
                <w:color w:val="000000" w:themeColor="text1"/>
                <w:spacing w:val="0"/>
                <w:lang w:eastAsia="zh-CN"/>
                <w14:textFill>
                  <w14:solidFill>
                    <w14:schemeClr w14:val="tx1"/>
                  </w14:solidFill>
                </w14:textFill>
              </w:rPr>
              <w:t>P</w:t>
            </w:r>
            <w:r>
              <w:rPr>
                <w:color w:val="000000" w:themeColor="text1"/>
                <w:spacing w:val="0"/>
                <w:vertAlign w:val="subscript"/>
                <w:lang w:eastAsia="zh-CN"/>
                <w14:textFill>
                  <w14:solidFill>
                    <w14:schemeClr w14:val="tx1"/>
                  </w14:solidFill>
                </w14:textFill>
              </w:rPr>
              <w:t>1</w:t>
            </w:r>
            <w:r>
              <w:rPr>
                <w:rFonts w:hint="eastAsia"/>
                <w:color w:val="000000" w:themeColor="text1"/>
                <w:spacing w:val="0"/>
                <w:lang w:eastAsia="zh-CN"/>
                <w14:textFill>
                  <w14:solidFill>
                    <w14:schemeClr w14:val="tx1"/>
                  </w14:solidFill>
                </w14:textFill>
              </w:rPr>
              <w:t>处距离m；</w:t>
            </w:r>
          </w:p>
          <w:p w14:paraId="353A0493">
            <w:pPr>
              <w:pStyle w:val="36"/>
              <w:ind w:firstLine="1200" w:firstLineChars="500"/>
              <w:rPr>
                <w:color w:val="000000" w:themeColor="text1"/>
                <w:spacing w:val="0"/>
                <w:lang w:eastAsia="zh-CN"/>
                <w14:textFill>
                  <w14:solidFill>
                    <w14:schemeClr w14:val="tx1"/>
                  </w14:solidFill>
                </w14:textFill>
              </w:rPr>
            </w:pPr>
            <w:r>
              <w:rPr>
                <w:color w:val="000000" w:themeColor="text1"/>
                <w:spacing w:val="0"/>
                <w:lang w:eastAsia="zh-CN"/>
                <w14:textFill>
                  <w14:solidFill>
                    <w14:schemeClr w14:val="tx1"/>
                  </w14:solidFill>
                </w14:textFill>
              </w:rPr>
              <w:t>r</w:t>
            </w:r>
            <w:r>
              <w:rPr>
                <w:color w:val="000000" w:themeColor="text1"/>
                <w:spacing w:val="0"/>
                <w:vertAlign w:val="subscript"/>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—声源至</w:t>
            </w:r>
            <w:r>
              <w:rPr>
                <w:color w:val="000000" w:themeColor="text1"/>
                <w:spacing w:val="0"/>
                <w:lang w:eastAsia="zh-CN"/>
                <w14:textFill>
                  <w14:solidFill>
                    <w14:schemeClr w14:val="tx1"/>
                  </w14:solidFill>
                </w14:textFill>
              </w:rPr>
              <w:t>P</w:t>
            </w:r>
            <w:r>
              <w:rPr>
                <w:color w:val="000000" w:themeColor="text1"/>
                <w:spacing w:val="0"/>
                <w:vertAlign w:val="subscript"/>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处距离m。</w:t>
            </w:r>
          </w:p>
          <w:p w14:paraId="05FBD444">
            <w:pPr>
              <w:pStyle w:val="29"/>
              <w:outlineLvl w:val="9"/>
              <w:rPr>
                <w:rFonts w:hint="default"/>
              </w:rPr>
            </w:pPr>
            <w:r>
              <w:t>表4-8 项目肉羊屠宰车间厂界噪声预测表</w:t>
            </w:r>
          </w:p>
          <w:tbl>
            <w:tblPr>
              <w:tblStyle w:val="22"/>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299"/>
              <w:gridCol w:w="1300"/>
              <w:gridCol w:w="1300"/>
              <w:gridCol w:w="1300"/>
              <w:gridCol w:w="1300"/>
            </w:tblGrid>
            <w:tr w14:paraId="75A4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751" w:type="dxa"/>
                  <w:vMerge w:val="restart"/>
                  <w:vAlign w:val="center"/>
                </w:tcPr>
                <w:p w14:paraId="290ADCA4">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点位</w:t>
                  </w:r>
                </w:p>
              </w:tc>
              <w:tc>
                <w:tcPr>
                  <w:tcW w:w="3899" w:type="dxa"/>
                  <w:gridSpan w:val="3"/>
                  <w:vAlign w:val="center"/>
                </w:tcPr>
                <w:p w14:paraId="5C5029C7">
                  <w:pPr>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噪声值dB（A）</w:t>
                  </w:r>
                </w:p>
              </w:tc>
              <w:tc>
                <w:tcPr>
                  <w:tcW w:w="1300" w:type="dxa"/>
                  <w:vMerge w:val="restart"/>
                  <w:vAlign w:val="center"/>
                </w:tcPr>
                <w:p w14:paraId="66C51BD4">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标准限值</w:t>
                  </w:r>
                </w:p>
              </w:tc>
              <w:tc>
                <w:tcPr>
                  <w:tcW w:w="1300" w:type="dxa"/>
                  <w:vMerge w:val="restart"/>
                  <w:vAlign w:val="center"/>
                </w:tcPr>
                <w:p w14:paraId="32C97546">
                  <w:pPr>
                    <w:widowControl/>
                    <w:jc w:val="center"/>
                    <w:rPr>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达标情况</w:t>
                  </w:r>
                </w:p>
              </w:tc>
            </w:tr>
            <w:tr w14:paraId="5DEB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751" w:type="dxa"/>
                  <w:vMerge w:val="continue"/>
                  <w:vAlign w:val="center"/>
                </w:tcPr>
                <w:p w14:paraId="710D2197">
                  <w:pPr>
                    <w:widowControl/>
                    <w:jc w:val="center"/>
                    <w:rPr>
                      <w:b/>
                      <w:bCs/>
                      <w:color w:val="000000" w:themeColor="text1"/>
                      <w:kern w:val="0"/>
                      <w:szCs w:val="21"/>
                      <w:lang w:bidi="ar"/>
                      <w14:textFill>
                        <w14:solidFill>
                          <w14:schemeClr w14:val="tx1"/>
                        </w14:solidFill>
                      </w14:textFill>
                    </w:rPr>
                  </w:pPr>
                </w:p>
              </w:tc>
              <w:tc>
                <w:tcPr>
                  <w:tcW w:w="1299" w:type="dxa"/>
                  <w:vAlign w:val="center"/>
                </w:tcPr>
                <w:p w14:paraId="1FCE8901">
                  <w:pPr>
                    <w:widowControl/>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背景值</w:t>
                  </w:r>
                </w:p>
              </w:tc>
              <w:tc>
                <w:tcPr>
                  <w:tcW w:w="1300" w:type="dxa"/>
                  <w:vAlign w:val="center"/>
                </w:tcPr>
                <w:p w14:paraId="516ABB9C">
                  <w:pPr>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贡献值</w:t>
                  </w:r>
                </w:p>
              </w:tc>
              <w:tc>
                <w:tcPr>
                  <w:tcW w:w="1300" w:type="dxa"/>
                  <w:vAlign w:val="center"/>
                </w:tcPr>
                <w:p w14:paraId="06AC3E1F">
                  <w:pPr>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预测值</w:t>
                  </w:r>
                </w:p>
              </w:tc>
              <w:tc>
                <w:tcPr>
                  <w:tcW w:w="1300" w:type="dxa"/>
                  <w:vMerge w:val="continue"/>
                  <w:vAlign w:val="center"/>
                </w:tcPr>
                <w:p w14:paraId="18D7D4B3">
                  <w:pPr>
                    <w:widowControl/>
                    <w:jc w:val="center"/>
                    <w:rPr>
                      <w:b/>
                      <w:bCs/>
                      <w:color w:val="000000" w:themeColor="text1"/>
                      <w:kern w:val="0"/>
                      <w:szCs w:val="21"/>
                      <w:lang w:bidi="ar"/>
                      <w14:textFill>
                        <w14:solidFill>
                          <w14:schemeClr w14:val="tx1"/>
                        </w14:solidFill>
                      </w14:textFill>
                    </w:rPr>
                  </w:pPr>
                </w:p>
              </w:tc>
              <w:tc>
                <w:tcPr>
                  <w:tcW w:w="1300" w:type="dxa"/>
                  <w:vMerge w:val="continue"/>
                  <w:vAlign w:val="center"/>
                </w:tcPr>
                <w:p w14:paraId="2B079BAA">
                  <w:pPr>
                    <w:widowControl/>
                    <w:jc w:val="center"/>
                    <w:rPr>
                      <w:b/>
                      <w:bCs/>
                      <w:color w:val="000000" w:themeColor="text1"/>
                      <w:kern w:val="0"/>
                      <w:szCs w:val="21"/>
                      <w:lang w:bidi="ar"/>
                      <w14:textFill>
                        <w14:solidFill>
                          <w14:schemeClr w14:val="tx1"/>
                        </w14:solidFill>
                      </w14:textFill>
                    </w:rPr>
                  </w:pPr>
                </w:p>
              </w:tc>
            </w:tr>
            <w:tr w14:paraId="4428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751" w:type="dxa"/>
                  <w:vAlign w:val="center"/>
                </w:tcPr>
                <w:p w14:paraId="34ECA4C2">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厂界东侧</w:t>
                  </w:r>
                </w:p>
              </w:tc>
              <w:tc>
                <w:tcPr>
                  <w:tcW w:w="1299" w:type="dxa"/>
                  <w:vAlign w:val="center"/>
                </w:tcPr>
                <w:p w14:paraId="75798136">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51.5</w:t>
                  </w:r>
                </w:p>
              </w:tc>
              <w:tc>
                <w:tcPr>
                  <w:tcW w:w="1300" w:type="dxa"/>
                  <w:vAlign w:val="center"/>
                </w:tcPr>
                <w:p w14:paraId="2FD34EB3">
                  <w:pPr>
                    <w:jc w:val="center"/>
                    <w:rPr>
                      <w:kern w:val="0"/>
                      <w:szCs w:val="21"/>
                      <w:lang w:bidi="ar"/>
                    </w:rPr>
                  </w:pPr>
                  <w:r>
                    <w:rPr>
                      <w:rFonts w:hint="eastAsia"/>
                      <w:kern w:val="0"/>
                      <w:szCs w:val="21"/>
                      <w:lang w:bidi="ar"/>
                    </w:rPr>
                    <w:t>50.2</w:t>
                  </w:r>
                </w:p>
              </w:tc>
              <w:tc>
                <w:tcPr>
                  <w:tcW w:w="1300" w:type="dxa"/>
                  <w:vAlign w:val="center"/>
                </w:tcPr>
                <w:p w14:paraId="70B17421">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53.8</w:t>
                  </w:r>
                </w:p>
              </w:tc>
              <w:tc>
                <w:tcPr>
                  <w:tcW w:w="1300" w:type="dxa"/>
                  <w:vAlign w:val="center"/>
                </w:tcPr>
                <w:p w14:paraId="515EF38C">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60</w:t>
                  </w:r>
                </w:p>
              </w:tc>
              <w:tc>
                <w:tcPr>
                  <w:tcW w:w="1300" w:type="dxa"/>
                  <w:vAlign w:val="center"/>
                </w:tcPr>
                <w:p w14:paraId="42B2104F">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达标</w:t>
                  </w:r>
                </w:p>
              </w:tc>
            </w:tr>
            <w:tr w14:paraId="5966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751" w:type="dxa"/>
                  <w:vAlign w:val="center"/>
                </w:tcPr>
                <w:p w14:paraId="61DD9409">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厂界南侧</w:t>
                  </w:r>
                </w:p>
              </w:tc>
              <w:tc>
                <w:tcPr>
                  <w:tcW w:w="1299" w:type="dxa"/>
                  <w:vAlign w:val="center"/>
                </w:tcPr>
                <w:p w14:paraId="0C84FF47">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52.5</w:t>
                  </w:r>
                </w:p>
              </w:tc>
              <w:tc>
                <w:tcPr>
                  <w:tcW w:w="1300" w:type="dxa"/>
                  <w:vAlign w:val="center"/>
                </w:tcPr>
                <w:p w14:paraId="1F57980A">
                  <w:pPr>
                    <w:jc w:val="center"/>
                    <w:rPr>
                      <w:kern w:val="0"/>
                      <w:szCs w:val="21"/>
                      <w:lang w:bidi="ar"/>
                    </w:rPr>
                  </w:pPr>
                  <w:r>
                    <w:rPr>
                      <w:rFonts w:hint="eastAsia"/>
                      <w:kern w:val="0"/>
                      <w:szCs w:val="21"/>
                      <w:lang w:bidi="ar"/>
                    </w:rPr>
                    <w:t>53.1</w:t>
                  </w:r>
                </w:p>
              </w:tc>
              <w:tc>
                <w:tcPr>
                  <w:tcW w:w="1300" w:type="dxa"/>
                  <w:vAlign w:val="center"/>
                </w:tcPr>
                <w:p w14:paraId="7D2E2ACC">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55.7</w:t>
                  </w:r>
                </w:p>
              </w:tc>
              <w:tc>
                <w:tcPr>
                  <w:tcW w:w="1300" w:type="dxa"/>
                  <w:vAlign w:val="center"/>
                </w:tcPr>
                <w:p w14:paraId="654210BF">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60</w:t>
                  </w:r>
                </w:p>
              </w:tc>
              <w:tc>
                <w:tcPr>
                  <w:tcW w:w="1300" w:type="dxa"/>
                  <w:vAlign w:val="center"/>
                </w:tcPr>
                <w:p w14:paraId="328953F1">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达标</w:t>
                  </w:r>
                </w:p>
              </w:tc>
            </w:tr>
            <w:tr w14:paraId="2A79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751" w:type="dxa"/>
                  <w:vAlign w:val="center"/>
                </w:tcPr>
                <w:p w14:paraId="3C4A03C7">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厂界西侧</w:t>
                  </w:r>
                </w:p>
              </w:tc>
              <w:tc>
                <w:tcPr>
                  <w:tcW w:w="1299" w:type="dxa"/>
                  <w:vAlign w:val="center"/>
                </w:tcPr>
                <w:p w14:paraId="7E7FC6BA">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51.5</w:t>
                  </w:r>
                </w:p>
              </w:tc>
              <w:tc>
                <w:tcPr>
                  <w:tcW w:w="1300" w:type="dxa"/>
                  <w:vAlign w:val="center"/>
                </w:tcPr>
                <w:p w14:paraId="04F72D61">
                  <w:pPr>
                    <w:jc w:val="center"/>
                    <w:rPr>
                      <w:kern w:val="0"/>
                      <w:szCs w:val="21"/>
                      <w:lang w:bidi="ar"/>
                    </w:rPr>
                  </w:pPr>
                  <w:r>
                    <w:rPr>
                      <w:rFonts w:hint="eastAsia"/>
                      <w:kern w:val="0"/>
                      <w:szCs w:val="21"/>
                      <w:lang w:bidi="ar"/>
                    </w:rPr>
                    <w:t>50.8</w:t>
                  </w:r>
                </w:p>
              </w:tc>
              <w:tc>
                <w:tcPr>
                  <w:tcW w:w="1300" w:type="dxa"/>
                  <w:vAlign w:val="center"/>
                </w:tcPr>
                <w:p w14:paraId="6AA4ABF9">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53.8</w:t>
                  </w:r>
                </w:p>
              </w:tc>
              <w:tc>
                <w:tcPr>
                  <w:tcW w:w="1300" w:type="dxa"/>
                  <w:vAlign w:val="center"/>
                </w:tcPr>
                <w:p w14:paraId="06F7BAD2">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60</w:t>
                  </w:r>
                </w:p>
              </w:tc>
              <w:tc>
                <w:tcPr>
                  <w:tcW w:w="1300" w:type="dxa"/>
                  <w:vAlign w:val="center"/>
                </w:tcPr>
                <w:p w14:paraId="68C6B778">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达标</w:t>
                  </w:r>
                </w:p>
              </w:tc>
            </w:tr>
            <w:tr w14:paraId="456F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751" w:type="dxa"/>
                  <w:vAlign w:val="center"/>
                </w:tcPr>
                <w:p w14:paraId="0E1A80F4">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厂界北侧</w:t>
                  </w:r>
                </w:p>
              </w:tc>
              <w:tc>
                <w:tcPr>
                  <w:tcW w:w="1299" w:type="dxa"/>
                  <w:vAlign w:val="center"/>
                </w:tcPr>
                <w:p w14:paraId="29D1BF66">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52.5</w:t>
                  </w:r>
                </w:p>
              </w:tc>
              <w:tc>
                <w:tcPr>
                  <w:tcW w:w="1300" w:type="dxa"/>
                  <w:vAlign w:val="center"/>
                </w:tcPr>
                <w:p w14:paraId="08FF62E7">
                  <w:pPr>
                    <w:jc w:val="center"/>
                    <w:rPr>
                      <w:kern w:val="0"/>
                      <w:szCs w:val="21"/>
                      <w:lang w:bidi="ar"/>
                    </w:rPr>
                  </w:pPr>
                  <w:r>
                    <w:rPr>
                      <w:rFonts w:hint="eastAsia"/>
                      <w:kern w:val="0"/>
                      <w:szCs w:val="21"/>
                      <w:lang w:bidi="ar"/>
                    </w:rPr>
                    <w:t>48.2</w:t>
                  </w:r>
                </w:p>
              </w:tc>
              <w:tc>
                <w:tcPr>
                  <w:tcW w:w="1300" w:type="dxa"/>
                  <w:vAlign w:val="center"/>
                </w:tcPr>
                <w:p w14:paraId="67CB60BB">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53.9</w:t>
                  </w:r>
                </w:p>
              </w:tc>
              <w:tc>
                <w:tcPr>
                  <w:tcW w:w="1300" w:type="dxa"/>
                  <w:vAlign w:val="center"/>
                </w:tcPr>
                <w:p w14:paraId="6EA86CB7">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60</w:t>
                  </w:r>
                </w:p>
              </w:tc>
              <w:tc>
                <w:tcPr>
                  <w:tcW w:w="1300" w:type="dxa"/>
                  <w:vAlign w:val="center"/>
                </w:tcPr>
                <w:p w14:paraId="4E5F9F51">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达标</w:t>
                  </w:r>
                </w:p>
              </w:tc>
            </w:tr>
          </w:tbl>
          <w:p w14:paraId="137A8280">
            <w:pPr>
              <w:pStyle w:val="36"/>
              <w:widowControl/>
              <w:spacing w:line="240" w:lineRule="auto"/>
              <w:ind w:firstLine="0" w:firstLineChars="0"/>
              <w:rPr>
                <w:color w:val="000000" w:themeColor="text1"/>
                <w:spacing w:val="0"/>
                <w:lang w:eastAsia="zh-CN"/>
                <w14:textFill>
                  <w14:solidFill>
                    <w14:schemeClr w14:val="tx1"/>
                  </w14:solidFill>
                </w14:textFill>
              </w:rPr>
            </w:pPr>
          </w:p>
          <w:p w14:paraId="35D0D683">
            <w:pPr>
              <w:pStyle w:val="36"/>
              <w:widowControl/>
              <w:spacing w:line="240" w:lineRule="auto"/>
              <w:ind w:firstLine="0" w:firstLineChars="0"/>
              <w:rPr>
                <w:color w:val="000000" w:themeColor="text1"/>
                <w:spacing w:val="0"/>
                <w:lang w:eastAsia="zh-CN"/>
                <w14:textFill>
                  <w14:solidFill>
                    <w14:schemeClr w14:val="tx1"/>
                  </w14:solidFill>
                </w14:textFill>
              </w:rPr>
            </w:pPr>
          </w:p>
          <w:p w14:paraId="5EB23EB2">
            <w:pPr>
              <w:pStyle w:val="36"/>
              <w:widowControl/>
              <w:spacing w:line="240" w:lineRule="auto"/>
              <w:ind w:firstLine="0" w:firstLineChars="0"/>
              <w:rPr>
                <w:color w:val="000000" w:themeColor="text1"/>
                <w:spacing w:val="0"/>
                <w:lang w:eastAsia="zh-CN"/>
                <w14:textFill>
                  <w14:solidFill>
                    <w14:schemeClr w14:val="tx1"/>
                  </w14:solidFill>
                </w14:textFill>
              </w:rPr>
            </w:pPr>
          </w:p>
          <w:p w14:paraId="0BD04EC0">
            <w:pPr>
              <w:pStyle w:val="36"/>
              <w:widowControl/>
              <w:spacing w:line="240" w:lineRule="auto"/>
              <w:ind w:firstLine="0" w:firstLineChars="0"/>
              <w:rPr>
                <w:color w:val="000000" w:themeColor="text1"/>
                <w:spacing w:val="0"/>
                <w:lang w:eastAsia="zh-CN"/>
                <w14:textFill>
                  <w14:solidFill>
                    <w14:schemeClr w14:val="tx1"/>
                  </w14:solidFill>
                </w14:textFill>
              </w:rPr>
            </w:pPr>
          </w:p>
          <w:p w14:paraId="66701103">
            <w:pPr>
              <w:pStyle w:val="36"/>
              <w:widowControl/>
              <w:spacing w:line="240" w:lineRule="auto"/>
              <w:ind w:firstLine="0" w:firstLineChars="0"/>
              <w:rPr>
                <w:color w:val="000000" w:themeColor="text1"/>
                <w:spacing w:val="0"/>
                <w:lang w:eastAsia="zh-CN"/>
                <w14:textFill>
                  <w14:solidFill>
                    <w14:schemeClr w14:val="tx1"/>
                  </w14:solidFill>
                </w14:textFill>
              </w:rPr>
            </w:pPr>
          </w:p>
          <w:p w14:paraId="449A9152">
            <w:pPr>
              <w:pStyle w:val="36"/>
              <w:widowControl/>
              <w:spacing w:line="240" w:lineRule="auto"/>
              <w:ind w:firstLine="0" w:firstLineChars="0"/>
              <w:rPr>
                <w:color w:val="000000" w:themeColor="text1"/>
                <w:spacing w:val="0"/>
                <w:lang w:eastAsia="zh-CN"/>
                <w14:textFill>
                  <w14:solidFill>
                    <w14:schemeClr w14:val="tx1"/>
                  </w14:solidFill>
                </w14:textFill>
              </w:rPr>
            </w:pPr>
          </w:p>
          <w:p w14:paraId="555D9F21">
            <w:pPr>
              <w:pStyle w:val="36"/>
              <w:widowControl/>
              <w:spacing w:line="240" w:lineRule="auto"/>
              <w:ind w:firstLine="0" w:firstLineChars="0"/>
              <w:rPr>
                <w:color w:val="000000" w:themeColor="text1"/>
                <w:spacing w:val="0"/>
                <w:lang w:eastAsia="zh-CN"/>
                <w14:textFill>
                  <w14:solidFill>
                    <w14:schemeClr w14:val="tx1"/>
                  </w14:solidFill>
                </w14:textFill>
              </w:rPr>
            </w:pPr>
          </w:p>
          <w:p w14:paraId="5AFAA911">
            <w:pPr>
              <w:pStyle w:val="36"/>
              <w:widowControl/>
              <w:spacing w:line="240" w:lineRule="auto"/>
              <w:ind w:firstLine="0" w:firstLineChars="0"/>
              <w:rPr>
                <w:color w:val="000000" w:themeColor="text1"/>
                <w:spacing w:val="0"/>
                <w:lang w:eastAsia="zh-CN"/>
                <w14:textFill>
                  <w14:solidFill>
                    <w14:schemeClr w14:val="tx1"/>
                  </w14:solidFill>
                </w14:textFill>
              </w:rPr>
            </w:pPr>
          </w:p>
          <w:p w14:paraId="4D406B6B">
            <w:pPr>
              <w:pStyle w:val="36"/>
              <w:widowControl/>
              <w:spacing w:line="240" w:lineRule="auto"/>
              <w:ind w:firstLine="0" w:firstLineChars="0"/>
              <w:rPr>
                <w:color w:val="000000" w:themeColor="text1"/>
                <w:spacing w:val="0"/>
                <w:lang w:eastAsia="zh-CN"/>
                <w14:textFill>
                  <w14:solidFill>
                    <w14:schemeClr w14:val="tx1"/>
                  </w14:solidFill>
                </w14:textFill>
              </w:rPr>
            </w:pPr>
          </w:p>
          <w:p w14:paraId="4A2130A6">
            <w:pPr>
              <w:pStyle w:val="36"/>
              <w:widowControl/>
              <w:spacing w:line="240" w:lineRule="auto"/>
              <w:ind w:firstLine="0" w:firstLineChars="0"/>
              <w:rPr>
                <w:color w:val="000000" w:themeColor="text1"/>
                <w:spacing w:val="0"/>
                <w:lang w:eastAsia="zh-CN"/>
                <w14:textFill>
                  <w14:solidFill>
                    <w14:schemeClr w14:val="tx1"/>
                  </w14:solidFill>
                </w14:textFill>
              </w:rPr>
            </w:pPr>
          </w:p>
          <w:p w14:paraId="190C3AA5">
            <w:pPr>
              <w:pStyle w:val="36"/>
              <w:widowControl/>
              <w:spacing w:line="240" w:lineRule="auto"/>
              <w:ind w:firstLine="0" w:firstLineChars="0"/>
              <w:rPr>
                <w:color w:val="000000" w:themeColor="text1"/>
                <w:spacing w:val="0"/>
                <w:lang w:eastAsia="zh-CN"/>
                <w14:textFill>
                  <w14:solidFill>
                    <w14:schemeClr w14:val="tx1"/>
                  </w14:solidFill>
                </w14:textFill>
              </w:rPr>
            </w:pPr>
          </w:p>
          <w:p w14:paraId="014E4F82">
            <w:pPr>
              <w:pStyle w:val="36"/>
              <w:widowControl/>
              <w:spacing w:line="240" w:lineRule="auto"/>
              <w:ind w:firstLine="0" w:firstLineChars="0"/>
              <w:rPr>
                <w:color w:val="000000" w:themeColor="text1"/>
                <w:spacing w:val="0"/>
                <w:lang w:eastAsia="zh-CN"/>
                <w14:textFill>
                  <w14:solidFill>
                    <w14:schemeClr w14:val="tx1"/>
                  </w14:solidFill>
                </w14:textFill>
              </w:rPr>
            </w:pPr>
          </w:p>
          <w:p w14:paraId="0A3F88F0">
            <w:pPr>
              <w:pStyle w:val="36"/>
              <w:widowControl/>
              <w:spacing w:line="240" w:lineRule="auto"/>
              <w:ind w:firstLine="0" w:firstLineChars="0"/>
              <w:jc w:val="center"/>
              <w:rPr>
                <w:color w:val="000000" w:themeColor="text1"/>
                <w:spacing w:val="0"/>
                <w:lang w:eastAsia="zh-CN"/>
                <w14:textFill>
                  <w14:solidFill>
                    <w14:schemeClr w14:val="tx1"/>
                  </w14:solidFill>
                </w14:textFill>
              </w:rPr>
            </w:pPr>
            <w:r>
              <w:rPr>
                <w:highlight w:val="green"/>
              </w:rPr>
              <w:drawing>
                <wp:inline distT="0" distB="0" distL="114300" distR="114300">
                  <wp:extent cx="5177790" cy="3329940"/>
                  <wp:effectExtent l="0" t="0" r="3810"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7"/>
                          <a:stretch>
                            <a:fillRect/>
                          </a:stretch>
                        </pic:blipFill>
                        <pic:spPr>
                          <a:xfrm>
                            <a:off x="0" y="0"/>
                            <a:ext cx="5227147" cy="3361581"/>
                          </a:xfrm>
                          <a:prstGeom prst="rect">
                            <a:avLst/>
                          </a:prstGeom>
                          <a:noFill/>
                          <a:ln>
                            <a:noFill/>
                          </a:ln>
                        </pic:spPr>
                      </pic:pic>
                    </a:graphicData>
                  </a:graphic>
                </wp:inline>
              </w:drawing>
            </w:r>
          </w:p>
          <w:p w14:paraId="226ABDA3">
            <w:pPr>
              <w:pStyle w:val="36"/>
              <w:widowControl/>
              <w:spacing w:line="240" w:lineRule="auto"/>
              <w:ind w:firstLine="0" w:firstLineChars="0"/>
              <w:jc w:val="center"/>
              <w:rPr>
                <w:b/>
                <w:bCs/>
                <w:spacing w:val="0"/>
                <w:sz w:val="21"/>
                <w:szCs w:val="21"/>
                <w:lang w:eastAsia="zh-CN"/>
              </w:rPr>
            </w:pPr>
            <w:r>
              <w:rPr>
                <w:b/>
                <w:bCs/>
                <w:spacing w:val="0"/>
                <w:sz w:val="21"/>
                <w:szCs w:val="21"/>
                <w:lang w:eastAsia="zh-CN"/>
              </w:rPr>
              <w:t>图</w:t>
            </w:r>
            <w:r>
              <w:rPr>
                <w:rFonts w:hint="eastAsia"/>
                <w:b/>
                <w:bCs/>
                <w:spacing w:val="0"/>
                <w:sz w:val="21"/>
                <w:szCs w:val="21"/>
                <w:lang w:eastAsia="zh-CN"/>
              </w:rPr>
              <w:t>4</w:t>
            </w:r>
            <w:r>
              <w:rPr>
                <w:b/>
                <w:bCs/>
                <w:spacing w:val="0"/>
                <w:sz w:val="21"/>
                <w:szCs w:val="21"/>
                <w:lang w:eastAsia="zh-CN"/>
              </w:rPr>
              <w:t>-</w:t>
            </w:r>
            <w:r>
              <w:rPr>
                <w:rFonts w:hint="eastAsia"/>
                <w:b/>
                <w:bCs/>
                <w:spacing w:val="0"/>
                <w:sz w:val="21"/>
                <w:szCs w:val="21"/>
                <w:lang w:eastAsia="zh-CN"/>
              </w:rPr>
              <w:t>3</w:t>
            </w:r>
            <w:r>
              <w:rPr>
                <w:b/>
                <w:bCs/>
                <w:spacing w:val="0"/>
                <w:sz w:val="21"/>
                <w:szCs w:val="21"/>
                <w:lang w:eastAsia="zh-CN"/>
              </w:rPr>
              <w:t xml:space="preserve"> </w:t>
            </w:r>
            <w:r>
              <w:rPr>
                <w:rFonts w:hint="eastAsia"/>
                <w:b/>
                <w:bCs/>
                <w:spacing w:val="0"/>
                <w:sz w:val="21"/>
                <w:szCs w:val="21"/>
                <w:lang w:eastAsia="zh-CN"/>
              </w:rPr>
              <w:t>项目肉羊屠宰车间噪声预测图</w:t>
            </w:r>
          </w:p>
          <w:p w14:paraId="30018EE0">
            <w:pPr>
              <w:pStyle w:val="36"/>
              <w:widowControl/>
              <w:spacing w:line="240" w:lineRule="auto"/>
              <w:ind w:firstLine="0" w:firstLineChars="0"/>
              <w:rPr>
                <w:b/>
                <w:bCs/>
                <w:spacing w:val="0"/>
                <w:sz w:val="21"/>
                <w:szCs w:val="21"/>
                <w:lang w:eastAsia="zh-CN"/>
              </w:rPr>
            </w:pPr>
          </w:p>
          <w:p w14:paraId="5656C8BA">
            <w:pPr>
              <w:pStyle w:val="36"/>
              <w:widowControl/>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由表</w:t>
            </w:r>
            <w:r>
              <w:rPr>
                <w:color w:val="000000" w:themeColor="text1"/>
                <w:spacing w:val="0"/>
                <w:lang w:eastAsia="zh-CN"/>
                <w14:textFill>
                  <w14:solidFill>
                    <w14:schemeClr w14:val="tx1"/>
                  </w14:solidFill>
                </w14:textFill>
              </w:rPr>
              <w:t>4-</w:t>
            </w:r>
            <w:r>
              <w:rPr>
                <w:rFonts w:hint="eastAsia"/>
                <w:color w:val="000000" w:themeColor="text1"/>
                <w:spacing w:val="0"/>
                <w:lang w:eastAsia="zh-CN"/>
                <w14:textFill>
                  <w14:solidFill>
                    <w14:schemeClr w14:val="tx1"/>
                  </w14:solidFill>
                </w14:textFill>
              </w:rPr>
              <w:t>8、图4-3可知，运营期肉羊屠宰车间厂界噪声可达《工业企业厂界环境噪声排放标准》（</w:t>
            </w:r>
            <w:r>
              <w:rPr>
                <w:color w:val="000000" w:themeColor="text1"/>
                <w:spacing w:val="0"/>
                <w:lang w:eastAsia="zh-CN"/>
                <w14:textFill>
                  <w14:solidFill>
                    <w14:schemeClr w14:val="tx1"/>
                  </w14:solidFill>
                </w14:textFill>
              </w:rPr>
              <w:t>GB12348-2008</w:t>
            </w:r>
            <w:r>
              <w:rPr>
                <w:rFonts w:hint="eastAsia"/>
                <w:color w:val="000000" w:themeColor="text1"/>
                <w:spacing w:val="0"/>
                <w:lang w:eastAsia="zh-CN"/>
                <w14:textFill>
                  <w14:solidFill>
                    <w14:schemeClr w14:val="tx1"/>
                  </w14:solidFill>
                </w14:textFill>
              </w:rPr>
              <w:t>）</w:t>
            </w:r>
            <w:r>
              <w:rPr>
                <w:color w:val="000000" w:themeColor="text1"/>
                <w:spacing w:val="0"/>
                <w:lang w:eastAsia="zh-CN"/>
                <w14:textFill>
                  <w14:solidFill>
                    <w14:schemeClr w14:val="tx1"/>
                  </w14:solidFill>
                </w14:textFill>
              </w:rPr>
              <w:t>2</w:t>
            </w:r>
            <w:r>
              <w:rPr>
                <w:rFonts w:hint="eastAsia"/>
                <w:color w:val="000000" w:themeColor="text1"/>
                <w:spacing w:val="0"/>
                <w:lang w:eastAsia="zh-CN"/>
                <w14:textFill>
                  <w14:solidFill>
                    <w14:schemeClr w14:val="tx1"/>
                  </w14:solidFill>
                </w14:textFill>
              </w:rPr>
              <w:t>类昼间标准。肉羊屠宰车间外50m范围内无声环境保护目标，车间噪声不会对声环境质量产生明显影响。</w:t>
            </w:r>
          </w:p>
          <w:p w14:paraId="7E2565F5">
            <w:pPr>
              <w:pStyle w:val="36"/>
              <w:ind w:firstLine="482"/>
              <w:jc w:val="left"/>
              <w:rPr>
                <w:b/>
                <w:color w:val="000000" w:themeColor="text1"/>
                <w:spacing w:val="0"/>
                <w:lang w:eastAsia="zh-CN"/>
                <w14:textFill>
                  <w14:solidFill>
                    <w14:schemeClr w14:val="tx1"/>
                  </w14:solidFill>
                </w14:textFill>
              </w:rPr>
            </w:pPr>
            <w:r>
              <w:rPr>
                <w:rFonts w:hint="eastAsia"/>
                <w:b/>
                <w:color w:val="000000" w:themeColor="text1"/>
                <w:spacing w:val="0"/>
                <w:lang w:eastAsia="zh-CN"/>
                <w14:textFill>
                  <w14:solidFill>
                    <w14:schemeClr w14:val="tx1"/>
                  </w14:solidFill>
                </w14:textFill>
              </w:rPr>
              <w:t>（3）噪声防治措施可行性分析</w:t>
            </w:r>
          </w:p>
          <w:p w14:paraId="7BC55ED6">
            <w:pPr>
              <w:pStyle w:val="36"/>
              <w:widowControl/>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为减缓车间运营噪声对外环境的影响，提出下列措施：</w:t>
            </w:r>
          </w:p>
          <w:p w14:paraId="542535A6">
            <w:pPr>
              <w:pStyle w:val="36"/>
              <w:widowControl/>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1）选购噪声排放满足要求的脱毛机和其他机械、设备。</w:t>
            </w:r>
          </w:p>
          <w:p w14:paraId="56584471">
            <w:pPr>
              <w:pStyle w:val="36"/>
              <w:widowControl/>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2）加强机械、设备的运维管护，确保其稳定正常运行。</w:t>
            </w:r>
          </w:p>
          <w:p w14:paraId="63F22FED">
            <w:pPr>
              <w:pStyle w:val="36"/>
              <w:widowControl/>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3）机械、设备下方加装减振垫，采用基础减振措施。</w:t>
            </w:r>
          </w:p>
          <w:p w14:paraId="6AE19623">
            <w:pPr>
              <w:pStyle w:val="36"/>
              <w:widowControl/>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上述噪声防治措施技术成熟，降噪效果较好，投资较少，是可行的措施。</w:t>
            </w:r>
          </w:p>
          <w:p w14:paraId="6B49ADB4">
            <w:pPr>
              <w:pStyle w:val="36"/>
              <w:ind w:firstLine="482"/>
              <w:jc w:val="left"/>
              <w:rPr>
                <w:b/>
                <w:color w:val="000000" w:themeColor="text1"/>
                <w:spacing w:val="0"/>
                <w:lang w:eastAsia="zh-CN"/>
                <w14:textFill>
                  <w14:solidFill>
                    <w14:schemeClr w14:val="tx1"/>
                  </w14:solidFill>
                </w14:textFill>
              </w:rPr>
            </w:pPr>
            <w:r>
              <w:rPr>
                <w:rFonts w:hint="eastAsia"/>
                <w:b/>
                <w:color w:val="000000" w:themeColor="text1"/>
                <w:spacing w:val="0"/>
                <w:lang w:eastAsia="zh-CN"/>
                <w14:textFill>
                  <w14:solidFill>
                    <w14:schemeClr w14:val="tx1"/>
                  </w14:solidFill>
                </w14:textFill>
              </w:rPr>
              <w:t>（4）环境监测</w:t>
            </w:r>
          </w:p>
          <w:p w14:paraId="2665CAE7">
            <w:pPr>
              <w:pStyle w:val="36"/>
              <w:ind w:firstLine="480"/>
              <w:rPr>
                <w:spacing w:val="0"/>
                <w:lang w:eastAsia="zh-CN"/>
              </w:rPr>
            </w:pPr>
            <w:r>
              <w:rPr>
                <w:rFonts w:hint="eastAsia"/>
                <w:color w:val="000000" w:themeColor="text1"/>
                <w:spacing w:val="0"/>
                <w:lang w:eastAsia="zh-CN"/>
                <w14:textFill>
                  <w14:solidFill>
                    <w14:schemeClr w14:val="tx1"/>
                  </w14:solidFill>
                </w14:textFill>
              </w:rPr>
              <w:t>根据</w:t>
            </w:r>
            <w:r>
              <w:rPr>
                <w:rFonts w:hint="eastAsia"/>
                <w:spacing w:val="0"/>
                <w:lang w:eastAsia="zh-CN"/>
              </w:rPr>
              <w:t>《排污单位自行监测技术指南 总则》（HJ 819-2017），拟定项目噪声自行监测方案如下表。</w:t>
            </w:r>
          </w:p>
          <w:p w14:paraId="2A25B98A">
            <w:pPr>
              <w:pStyle w:val="36"/>
              <w:spacing w:line="240" w:lineRule="auto"/>
              <w:ind w:firstLine="0" w:firstLineChars="0"/>
              <w:jc w:val="center"/>
              <w:rPr>
                <w:b/>
                <w:bCs/>
                <w:color w:val="000000" w:themeColor="text1"/>
                <w:spacing w:val="0"/>
                <w:sz w:val="21"/>
                <w:szCs w:val="21"/>
                <w:lang w:eastAsia="zh-CN"/>
                <w14:textFill>
                  <w14:solidFill>
                    <w14:schemeClr w14:val="tx1"/>
                  </w14:solidFill>
                </w14:textFill>
              </w:rPr>
            </w:pPr>
            <w:r>
              <w:rPr>
                <w:rFonts w:hint="eastAsia"/>
                <w:b/>
                <w:bCs/>
                <w:color w:val="000000" w:themeColor="text1"/>
                <w:spacing w:val="0"/>
                <w:sz w:val="21"/>
                <w:szCs w:val="21"/>
                <w:lang w:eastAsia="zh-CN"/>
                <w14:textFill>
                  <w14:solidFill>
                    <w14:schemeClr w14:val="tx1"/>
                  </w14:solidFill>
                </w14:textFill>
              </w:rPr>
              <w:t>表</w:t>
            </w:r>
            <w:r>
              <w:rPr>
                <w:b/>
                <w:bCs/>
                <w:color w:val="000000" w:themeColor="text1"/>
                <w:spacing w:val="0"/>
                <w:sz w:val="21"/>
                <w:szCs w:val="21"/>
                <w:lang w:eastAsia="zh-CN"/>
                <w14:textFill>
                  <w14:solidFill>
                    <w14:schemeClr w14:val="tx1"/>
                  </w14:solidFill>
                </w14:textFill>
              </w:rPr>
              <w:t>4-</w:t>
            </w:r>
            <w:r>
              <w:rPr>
                <w:rFonts w:hint="eastAsia"/>
                <w:b/>
                <w:bCs/>
                <w:color w:val="000000" w:themeColor="text1"/>
                <w:spacing w:val="0"/>
                <w:sz w:val="21"/>
                <w:szCs w:val="21"/>
                <w:lang w:eastAsia="zh-CN"/>
                <w14:textFill>
                  <w14:solidFill>
                    <w14:schemeClr w14:val="tx1"/>
                  </w14:solidFill>
                </w14:textFill>
              </w:rPr>
              <w:t>9 项目噪声自行监测方案表</w:t>
            </w:r>
          </w:p>
          <w:tbl>
            <w:tblPr>
              <w:tblStyle w:val="22"/>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3"/>
              <w:gridCol w:w="3403"/>
              <w:gridCol w:w="2104"/>
            </w:tblGrid>
            <w:tr w14:paraId="5668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62" w:type="pct"/>
                  <w:vAlign w:val="center"/>
                </w:tcPr>
                <w:p w14:paraId="044BB0C3">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监测点位</w:t>
                  </w:r>
                </w:p>
              </w:tc>
              <w:tc>
                <w:tcPr>
                  <w:tcW w:w="2062" w:type="pct"/>
                  <w:vAlign w:val="center"/>
                </w:tcPr>
                <w:p w14:paraId="66C8E335">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w:t>
                  </w:r>
                  <w:r>
                    <w:rPr>
                      <w:rFonts w:hint="eastAsia"/>
                      <w:b/>
                      <w:bCs/>
                      <w:color w:val="000000" w:themeColor="text1"/>
                      <w:kern w:val="0"/>
                      <w:szCs w:val="21"/>
                      <w14:textFill>
                        <w14:solidFill>
                          <w14:schemeClr w14:val="tx1"/>
                        </w14:solidFill>
                      </w14:textFill>
                    </w:rPr>
                    <w:t>指标</w:t>
                  </w:r>
                </w:p>
              </w:tc>
              <w:tc>
                <w:tcPr>
                  <w:tcW w:w="1275" w:type="pct"/>
                  <w:vAlign w:val="center"/>
                </w:tcPr>
                <w:p w14:paraId="43C15533">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监测频次</w:t>
                  </w:r>
                </w:p>
              </w:tc>
            </w:tr>
            <w:tr w14:paraId="34CD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62" w:type="pct"/>
                  <w:vAlign w:val="center"/>
                </w:tcPr>
                <w:p w14:paraId="076229C7">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zh-CN"/>
                      <w14:textFill>
                        <w14:solidFill>
                          <w14:schemeClr w14:val="tx1"/>
                        </w14:solidFill>
                      </w14:textFill>
                    </w:rPr>
                    <w:t>肉羊屠宰加工车间</w:t>
                  </w:r>
                  <w:r>
                    <w:rPr>
                      <w:color w:val="000000" w:themeColor="text1"/>
                      <w:kern w:val="0"/>
                      <w:szCs w:val="21"/>
                      <w:lang w:val="zh-CN"/>
                      <w14:textFill>
                        <w14:solidFill>
                          <w14:schemeClr w14:val="tx1"/>
                        </w14:solidFill>
                      </w14:textFill>
                    </w:rPr>
                    <w:t>厂界</w:t>
                  </w:r>
                </w:p>
              </w:tc>
              <w:tc>
                <w:tcPr>
                  <w:tcW w:w="2062" w:type="pct"/>
                  <w:vAlign w:val="center"/>
                </w:tcPr>
                <w:p w14:paraId="5BE97362">
                  <w:pPr>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14:textFill>
                        <w14:solidFill>
                          <w14:schemeClr w14:val="tx1"/>
                        </w14:solidFill>
                      </w14:textFill>
                    </w:rPr>
                    <w:t>等效连续A声级</w:t>
                  </w:r>
                </w:p>
              </w:tc>
              <w:tc>
                <w:tcPr>
                  <w:tcW w:w="1275" w:type="pct"/>
                  <w:vAlign w:val="center"/>
                </w:tcPr>
                <w:p w14:paraId="25FC6A5E">
                  <w:pPr>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14:textFill>
                        <w14:solidFill>
                          <w14:schemeClr w14:val="tx1"/>
                        </w14:solidFill>
                      </w14:textFill>
                    </w:rPr>
                    <w:t>1次/季度</w:t>
                  </w:r>
                </w:p>
              </w:tc>
            </w:tr>
          </w:tbl>
          <w:p w14:paraId="39643F1C">
            <w:pPr>
              <w:widowControl/>
              <w:rPr>
                <w:color w:val="000000" w:themeColor="text1"/>
                <w:kern w:val="0"/>
                <w:sz w:val="24"/>
                <w:lang w:bidi="ar"/>
                <w14:textFill>
                  <w14:solidFill>
                    <w14:schemeClr w14:val="tx1"/>
                  </w14:solidFill>
                </w14:textFill>
              </w:rPr>
            </w:pPr>
          </w:p>
          <w:p w14:paraId="2D23A2BD">
            <w:pPr>
              <w:widowControl/>
              <w:rPr>
                <w:color w:val="000000" w:themeColor="text1"/>
                <w:kern w:val="0"/>
                <w:sz w:val="24"/>
                <w:lang w:bidi="ar"/>
                <w14:textFill>
                  <w14:solidFill>
                    <w14:schemeClr w14:val="tx1"/>
                  </w14:solidFill>
                </w14:textFill>
              </w:rPr>
            </w:pPr>
          </w:p>
          <w:p w14:paraId="2FCFF51A">
            <w:pPr>
              <w:widowControl/>
              <w:rPr>
                <w:color w:val="000000" w:themeColor="text1"/>
                <w:kern w:val="0"/>
                <w:sz w:val="24"/>
                <w:lang w:bidi="ar"/>
                <w14:textFill>
                  <w14:solidFill>
                    <w14:schemeClr w14:val="tx1"/>
                  </w14:solidFill>
                </w14:textFill>
              </w:rPr>
            </w:pPr>
          </w:p>
          <w:p w14:paraId="413A7BF7">
            <w:pPr>
              <w:widowControl/>
              <w:spacing w:line="360" w:lineRule="auto"/>
              <w:jc w:val="left"/>
              <w:rPr>
                <w:b/>
                <w:bCs/>
                <w:color w:val="000000" w:themeColor="text1"/>
                <w:kern w:val="0"/>
                <w:sz w:val="28"/>
                <w:szCs w:val="28"/>
                <w:lang w:bidi="ar"/>
                <w14:textFill>
                  <w14:solidFill>
                    <w14:schemeClr w14:val="tx1"/>
                  </w14:solidFill>
                </w14:textFill>
              </w:rPr>
            </w:pPr>
            <w:r>
              <w:rPr>
                <w:b/>
                <w:bCs/>
                <w:color w:val="000000" w:themeColor="text1"/>
                <w:kern w:val="0"/>
                <w:sz w:val="28"/>
                <w:szCs w:val="28"/>
                <w:lang w:bidi="ar"/>
                <w14:textFill>
                  <w14:solidFill>
                    <w14:schemeClr w14:val="tx1"/>
                  </w14:solidFill>
                </w14:textFill>
              </w:rPr>
              <w:t>4</w:t>
            </w:r>
            <w:r>
              <w:rPr>
                <w:rFonts w:hint="eastAsia"/>
                <w:b/>
                <w:bCs/>
                <w:color w:val="000000" w:themeColor="text1"/>
                <w:kern w:val="0"/>
                <w:sz w:val="28"/>
                <w:szCs w:val="28"/>
                <w:lang w:bidi="ar"/>
                <w14:textFill>
                  <w14:solidFill>
                    <w14:schemeClr w14:val="tx1"/>
                  </w14:solidFill>
                </w14:textFill>
              </w:rPr>
              <w:t>、固体废物</w:t>
            </w:r>
          </w:p>
          <w:p w14:paraId="7BB2879F">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运营期，项目固体废物分为一般固体废物和危险废物。一般固体废物主要为待宰圈、屠宰车间粪便及屠宰废弃组织，病死肉羊，废水处理站污泥，厂区人员生活垃圾。危险废物为</w:t>
            </w:r>
            <w:r>
              <w:rPr>
                <w:rFonts w:hint="eastAsia"/>
                <w:color w:val="000000"/>
                <w:spacing w:val="0"/>
                <w:lang w:eastAsia="zh-CN"/>
              </w:rPr>
              <w:t>厂区机械、设备日常检修维护产生的废机油。</w:t>
            </w:r>
          </w:p>
          <w:p w14:paraId="0B09D740">
            <w:pPr>
              <w:pStyle w:val="36"/>
              <w:ind w:firstLine="482"/>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（1）一般固体废物</w:t>
            </w:r>
          </w:p>
          <w:p w14:paraId="365D7EFE">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1）待宰圈、屠宰车间粪便</w:t>
            </w:r>
          </w:p>
          <w:p w14:paraId="12548B5F">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待宰圈、屠宰过程产生羊粪便，羊粪便以有机物为主，含大量氮磷成分。粪便若不及时收集处理，将产生恶臭气体，滋生细菌、蚊虫，对环境造成影响。</w:t>
            </w:r>
          </w:p>
          <w:p w14:paraId="6B9410DC">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按项目达产时，每天屠宰肉羊143只，每只产生粪便1kg计，则羊粪便产生量约143kg/d，50t/a。羊粪便及时</w:t>
            </w:r>
            <w:r>
              <w:rPr>
                <w:rFonts w:hint="eastAsia"/>
                <w:spacing w:val="0"/>
                <w:kern w:val="0"/>
                <w:szCs w:val="21"/>
                <w:lang w:eastAsia="zh-CN" w:bidi="ar"/>
              </w:rPr>
              <w:t>收集至粪便临时堆场，清运用作农肥。</w:t>
            </w:r>
          </w:p>
          <w:p w14:paraId="139368BA">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2）屠宰废弃组织</w:t>
            </w:r>
          </w:p>
          <w:p w14:paraId="5D2F91A1">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屠宰过程将产生废弃生物组织，废弃组织若不及时收集处理，将腐化滋生细菌、蚊虫，对环境造成影响。</w:t>
            </w:r>
          </w:p>
          <w:p w14:paraId="4F4B071B">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根据</w:t>
            </w:r>
            <w:r>
              <w:rPr>
                <w:rFonts w:cs="Times New Roman"/>
                <w:spacing w:val="0"/>
                <w:lang w:eastAsia="zh-CN"/>
              </w:rPr>
              <w:t>《</w:t>
            </w:r>
            <w:r>
              <w:rPr>
                <w:rFonts w:hint="eastAsia" w:cs="Times New Roman"/>
                <w:spacing w:val="0"/>
                <w:lang w:eastAsia="zh-CN"/>
              </w:rPr>
              <w:t xml:space="preserve">排放源统计调查产排污核算方法和系数手册 </w:t>
            </w:r>
            <w:r>
              <w:rPr>
                <w:rFonts w:cs="Times New Roman"/>
                <w:spacing w:val="0"/>
                <w:lang w:eastAsia="zh-CN"/>
              </w:rPr>
              <w:t>屠宰及肉类加工行业系数手册》</w:t>
            </w:r>
            <w:r>
              <w:rPr>
                <w:rFonts w:hint="eastAsia" w:cs="Times New Roman"/>
                <w:spacing w:val="0"/>
                <w:lang w:eastAsia="zh-CN"/>
              </w:rPr>
              <w:t>，</w:t>
            </w:r>
            <w:r>
              <w:rPr>
                <w:rFonts w:hint="eastAsia"/>
                <w:color w:val="000000" w:themeColor="text1"/>
                <w:spacing w:val="0"/>
                <w:lang w:eastAsia="zh-CN"/>
                <w14:textFill>
                  <w14:solidFill>
                    <w14:schemeClr w14:val="tx1"/>
                  </w14:solidFill>
                </w14:textFill>
              </w:rPr>
              <w:t>按项目达产时，每天屠宰肉羊143只，每只产生废弃组织4.9kg计，则废弃组织产生量约700kg/d，245t/a。</w:t>
            </w:r>
            <w:r>
              <w:rPr>
                <w:rFonts w:hint="eastAsia"/>
                <w:spacing w:val="0"/>
                <w:kern w:val="0"/>
                <w:szCs w:val="21"/>
                <w:lang w:eastAsia="zh-CN" w:bidi="ar"/>
              </w:rPr>
              <w:t>废弃组织及时收集暂存于冷库，委托石林鑫欣桥环保科技有限公司无害化处置。</w:t>
            </w:r>
          </w:p>
          <w:p w14:paraId="38201BC2">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3）病死肉羊</w:t>
            </w:r>
          </w:p>
          <w:p w14:paraId="0DFDE750">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肉羊仅在待宰圈内短期停留，出现病死的情况和数量较少。病死肉羊若不及时收集处理，将腐化滋生细菌、蚊虫，对环境造成影响。项目病死肉羊及时清理暂存于冷库，委托石林鑫欣桥环保科技有限公司无害化处理。</w:t>
            </w:r>
          </w:p>
          <w:p w14:paraId="40BA20EA">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4）废水处理站污泥</w:t>
            </w:r>
          </w:p>
          <w:p w14:paraId="76F9D84E">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根据《屠宰与肉类加工废水治理工程技术规范》（HJ 2004-2010），废水处理站污泥量（DS/BOD</w:t>
            </w:r>
            <w:r>
              <w:rPr>
                <w:rFonts w:hint="eastAsia"/>
                <w:color w:val="000000" w:themeColor="text1"/>
                <w:spacing w:val="0"/>
                <w:vertAlign w:val="subscript"/>
                <w:lang w:eastAsia="zh-CN"/>
                <w14:textFill>
                  <w14:solidFill>
                    <w14:schemeClr w14:val="tx1"/>
                  </w14:solidFill>
                </w14:textFill>
              </w:rPr>
              <w:t>5</w:t>
            </w:r>
            <w:r>
              <w:rPr>
                <w:rFonts w:hint="eastAsia"/>
                <w:color w:val="000000" w:themeColor="text1"/>
                <w:spacing w:val="0"/>
                <w:lang w:eastAsia="zh-CN"/>
                <w14:textFill>
                  <w14:solidFill>
                    <w14:schemeClr w14:val="tx1"/>
                  </w14:solidFill>
                </w14:textFill>
              </w:rPr>
              <w:t>）一般可按0.3-0.5kg/kg，污泥含水率99.3%-99.4%，脱水后污泥含水率应小于80%。</w:t>
            </w:r>
          </w:p>
          <w:p w14:paraId="69EC2E88">
            <w:pPr>
              <w:pStyle w:val="36"/>
              <w:ind w:firstLine="480"/>
              <w:rPr>
                <w:spacing w:val="0"/>
                <w:lang w:eastAsia="zh-CN"/>
              </w:rPr>
            </w:pPr>
            <w:r>
              <w:rPr>
                <w:rFonts w:hint="eastAsia"/>
                <w:spacing w:val="0"/>
                <w:lang w:eastAsia="zh-CN"/>
              </w:rPr>
              <w:t>按项目达产时，废水BOD</w:t>
            </w:r>
            <w:r>
              <w:rPr>
                <w:rFonts w:hint="eastAsia"/>
                <w:spacing w:val="0"/>
                <w:vertAlign w:val="subscript"/>
                <w:lang w:eastAsia="zh-CN"/>
              </w:rPr>
              <w:t>5</w:t>
            </w:r>
            <w:r>
              <w:rPr>
                <w:rFonts w:hint="eastAsia"/>
                <w:spacing w:val="0"/>
                <w:lang w:eastAsia="zh-CN"/>
              </w:rPr>
              <w:t>产生量14.15t/a，污泥量（DS/BOD</w:t>
            </w:r>
            <w:r>
              <w:rPr>
                <w:rFonts w:hint="eastAsia"/>
                <w:spacing w:val="0"/>
                <w:vertAlign w:val="subscript"/>
                <w:lang w:eastAsia="zh-CN"/>
              </w:rPr>
              <w:t>5</w:t>
            </w:r>
            <w:r>
              <w:rPr>
                <w:rFonts w:hint="eastAsia"/>
                <w:spacing w:val="0"/>
                <w:lang w:eastAsia="zh-CN"/>
              </w:rPr>
              <w:t>）0.4kg/kg计，则折算为含水率80%的污泥量为7.7kg/d，2.7t/a。污泥收集至</w:t>
            </w:r>
            <w:r>
              <w:rPr>
                <w:rFonts w:hint="eastAsia"/>
                <w:spacing w:val="0"/>
                <w:kern w:val="0"/>
                <w:szCs w:val="21"/>
                <w:lang w:eastAsia="zh-CN" w:bidi="ar"/>
              </w:rPr>
              <w:t>粪便临时堆场，</w:t>
            </w:r>
            <w:r>
              <w:rPr>
                <w:rFonts w:hint="eastAsia"/>
                <w:spacing w:val="0"/>
                <w:lang w:eastAsia="zh-CN"/>
              </w:rPr>
              <w:t>与粪便一起清运用作农肥。</w:t>
            </w:r>
          </w:p>
          <w:p w14:paraId="24C1FD89">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5）生活垃圾</w:t>
            </w:r>
          </w:p>
          <w:p w14:paraId="7A408B15">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项目达产后，无新增定员，按</w:t>
            </w:r>
            <w:r>
              <w:rPr>
                <w:color w:val="000000" w:themeColor="text1"/>
                <w:spacing w:val="0"/>
                <w:lang w:eastAsia="zh-CN"/>
                <w14:textFill>
                  <w14:solidFill>
                    <w14:schemeClr w14:val="tx1"/>
                  </w14:solidFill>
                </w14:textFill>
              </w:rPr>
              <w:t>劳动定员</w:t>
            </w:r>
            <w:r>
              <w:rPr>
                <w:rFonts w:hint="eastAsia"/>
                <w:color w:val="000000" w:themeColor="text1"/>
                <w:spacing w:val="0"/>
                <w:lang w:eastAsia="zh-CN"/>
                <w14:textFill>
                  <w14:solidFill>
                    <w14:schemeClr w14:val="tx1"/>
                  </w14:solidFill>
                </w14:textFill>
              </w:rPr>
              <w:t>95</w:t>
            </w:r>
            <w:r>
              <w:rPr>
                <w:color w:val="000000" w:themeColor="text1"/>
                <w:spacing w:val="0"/>
                <w:lang w:eastAsia="zh-CN"/>
                <w14:textFill>
                  <w14:solidFill>
                    <w14:schemeClr w14:val="tx1"/>
                  </w14:solidFill>
                </w14:textFill>
              </w:rPr>
              <w:t>人，年工作3</w:t>
            </w:r>
            <w:r>
              <w:rPr>
                <w:rFonts w:hint="eastAsia"/>
                <w:color w:val="000000" w:themeColor="text1"/>
                <w:spacing w:val="0"/>
                <w:lang w:eastAsia="zh-CN"/>
                <w14:textFill>
                  <w14:solidFill>
                    <w14:schemeClr w14:val="tx1"/>
                  </w14:solidFill>
                </w14:textFill>
              </w:rPr>
              <w:t>5</w:t>
            </w:r>
            <w:r>
              <w:rPr>
                <w:color w:val="000000" w:themeColor="text1"/>
                <w:spacing w:val="0"/>
                <w:lang w:eastAsia="zh-CN"/>
                <w14:textFill>
                  <w14:solidFill>
                    <w14:schemeClr w14:val="tx1"/>
                  </w14:solidFill>
                </w14:textFill>
              </w:rPr>
              <w:t>0</w:t>
            </w:r>
            <w:r>
              <w:rPr>
                <w:rFonts w:hint="eastAsia"/>
                <w:color w:val="000000" w:themeColor="text1"/>
                <w:spacing w:val="0"/>
                <w:lang w:eastAsia="zh-CN"/>
                <w14:textFill>
                  <w14:solidFill>
                    <w14:schemeClr w14:val="tx1"/>
                  </w14:solidFill>
                </w14:textFill>
              </w:rPr>
              <w:t>d</w:t>
            </w:r>
            <w:r>
              <w:rPr>
                <w:color w:val="000000" w:themeColor="text1"/>
                <w:spacing w:val="0"/>
                <w:lang w:eastAsia="zh-CN"/>
                <w14:textFill>
                  <w14:solidFill>
                    <w14:schemeClr w14:val="tx1"/>
                  </w14:solidFill>
                </w14:textFill>
              </w:rPr>
              <w:t>，</w:t>
            </w:r>
            <w:r>
              <w:rPr>
                <w:rFonts w:hint="eastAsia"/>
                <w:color w:val="000000" w:themeColor="text1"/>
                <w:spacing w:val="0"/>
                <w:lang w:eastAsia="zh-CN"/>
                <w14:textFill>
                  <w14:solidFill>
                    <w14:schemeClr w14:val="tx1"/>
                  </w14:solidFill>
                </w14:textFill>
              </w:rPr>
              <w:t>每人每天产生生活垃圾1kg计，则生活垃圾产生量为95kg/d，33.3t/a。生活垃圾收集后由环卫部门清运处置。</w:t>
            </w:r>
          </w:p>
          <w:p w14:paraId="192494A6">
            <w:pPr>
              <w:pStyle w:val="36"/>
              <w:ind w:firstLine="482"/>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（2）危险废物</w:t>
            </w:r>
          </w:p>
          <w:p w14:paraId="39CFC09A">
            <w:pPr>
              <w:pStyle w:val="36"/>
              <w:ind w:firstLine="480"/>
              <w:rPr>
                <w:color w:val="000000" w:themeColor="text1"/>
                <w:spacing w:val="0"/>
                <w:kern w:val="0"/>
                <w:szCs w:val="21"/>
                <w:lang w:eastAsia="zh-CN" w:bidi="ar"/>
                <w14:textFill>
                  <w14:solidFill>
                    <w14:schemeClr w14:val="tx1"/>
                  </w14:solidFill>
                </w14:textFill>
              </w:rPr>
            </w:pPr>
            <w:r>
              <w:rPr>
                <w:rFonts w:hint="eastAsia"/>
                <w:color w:val="000000"/>
                <w:spacing w:val="0"/>
                <w:lang w:eastAsia="zh-CN"/>
              </w:rPr>
              <w:t>运营期，项目新增机械、设备日常检修维护产生废机油。废机油量约0.3t/a，</w:t>
            </w:r>
            <w:r>
              <w:rPr>
                <w:rFonts w:hint="eastAsia"/>
                <w:color w:val="000000" w:themeColor="text1"/>
                <w:spacing w:val="0"/>
                <w:kern w:val="0"/>
                <w:szCs w:val="21"/>
                <w:lang w:eastAsia="zh-CN" w:bidi="ar"/>
                <w14:textFill>
                  <w14:solidFill>
                    <w14:schemeClr w14:val="tx1"/>
                  </w14:solidFill>
                </w14:textFill>
              </w:rPr>
              <w:t>收集暂存于现有危废贮存间，委托</w:t>
            </w:r>
            <w:r>
              <w:rPr>
                <w:rFonts w:hint="eastAsia"/>
                <w:color w:val="000000" w:themeColor="text1"/>
                <w:spacing w:val="0"/>
                <w:szCs w:val="21"/>
                <w:lang w:val="zh-CN" w:eastAsia="zh-CN"/>
                <w14:textFill>
                  <w14:solidFill>
                    <w14:schemeClr w14:val="tx1"/>
                  </w14:solidFill>
                </w14:textFill>
              </w:rPr>
              <w:t>云南达济再生资源回收利用有限公司处置。</w:t>
            </w:r>
          </w:p>
          <w:p w14:paraId="721C99DA">
            <w:pPr>
              <w:widowControl/>
              <w:jc w:val="center"/>
              <w:rPr>
                <w:rFonts w:cs="宋体"/>
                <w:b/>
                <w:bCs/>
                <w:color w:val="000000" w:themeColor="text1"/>
                <w:kern w:val="0"/>
                <w:szCs w:val="21"/>
                <w:lang w:bidi="ar"/>
                <w14:textFill>
                  <w14:solidFill>
                    <w14:schemeClr w14:val="tx1"/>
                  </w14:solidFill>
                </w14:textFill>
              </w:rPr>
            </w:pPr>
            <w:r>
              <w:rPr>
                <w:rFonts w:hint="eastAsia" w:cs="宋体"/>
                <w:b/>
                <w:bCs/>
                <w:color w:val="000000" w:themeColor="text1"/>
                <w:kern w:val="0"/>
                <w:szCs w:val="21"/>
                <w:lang w:bidi="ar"/>
                <w14:textFill>
                  <w14:solidFill>
                    <w14:schemeClr w14:val="tx1"/>
                  </w14:solidFill>
                </w14:textFill>
              </w:rPr>
              <w:t>表</w:t>
            </w:r>
            <w:r>
              <w:rPr>
                <w:b/>
                <w:bCs/>
                <w:color w:val="000000" w:themeColor="text1"/>
                <w:kern w:val="0"/>
                <w:szCs w:val="21"/>
                <w:lang w:bidi="ar"/>
                <w14:textFill>
                  <w14:solidFill>
                    <w14:schemeClr w14:val="tx1"/>
                  </w14:solidFill>
                </w14:textFill>
              </w:rPr>
              <w:t>4-</w:t>
            </w:r>
            <w:r>
              <w:rPr>
                <w:rFonts w:hint="eastAsia"/>
                <w:b/>
                <w:bCs/>
                <w:color w:val="000000" w:themeColor="text1"/>
                <w:kern w:val="0"/>
                <w:szCs w:val="21"/>
                <w:lang w:bidi="ar"/>
                <w14:textFill>
                  <w14:solidFill>
                    <w14:schemeClr w14:val="tx1"/>
                  </w14:solidFill>
                </w14:textFill>
              </w:rPr>
              <w:t xml:space="preserve">10 </w:t>
            </w:r>
            <w:r>
              <w:rPr>
                <w:rFonts w:hint="eastAsia" w:cs="宋体"/>
                <w:b/>
                <w:bCs/>
                <w:color w:val="000000" w:themeColor="text1"/>
                <w:kern w:val="0"/>
                <w:szCs w:val="21"/>
                <w:lang w:bidi="ar"/>
                <w14:textFill>
                  <w14:solidFill>
                    <w14:schemeClr w14:val="tx1"/>
                  </w14:solidFill>
                </w14:textFill>
              </w:rPr>
              <w:t>项目固体废物产生情况表</w:t>
            </w:r>
          </w:p>
          <w:tbl>
            <w:tblPr>
              <w:tblStyle w:val="23"/>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709"/>
              <w:gridCol w:w="1418"/>
              <w:gridCol w:w="850"/>
              <w:gridCol w:w="992"/>
              <w:gridCol w:w="2530"/>
            </w:tblGrid>
            <w:tr w14:paraId="09A6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51" w:type="dxa"/>
                  <w:vAlign w:val="center"/>
                </w:tcPr>
                <w:p w14:paraId="33E15297">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名称</w:t>
                  </w:r>
                </w:p>
              </w:tc>
              <w:tc>
                <w:tcPr>
                  <w:tcW w:w="709" w:type="dxa"/>
                  <w:vAlign w:val="center"/>
                </w:tcPr>
                <w:p w14:paraId="662A46A4">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类别</w:t>
                  </w:r>
                </w:p>
              </w:tc>
              <w:tc>
                <w:tcPr>
                  <w:tcW w:w="1418" w:type="dxa"/>
                  <w:vAlign w:val="center"/>
                </w:tcPr>
                <w:p w14:paraId="7EE4EEF8">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废物代码</w:t>
                  </w:r>
                </w:p>
              </w:tc>
              <w:tc>
                <w:tcPr>
                  <w:tcW w:w="850" w:type="dxa"/>
                  <w:vAlign w:val="center"/>
                </w:tcPr>
                <w:p w14:paraId="2721C86D">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形态</w:t>
                  </w:r>
                </w:p>
              </w:tc>
              <w:tc>
                <w:tcPr>
                  <w:tcW w:w="992" w:type="dxa"/>
                  <w:vAlign w:val="center"/>
                </w:tcPr>
                <w:p w14:paraId="5612C17B">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产生量（t/a）</w:t>
                  </w:r>
                </w:p>
              </w:tc>
              <w:tc>
                <w:tcPr>
                  <w:tcW w:w="2530" w:type="dxa"/>
                  <w:vAlign w:val="center"/>
                </w:tcPr>
                <w:p w14:paraId="28957B41">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处置措施</w:t>
                  </w:r>
                </w:p>
              </w:tc>
            </w:tr>
            <w:tr w14:paraId="5206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751" w:type="dxa"/>
                  <w:vAlign w:val="center"/>
                </w:tcPr>
                <w:p w14:paraId="6419141A">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屠宰废弃组织</w:t>
                  </w:r>
                </w:p>
              </w:tc>
              <w:tc>
                <w:tcPr>
                  <w:tcW w:w="709" w:type="dxa"/>
                  <w:vMerge w:val="restart"/>
                  <w:vAlign w:val="center"/>
                </w:tcPr>
                <w:p w14:paraId="2EDCB0C2">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w:t>
                  </w:r>
                </w:p>
                <w:p w14:paraId="312524EE">
                  <w:pPr>
                    <w:widowControl/>
                    <w:jc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固废</w:t>
                  </w:r>
                </w:p>
              </w:tc>
              <w:tc>
                <w:tcPr>
                  <w:tcW w:w="1418" w:type="dxa"/>
                  <w:vAlign w:val="center"/>
                </w:tcPr>
                <w:p w14:paraId="79067F1F">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030-003-S82</w:t>
                  </w:r>
                </w:p>
              </w:tc>
              <w:tc>
                <w:tcPr>
                  <w:tcW w:w="850" w:type="dxa"/>
                  <w:vAlign w:val="center"/>
                </w:tcPr>
                <w:p w14:paraId="207AFF38">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固态</w:t>
                  </w:r>
                </w:p>
              </w:tc>
              <w:tc>
                <w:tcPr>
                  <w:tcW w:w="992" w:type="dxa"/>
                  <w:vAlign w:val="center"/>
                </w:tcPr>
                <w:p w14:paraId="299DD8B8">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245</w:t>
                  </w:r>
                </w:p>
              </w:tc>
              <w:tc>
                <w:tcPr>
                  <w:tcW w:w="2530" w:type="dxa"/>
                  <w:vMerge w:val="restart"/>
                  <w:vAlign w:val="center"/>
                </w:tcPr>
                <w:p w14:paraId="278FC85D">
                  <w:pPr>
                    <w:widowControl/>
                    <w:jc w:val="center"/>
                    <w:rPr>
                      <w:color w:val="000000" w:themeColor="text1"/>
                      <w:kern w:val="0"/>
                      <w:szCs w:val="21"/>
                      <w:lang w:bidi="ar"/>
                      <w14:textFill>
                        <w14:solidFill>
                          <w14:schemeClr w14:val="tx1"/>
                        </w14:solidFill>
                      </w14:textFill>
                    </w:rPr>
                  </w:pPr>
                  <w:r>
                    <w:rPr>
                      <w:rFonts w:hint="eastAsia"/>
                      <w:kern w:val="0"/>
                      <w:szCs w:val="21"/>
                      <w:lang w:bidi="ar"/>
                    </w:rPr>
                    <w:t>及时</w:t>
                  </w:r>
                  <w:r>
                    <w:rPr>
                      <w:kern w:val="0"/>
                      <w:szCs w:val="21"/>
                      <w:lang w:bidi="ar"/>
                    </w:rPr>
                    <w:t>收集暂存于冷库，委托石林</w:t>
                  </w:r>
                  <w:r>
                    <w:rPr>
                      <w:rFonts w:hint="eastAsia"/>
                      <w:kern w:val="0"/>
                      <w:szCs w:val="21"/>
                      <w:lang w:bidi="ar"/>
                    </w:rPr>
                    <w:t>鑫欣</w:t>
                  </w:r>
                  <w:r>
                    <w:rPr>
                      <w:kern w:val="0"/>
                      <w:szCs w:val="21"/>
                      <w:lang w:bidi="ar"/>
                    </w:rPr>
                    <w:t>桥环保科技有限公司无害化处置</w:t>
                  </w:r>
                </w:p>
              </w:tc>
            </w:tr>
            <w:tr w14:paraId="50C5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51" w:type="dxa"/>
                  <w:vAlign w:val="center"/>
                </w:tcPr>
                <w:p w14:paraId="4F68E3D7">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病死肉羊</w:t>
                  </w:r>
                </w:p>
              </w:tc>
              <w:tc>
                <w:tcPr>
                  <w:tcW w:w="709" w:type="dxa"/>
                  <w:vMerge w:val="continue"/>
                  <w:vAlign w:val="center"/>
                </w:tcPr>
                <w:p w14:paraId="05F999F6">
                  <w:pPr>
                    <w:widowControl/>
                    <w:jc w:val="center"/>
                    <w:rPr>
                      <w:color w:val="000000" w:themeColor="text1"/>
                      <w:kern w:val="0"/>
                      <w:szCs w:val="21"/>
                      <w:lang w:bidi="ar"/>
                      <w14:textFill>
                        <w14:solidFill>
                          <w14:schemeClr w14:val="tx1"/>
                        </w14:solidFill>
                      </w14:textFill>
                    </w:rPr>
                  </w:pPr>
                </w:p>
              </w:tc>
              <w:tc>
                <w:tcPr>
                  <w:tcW w:w="1418" w:type="dxa"/>
                  <w:vAlign w:val="center"/>
                </w:tcPr>
                <w:p w14:paraId="5394173B">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030-002-S82</w:t>
                  </w:r>
                </w:p>
              </w:tc>
              <w:tc>
                <w:tcPr>
                  <w:tcW w:w="850" w:type="dxa"/>
                  <w:vAlign w:val="center"/>
                </w:tcPr>
                <w:p w14:paraId="499C12CA">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固态</w:t>
                  </w:r>
                </w:p>
              </w:tc>
              <w:tc>
                <w:tcPr>
                  <w:tcW w:w="992" w:type="dxa"/>
                  <w:vAlign w:val="center"/>
                </w:tcPr>
                <w:p w14:paraId="0389A16F">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2530" w:type="dxa"/>
                  <w:vMerge w:val="continue"/>
                  <w:vAlign w:val="center"/>
                </w:tcPr>
                <w:p w14:paraId="5202CED4">
                  <w:pPr>
                    <w:widowControl/>
                    <w:jc w:val="center"/>
                    <w:rPr>
                      <w:color w:val="000000" w:themeColor="text1"/>
                      <w:kern w:val="0"/>
                      <w:szCs w:val="21"/>
                      <w:lang w:bidi="ar"/>
                      <w14:textFill>
                        <w14:solidFill>
                          <w14:schemeClr w14:val="tx1"/>
                        </w14:solidFill>
                      </w14:textFill>
                    </w:rPr>
                  </w:pPr>
                </w:p>
              </w:tc>
            </w:tr>
            <w:tr w14:paraId="79E7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51" w:type="dxa"/>
                  <w:vAlign w:val="center"/>
                </w:tcPr>
                <w:p w14:paraId="79D1867D">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肉羊粪便</w:t>
                  </w:r>
                </w:p>
              </w:tc>
              <w:tc>
                <w:tcPr>
                  <w:tcW w:w="709" w:type="dxa"/>
                  <w:vMerge w:val="continue"/>
                  <w:vAlign w:val="center"/>
                </w:tcPr>
                <w:p w14:paraId="76216DE1">
                  <w:pPr>
                    <w:widowControl/>
                    <w:jc w:val="center"/>
                    <w:rPr>
                      <w:color w:val="000000" w:themeColor="text1"/>
                      <w:kern w:val="0"/>
                      <w:szCs w:val="21"/>
                      <w:lang w:bidi="ar"/>
                      <w14:textFill>
                        <w14:solidFill>
                          <w14:schemeClr w14:val="tx1"/>
                        </w14:solidFill>
                      </w14:textFill>
                    </w:rPr>
                  </w:pPr>
                </w:p>
              </w:tc>
              <w:tc>
                <w:tcPr>
                  <w:tcW w:w="1418" w:type="dxa"/>
                  <w:vAlign w:val="center"/>
                </w:tcPr>
                <w:p w14:paraId="7B815655">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030-001-S82</w:t>
                  </w:r>
                </w:p>
              </w:tc>
              <w:tc>
                <w:tcPr>
                  <w:tcW w:w="850" w:type="dxa"/>
                  <w:vAlign w:val="center"/>
                </w:tcPr>
                <w:p w14:paraId="2BD9F5FD">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固态</w:t>
                  </w:r>
                </w:p>
              </w:tc>
              <w:tc>
                <w:tcPr>
                  <w:tcW w:w="992" w:type="dxa"/>
                  <w:vAlign w:val="center"/>
                </w:tcPr>
                <w:p w14:paraId="63BEAF2B">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50</w:t>
                  </w:r>
                </w:p>
              </w:tc>
              <w:tc>
                <w:tcPr>
                  <w:tcW w:w="2530" w:type="dxa"/>
                  <w:vMerge w:val="restart"/>
                  <w:vAlign w:val="center"/>
                </w:tcPr>
                <w:p w14:paraId="2552F0AB">
                  <w:pPr>
                    <w:widowControl/>
                    <w:jc w:val="center"/>
                    <w:rPr>
                      <w:color w:val="000000" w:themeColor="text1"/>
                      <w:kern w:val="0"/>
                      <w:szCs w:val="21"/>
                      <w:lang w:bidi="ar"/>
                      <w14:textFill>
                        <w14:solidFill>
                          <w14:schemeClr w14:val="tx1"/>
                        </w14:solidFill>
                      </w14:textFill>
                    </w:rPr>
                  </w:pPr>
                  <w:r>
                    <w:rPr>
                      <w:kern w:val="0"/>
                      <w:szCs w:val="21"/>
                      <w:lang w:bidi="ar"/>
                    </w:rPr>
                    <w:t>收集至粪便临时堆场，清运用作农肥</w:t>
                  </w:r>
                </w:p>
              </w:tc>
            </w:tr>
            <w:tr w14:paraId="4DC2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51" w:type="dxa"/>
                  <w:vAlign w:val="center"/>
                </w:tcPr>
                <w:p w14:paraId="747D785C">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污水处理站污泥</w:t>
                  </w:r>
                </w:p>
              </w:tc>
              <w:tc>
                <w:tcPr>
                  <w:tcW w:w="709" w:type="dxa"/>
                  <w:vMerge w:val="continue"/>
                  <w:vAlign w:val="center"/>
                </w:tcPr>
                <w:p w14:paraId="0C7F6526">
                  <w:pPr>
                    <w:widowControl/>
                    <w:jc w:val="center"/>
                    <w:rPr>
                      <w:color w:val="000000" w:themeColor="text1"/>
                      <w:kern w:val="0"/>
                      <w:szCs w:val="21"/>
                      <w:lang w:bidi="ar"/>
                      <w14:textFill>
                        <w14:solidFill>
                          <w14:schemeClr w14:val="tx1"/>
                        </w14:solidFill>
                      </w14:textFill>
                    </w:rPr>
                  </w:pPr>
                </w:p>
              </w:tc>
              <w:tc>
                <w:tcPr>
                  <w:tcW w:w="1418" w:type="dxa"/>
                  <w:vAlign w:val="center"/>
                </w:tcPr>
                <w:p w14:paraId="0E5822DF">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135-001-S07</w:t>
                  </w:r>
                </w:p>
              </w:tc>
              <w:tc>
                <w:tcPr>
                  <w:tcW w:w="850" w:type="dxa"/>
                  <w:vAlign w:val="center"/>
                </w:tcPr>
                <w:p w14:paraId="663E8419">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固态</w:t>
                  </w:r>
                </w:p>
              </w:tc>
              <w:tc>
                <w:tcPr>
                  <w:tcW w:w="992" w:type="dxa"/>
                  <w:vAlign w:val="center"/>
                </w:tcPr>
                <w:p w14:paraId="075EB10A">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2.7</w:t>
                  </w:r>
                </w:p>
              </w:tc>
              <w:tc>
                <w:tcPr>
                  <w:tcW w:w="2530" w:type="dxa"/>
                  <w:vMerge w:val="continue"/>
                  <w:vAlign w:val="center"/>
                </w:tcPr>
                <w:p w14:paraId="56BA8D12">
                  <w:pPr>
                    <w:widowControl/>
                    <w:jc w:val="center"/>
                    <w:rPr>
                      <w:color w:val="000000" w:themeColor="text1"/>
                      <w:kern w:val="0"/>
                      <w:szCs w:val="21"/>
                      <w:lang w:bidi="ar"/>
                      <w14:textFill>
                        <w14:solidFill>
                          <w14:schemeClr w14:val="tx1"/>
                        </w14:solidFill>
                      </w14:textFill>
                    </w:rPr>
                  </w:pPr>
                </w:p>
              </w:tc>
            </w:tr>
            <w:tr w14:paraId="1F1F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51" w:type="dxa"/>
                  <w:vAlign w:val="center"/>
                </w:tcPr>
                <w:p w14:paraId="39F0410F">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生活垃圾</w:t>
                  </w:r>
                </w:p>
              </w:tc>
              <w:tc>
                <w:tcPr>
                  <w:tcW w:w="709" w:type="dxa"/>
                  <w:vMerge w:val="continue"/>
                  <w:vAlign w:val="center"/>
                </w:tcPr>
                <w:p w14:paraId="50FCB098">
                  <w:pPr>
                    <w:widowControl/>
                    <w:jc w:val="center"/>
                    <w:rPr>
                      <w:color w:val="000000" w:themeColor="text1"/>
                      <w:kern w:val="0"/>
                      <w:szCs w:val="21"/>
                      <w:lang w:bidi="ar"/>
                      <w14:textFill>
                        <w14:solidFill>
                          <w14:schemeClr w14:val="tx1"/>
                        </w14:solidFill>
                      </w14:textFill>
                    </w:rPr>
                  </w:pPr>
                </w:p>
              </w:tc>
              <w:tc>
                <w:tcPr>
                  <w:tcW w:w="1418" w:type="dxa"/>
                  <w:vAlign w:val="center"/>
                </w:tcPr>
                <w:p w14:paraId="090F9063">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900-002-S61</w:t>
                  </w:r>
                </w:p>
              </w:tc>
              <w:tc>
                <w:tcPr>
                  <w:tcW w:w="850" w:type="dxa"/>
                  <w:vAlign w:val="center"/>
                </w:tcPr>
                <w:p w14:paraId="3522DF49">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固态</w:t>
                  </w:r>
                </w:p>
              </w:tc>
              <w:tc>
                <w:tcPr>
                  <w:tcW w:w="992" w:type="dxa"/>
                  <w:vAlign w:val="center"/>
                </w:tcPr>
                <w:p w14:paraId="15DCCBA3">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33.3</w:t>
                  </w:r>
                </w:p>
              </w:tc>
              <w:tc>
                <w:tcPr>
                  <w:tcW w:w="2530" w:type="dxa"/>
                  <w:vAlign w:val="center"/>
                </w:tcPr>
                <w:p w14:paraId="527CF711">
                  <w:pPr>
                    <w:widowControl/>
                    <w:jc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环卫部门清运处置</w:t>
                  </w:r>
                </w:p>
              </w:tc>
            </w:tr>
            <w:tr w14:paraId="6909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51" w:type="dxa"/>
                  <w:vAlign w:val="center"/>
                </w:tcPr>
                <w:p w14:paraId="50464C81">
                  <w:pPr>
                    <w:widowControl/>
                    <w:jc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废机油</w:t>
                  </w:r>
                </w:p>
              </w:tc>
              <w:tc>
                <w:tcPr>
                  <w:tcW w:w="709" w:type="dxa"/>
                  <w:vAlign w:val="center"/>
                </w:tcPr>
                <w:p w14:paraId="39C315EB">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危险</w:t>
                  </w:r>
                </w:p>
                <w:p w14:paraId="33F1CEC0">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废物</w:t>
                  </w:r>
                </w:p>
              </w:tc>
              <w:tc>
                <w:tcPr>
                  <w:tcW w:w="1418" w:type="dxa"/>
                  <w:vAlign w:val="center"/>
                </w:tcPr>
                <w:p w14:paraId="5E956614">
                  <w:pPr>
                    <w:widowControl/>
                    <w:jc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900-249-08</w:t>
                  </w:r>
                </w:p>
              </w:tc>
              <w:tc>
                <w:tcPr>
                  <w:tcW w:w="850" w:type="dxa"/>
                  <w:vAlign w:val="center"/>
                </w:tcPr>
                <w:p w14:paraId="74B7BC10">
                  <w:pPr>
                    <w:widowControl/>
                    <w:jc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液态</w:t>
                  </w:r>
                </w:p>
              </w:tc>
              <w:tc>
                <w:tcPr>
                  <w:tcW w:w="992" w:type="dxa"/>
                  <w:vAlign w:val="center"/>
                </w:tcPr>
                <w:p w14:paraId="47B6A594">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w:t>
                  </w:r>
                  <w:r>
                    <w:rPr>
                      <w:rFonts w:hint="eastAsia"/>
                      <w:color w:val="000000" w:themeColor="text1"/>
                      <w:kern w:val="0"/>
                      <w:szCs w:val="21"/>
                      <w:lang w:bidi="ar"/>
                      <w14:textFill>
                        <w14:solidFill>
                          <w14:schemeClr w14:val="tx1"/>
                        </w14:solidFill>
                      </w14:textFill>
                    </w:rPr>
                    <w:t>3</w:t>
                  </w:r>
                </w:p>
              </w:tc>
              <w:tc>
                <w:tcPr>
                  <w:tcW w:w="2530" w:type="dxa"/>
                  <w:vAlign w:val="center"/>
                </w:tcPr>
                <w:p w14:paraId="44FAEAAB">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收集暂存于危废贮存间，委托</w:t>
                  </w:r>
                  <w:r>
                    <w:rPr>
                      <w:rFonts w:hint="eastAsia"/>
                      <w:color w:val="000000" w:themeColor="text1"/>
                      <w:szCs w:val="21"/>
                      <w:lang w:val="zh-CN"/>
                      <w14:textFill>
                        <w14:solidFill>
                          <w14:schemeClr w14:val="tx1"/>
                        </w14:solidFill>
                      </w14:textFill>
                    </w:rPr>
                    <w:t>云南达济再生资源回收利用有限公司处置</w:t>
                  </w:r>
                </w:p>
              </w:tc>
            </w:tr>
          </w:tbl>
          <w:p w14:paraId="05F92803">
            <w:pPr>
              <w:widowControl/>
              <w:rPr>
                <w:rFonts w:cs="宋体"/>
                <w:color w:val="000000" w:themeColor="text1"/>
                <w:kern w:val="0"/>
                <w:sz w:val="24"/>
                <w:lang w:bidi="ar"/>
                <w14:textFill>
                  <w14:solidFill>
                    <w14:schemeClr w14:val="tx1"/>
                  </w14:solidFill>
                </w14:textFill>
              </w:rPr>
            </w:pPr>
          </w:p>
          <w:p w14:paraId="41F349A3">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5、地下水环境、土壤环境</w:t>
            </w:r>
          </w:p>
          <w:p w14:paraId="445A9884">
            <w:pPr>
              <w:widowControl/>
              <w:spacing w:line="360" w:lineRule="auto"/>
              <w:ind w:firstLine="480" w:firstLineChars="200"/>
              <w:rPr>
                <w:sz w:val="24"/>
              </w:rPr>
            </w:pPr>
            <w:r>
              <w:rPr>
                <w:rFonts w:hint="eastAsia"/>
                <w:color w:val="000000" w:themeColor="text1"/>
                <w:kern w:val="0"/>
                <w:sz w:val="24"/>
                <w:lang w:bidi="ar"/>
                <w14:textFill>
                  <w14:solidFill>
                    <w14:schemeClr w14:val="tx1"/>
                  </w14:solidFill>
                </w14:textFill>
              </w:rPr>
              <w:t>项目不涉及有毒有害物质，扩建完成后，全厂生产废水、生活污水</w:t>
            </w:r>
            <w:r>
              <w:rPr>
                <w:rFonts w:hint="eastAsia"/>
                <w:sz w:val="24"/>
              </w:rPr>
              <w:t>分流、分质处理，生产废水处理达标后用于厂区绿化、洒水降尘，生活污水预处理后接入市政污水管网。一般固体废物、危险废物分类收集规范暂存，最后资源化、无害化处置。采取上述措施后，最大限度避免和降低废污水、固体废物等对地下水环境、土壤环境可能造成的不利影响，环境可接受。</w:t>
            </w:r>
          </w:p>
          <w:p w14:paraId="31E2E9BD">
            <w:pPr>
              <w:spacing w:line="360" w:lineRule="auto"/>
              <w:ind w:firstLine="480" w:firstLineChars="200"/>
              <w:rPr>
                <w:sz w:val="24"/>
              </w:rPr>
            </w:pPr>
            <w:r>
              <w:rPr>
                <w:sz w:val="24"/>
              </w:rPr>
              <w:t>根据《环境影响评价技术导则</w:t>
            </w:r>
            <w:r>
              <w:rPr>
                <w:rFonts w:hint="eastAsia"/>
                <w:sz w:val="24"/>
              </w:rPr>
              <w:t xml:space="preserve"> </w:t>
            </w:r>
            <w:r>
              <w:rPr>
                <w:sz w:val="24"/>
              </w:rPr>
              <w:t>地下水环境》（HJ</w:t>
            </w:r>
            <w:r>
              <w:rPr>
                <w:rFonts w:hint="eastAsia"/>
                <w:sz w:val="24"/>
              </w:rPr>
              <w:t xml:space="preserve"> </w:t>
            </w:r>
            <w:r>
              <w:rPr>
                <w:sz w:val="24"/>
              </w:rPr>
              <w:t>610-2016）分区</w:t>
            </w:r>
            <w:r>
              <w:rPr>
                <w:rFonts w:hint="eastAsia"/>
                <w:sz w:val="24"/>
              </w:rPr>
              <w:t>防控</w:t>
            </w:r>
            <w:r>
              <w:rPr>
                <w:sz w:val="24"/>
              </w:rPr>
              <w:t>原则，</w:t>
            </w:r>
            <w:r>
              <w:rPr>
                <w:rFonts w:hint="eastAsia"/>
                <w:sz w:val="24"/>
              </w:rPr>
              <w:t>将</w:t>
            </w:r>
            <w:r>
              <w:rPr>
                <w:sz w:val="24"/>
              </w:rPr>
              <w:t>项目</w:t>
            </w:r>
            <w:r>
              <w:rPr>
                <w:rFonts w:hint="eastAsia"/>
                <w:sz w:val="24"/>
              </w:rPr>
              <w:t>防渗等级</w:t>
            </w:r>
            <w:r>
              <w:rPr>
                <w:sz w:val="24"/>
              </w:rPr>
              <w:t>划分</w:t>
            </w:r>
            <w:r>
              <w:rPr>
                <w:rFonts w:hint="eastAsia"/>
                <w:sz w:val="24"/>
              </w:rPr>
              <w:t>为</w:t>
            </w:r>
            <w:r>
              <w:rPr>
                <w:sz w:val="24"/>
              </w:rPr>
              <w:t>重点防渗区、一般防渗区</w:t>
            </w:r>
            <w:r>
              <w:rPr>
                <w:rFonts w:hint="eastAsia"/>
                <w:sz w:val="24"/>
              </w:rPr>
              <w:t>和</w:t>
            </w:r>
            <w:r>
              <w:rPr>
                <w:sz w:val="24"/>
              </w:rPr>
              <w:t>简单防渗区</w:t>
            </w:r>
            <w:r>
              <w:rPr>
                <w:rFonts w:hint="eastAsia"/>
                <w:sz w:val="24"/>
              </w:rPr>
              <w:t>。</w:t>
            </w:r>
          </w:p>
          <w:p w14:paraId="2282A935">
            <w:pPr>
              <w:pStyle w:val="36"/>
              <w:spacing w:line="240" w:lineRule="auto"/>
              <w:ind w:firstLine="0" w:firstLineChars="0"/>
              <w:jc w:val="center"/>
              <w:rPr>
                <w:b/>
                <w:bCs/>
                <w:color w:val="000000" w:themeColor="text1"/>
                <w:spacing w:val="0"/>
                <w:sz w:val="21"/>
                <w:szCs w:val="21"/>
                <w:lang w:eastAsia="zh-CN"/>
                <w14:textFill>
                  <w14:solidFill>
                    <w14:schemeClr w14:val="tx1"/>
                  </w14:solidFill>
                </w14:textFill>
              </w:rPr>
            </w:pPr>
            <w:r>
              <w:rPr>
                <w:rFonts w:hint="eastAsia"/>
                <w:b/>
                <w:bCs/>
                <w:color w:val="000000" w:themeColor="text1"/>
                <w:spacing w:val="0"/>
                <w:sz w:val="21"/>
                <w:szCs w:val="21"/>
                <w:lang w:eastAsia="zh-CN"/>
                <w14:textFill>
                  <w14:solidFill>
                    <w14:schemeClr w14:val="tx1"/>
                  </w14:solidFill>
                </w14:textFill>
              </w:rPr>
              <w:t>表</w:t>
            </w:r>
            <w:r>
              <w:rPr>
                <w:b/>
                <w:bCs/>
                <w:color w:val="000000" w:themeColor="text1"/>
                <w:spacing w:val="0"/>
                <w:sz w:val="21"/>
                <w:szCs w:val="21"/>
                <w:lang w:eastAsia="zh-CN"/>
                <w14:textFill>
                  <w14:solidFill>
                    <w14:schemeClr w14:val="tx1"/>
                  </w14:solidFill>
                </w14:textFill>
              </w:rPr>
              <w:t>4-</w:t>
            </w:r>
            <w:r>
              <w:rPr>
                <w:rFonts w:hint="eastAsia"/>
                <w:b/>
                <w:bCs/>
                <w:color w:val="000000" w:themeColor="text1"/>
                <w:spacing w:val="0"/>
                <w:sz w:val="21"/>
                <w:szCs w:val="21"/>
                <w:lang w:eastAsia="zh-CN"/>
                <w14:textFill>
                  <w14:solidFill>
                    <w14:schemeClr w14:val="tx1"/>
                  </w14:solidFill>
                </w14:textFill>
              </w:rPr>
              <w:t>11 项目分区防渗情况表</w:t>
            </w:r>
          </w:p>
          <w:tbl>
            <w:tblPr>
              <w:tblStyle w:val="22"/>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3544"/>
              <w:gridCol w:w="3237"/>
            </w:tblGrid>
            <w:tr w14:paraId="7739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90" w:type="pct"/>
                  <w:vAlign w:val="center"/>
                </w:tcPr>
                <w:p w14:paraId="09A2272E">
                  <w:pPr>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防渗等级</w:t>
                  </w:r>
                </w:p>
              </w:tc>
              <w:tc>
                <w:tcPr>
                  <w:tcW w:w="2148" w:type="pct"/>
                  <w:vAlign w:val="center"/>
                </w:tcPr>
                <w:p w14:paraId="2CC5C9C8">
                  <w:pPr>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防渗分区</w:t>
                  </w:r>
                </w:p>
              </w:tc>
              <w:tc>
                <w:tcPr>
                  <w:tcW w:w="1962" w:type="pct"/>
                  <w:vAlign w:val="center"/>
                </w:tcPr>
                <w:p w14:paraId="5AE96D74">
                  <w:pPr>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防渗技术要求</w:t>
                  </w:r>
                </w:p>
              </w:tc>
            </w:tr>
            <w:tr w14:paraId="30CF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90" w:type="pct"/>
                  <w:vAlign w:val="center"/>
                </w:tcPr>
                <w:p w14:paraId="79531D6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重点防渗区</w:t>
                  </w:r>
                </w:p>
              </w:tc>
              <w:tc>
                <w:tcPr>
                  <w:tcW w:w="2148" w:type="pct"/>
                  <w:vAlign w:val="center"/>
                </w:tcPr>
                <w:p w14:paraId="049B015C">
                  <w:pPr>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危废贮存间</w:t>
                  </w:r>
                </w:p>
              </w:tc>
              <w:tc>
                <w:tcPr>
                  <w:tcW w:w="1962" w:type="pct"/>
                  <w:vAlign w:val="center"/>
                </w:tcPr>
                <w:p w14:paraId="071B1F9A">
                  <w:pPr>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14:textFill>
                        <w14:solidFill>
                          <w14:schemeClr w14:val="tx1"/>
                        </w14:solidFill>
                      </w14:textFill>
                    </w:rPr>
                    <w:t>等效黏土防渗层Mb</w:t>
                  </w:r>
                  <w:r>
                    <w:rPr>
                      <w:rFonts w:hint="eastAsia"/>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6.0m，K</w:t>
                  </w:r>
                  <w:r>
                    <w:rPr>
                      <w:rFonts w:hint="eastAsia"/>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1.0×10</w:t>
                  </w:r>
                  <w:r>
                    <w:rPr>
                      <w:color w:val="000000" w:themeColor="text1"/>
                      <w:kern w:val="0"/>
                      <w:szCs w:val="21"/>
                      <w:vertAlign w:val="superscript"/>
                      <w14:textFill>
                        <w14:solidFill>
                          <w14:schemeClr w14:val="tx1"/>
                        </w14:solidFill>
                      </w14:textFill>
                    </w:rPr>
                    <w:t>-7</w:t>
                  </w:r>
                  <w:r>
                    <w:rPr>
                      <w:color w:val="000000" w:themeColor="text1"/>
                      <w:kern w:val="0"/>
                      <w:szCs w:val="21"/>
                      <w14:textFill>
                        <w14:solidFill>
                          <w14:schemeClr w14:val="tx1"/>
                        </w14:solidFill>
                      </w14:textFill>
                    </w:rPr>
                    <w:t>cm/s</w:t>
                  </w:r>
                  <w:r>
                    <w:rPr>
                      <w:rFonts w:hint="eastAsia"/>
                      <w:color w:val="000000" w:themeColor="text1"/>
                      <w:kern w:val="0"/>
                      <w:szCs w:val="21"/>
                      <w14:textFill>
                        <w14:solidFill>
                          <w14:schemeClr w14:val="tx1"/>
                        </w14:solidFill>
                      </w14:textFill>
                    </w:rPr>
                    <w:t>；或参照GB18598</w:t>
                  </w:r>
                </w:p>
              </w:tc>
            </w:tr>
            <w:tr w14:paraId="1629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90" w:type="pct"/>
                  <w:vAlign w:val="center"/>
                </w:tcPr>
                <w:p w14:paraId="14B29B29">
                  <w:pPr>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一般防渗区</w:t>
                  </w:r>
                </w:p>
              </w:tc>
              <w:tc>
                <w:tcPr>
                  <w:tcW w:w="2148" w:type="pct"/>
                  <w:vAlign w:val="center"/>
                </w:tcPr>
                <w:p w14:paraId="22F73216">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饲料间、原料库房、屠宰车间、冷库、隔油池、化粪池、</w:t>
                  </w:r>
                  <w:r>
                    <w:rPr>
                      <w:rFonts w:hint="eastAsia"/>
                      <w:color w:val="000000" w:themeColor="text1"/>
                      <w:kern w:val="0"/>
                      <w:szCs w:val="21"/>
                      <w14:textFill>
                        <w14:solidFill>
                          <w14:schemeClr w14:val="tx1"/>
                        </w14:solidFill>
                      </w14:textFill>
                    </w:rPr>
                    <w:t>生产废水</w:t>
                  </w:r>
                  <w:r>
                    <w:rPr>
                      <w:color w:val="000000" w:themeColor="text1"/>
                      <w:kern w:val="0"/>
                      <w:szCs w:val="21"/>
                      <w14:textFill>
                        <w14:solidFill>
                          <w14:schemeClr w14:val="tx1"/>
                        </w14:solidFill>
                      </w14:textFill>
                    </w:rPr>
                    <w:t>处理站等</w:t>
                  </w:r>
                </w:p>
              </w:tc>
              <w:tc>
                <w:tcPr>
                  <w:tcW w:w="1962" w:type="pct"/>
                  <w:vAlign w:val="center"/>
                </w:tcPr>
                <w:p w14:paraId="5A8EA26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等效黏土防渗层Mb</w:t>
                  </w:r>
                  <w:r>
                    <w:rPr>
                      <w:rFonts w:hint="eastAsia"/>
                      <w:color w:val="000000" w:themeColor="text1"/>
                      <w:szCs w:val="21"/>
                      <w14:textFill>
                        <w14:solidFill>
                          <w14:schemeClr w14:val="tx1"/>
                        </w14:solidFill>
                      </w14:textFill>
                    </w:rPr>
                    <w:t>≥</w:t>
                  </w:r>
                  <w:r>
                    <w:rPr>
                      <w:rFonts w:hint="eastAsia"/>
                      <w:color w:val="000000" w:themeColor="text1"/>
                      <w:kern w:val="0"/>
                      <w:szCs w:val="21"/>
                      <w14:textFill>
                        <w14:solidFill>
                          <w14:schemeClr w14:val="tx1"/>
                        </w14:solidFill>
                      </w14:textFill>
                    </w:rPr>
                    <w:t>1.5</w:t>
                  </w:r>
                  <w:r>
                    <w:rPr>
                      <w:color w:val="000000" w:themeColor="text1"/>
                      <w:kern w:val="0"/>
                      <w:szCs w:val="21"/>
                      <w14:textFill>
                        <w14:solidFill>
                          <w14:schemeClr w14:val="tx1"/>
                        </w14:solidFill>
                      </w14:textFill>
                    </w:rPr>
                    <w:t>m，K</w:t>
                  </w:r>
                  <w:r>
                    <w:rPr>
                      <w:rFonts w:hint="eastAsia"/>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1.0×10</w:t>
                  </w:r>
                  <w:r>
                    <w:rPr>
                      <w:color w:val="000000" w:themeColor="text1"/>
                      <w:kern w:val="0"/>
                      <w:szCs w:val="21"/>
                      <w:vertAlign w:val="superscript"/>
                      <w14:textFill>
                        <w14:solidFill>
                          <w14:schemeClr w14:val="tx1"/>
                        </w14:solidFill>
                      </w14:textFill>
                    </w:rPr>
                    <w:t>-7</w:t>
                  </w:r>
                  <w:r>
                    <w:rPr>
                      <w:color w:val="000000" w:themeColor="text1"/>
                      <w:kern w:val="0"/>
                      <w:szCs w:val="21"/>
                      <w14:textFill>
                        <w14:solidFill>
                          <w14:schemeClr w14:val="tx1"/>
                        </w14:solidFill>
                      </w14:textFill>
                    </w:rPr>
                    <w:t>cm/s</w:t>
                  </w:r>
                  <w:r>
                    <w:rPr>
                      <w:rFonts w:hint="eastAsia"/>
                      <w:color w:val="000000" w:themeColor="text1"/>
                      <w:kern w:val="0"/>
                      <w:szCs w:val="21"/>
                      <w14:textFill>
                        <w14:solidFill>
                          <w14:schemeClr w14:val="tx1"/>
                        </w14:solidFill>
                      </w14:textFill>
                    </w:rPr>
                    <w:t>；或参照GB16889</w:t>
                  </w:r>
                </w:p>
              </w:tc>
            </w:tr>
            <w:tr w14:paraId="4172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90" w:type="pct"/>
                  <w:vAlign w:val="center"/>
                </w:tcPr>
                <w:p w14:paraId="569B304B">
                  <w:pPr>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简单防渗区</w:t>
                  </w:r>
                </w:p>
              </w:tc>
              <w:tc>
                <w:tcPr>
                  <w:tcW w:w="2148" w:type="pct"/>
                  <w:vAlign w:val="center"/>
                </w:tcPr>
                <w:p w14:paraId="1A98982C">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办公大楼、厂区道路、停车场等</w:t>
                  </w:r>
                </w:p>
              </w:tc>
              <w:tc>
                <w:tcPr>
                  <w:tcW w:w="1962" w:type="pct"/>
                  <w:vAlign w:val="center"/>
                </w:tcPr>
                <w:p w14:paraId="1602926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一般地面硬化</w:t>
                  </w:r>
                </w:p>
              </w:tc>
            </w:tr>
          </w:tbl>
          <w:p w14:paraId="130B1762">
            <w:pPr>
              <w:widowControl/>
              <w:rPr>
                <w:color w:val="000000" w:themeColor="text1"/>
                <w:kern w:val="0"/>
                <w:sz w:val="24"/>
                <w:lang w:bidi="ar"/>
                <w14:textFill>
                  <w14:solidFill>
                    <w14:schemeClr w14:val="tx1"/>
                  </w14:solidFill>
                </w14:textFill>
              </w:rPr>
            </w:pPr>
          </w:p>
          <w:p w14:paraId="4280B370">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6、现有项目存在问题及“以新带老”措施</w:t>
            </w:r>
          </w:p>
          <w:p w14:paraId="5E7099F1">
            <w:pPr>
              <w:pStyle w:val="36"/>
              <w:ind w:firstLine="482"/>
              <w:jc w:val="left"/>
              <w:rPr>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（1）现有项目存在问题</w:t>
            </w:r>
          </w:p>
          <w:p w14:paraId="1D2D8FB0">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1）废气</w:t>
            </w:r>
          </w:p>
          <w:p w14:paraId="20CE8C9E">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待宰圈、屠宰车间、生产废水处理站、粪便临时堆场未定时喷洒生物除臭剂；屠宰车间、生产废水处理站未配套设置恶臭气体集中收集与末端处理设施；粪便临时堆场未进行全包围拦挡。本项目扩建完成，全厂项目达产后，恶臭污染物产生量、牲畜粪便产生量将增加，屠宰车间、生产废水处理站、粪便临时堆场厂界恶臭污染物浓度可能存在超标风险。</w:t>
            </w:r>
          </w:p>
          <w:p w14:paraId="138EAC37">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2）废水</w:t>
            </w:r>
          </w:p>
          <w:p w14:paraId="11469682">
            <w:pPr>
              <w:pStyle w:val="36"/>
              <w:ind w:firstLine="480"/>
              <w:rPr>
                <w:spacing w:val="0"/>
                <w:lang w:eastAsia="zh-CN"/>
              </w:rPr>
            </w:pPr>
            <w:r>
              <w:rPr>
                <w:rFonts w:hint="eastAsia"/>
                <w:color w:val="000000" w:themeColor="text1"/>
                <w:spacing w:val="0"/>
                <w:lang w:eastAsia="zh-CN"/>
                <w14:textFill>
                  <w14:solidFill>
                    <w14:schemeClr w14:val="tx1"/>
                  </w14:solidFill>
                </w14:textFill>
              </w:rPr>
              <w:t>厂区生产废水、生活污水收集后经</w:t>
            </w:r>
            <w:r>
              <w:rPr>
                <w:rFonts w:hint="eastAsia"/>
                <w:color w:val="000000"/>
                <w:spacing w:val="0"/>
                <w:kern w:val="0"/>
                <w:szCs w:val="21"/>
                <w:lang w:eastAsia="zh-CN" w:bidi="ar"/>
              </w:rPr>
              <w:t>现有生产废水</w:t>
            </w:r>
            <w:r>
              <w:rPr>
                <w:rFonts w:hint="eastAsia"/>
                <w:color w:val="000000" w:themeColor="text1"/>
                <w:spacing w:val="0"/>
                <w:szCs w:val="21"/>
                <w:lang w:eastAsia="zh-CN"/>
                <w14:textFill>
                  <w14:solidFill>
                    <w14:schemeClr w14:val="tx1"/>
                  </w14:solidFill>
                </w14:textFill>
              </w:rPr>
              <w:t>处理站处理</w:t>
            </w:r>
            <w:r>
              <w:rPr>
                <w:rFonts w:hint="eastAsia"/>
                <w:spacing w:val="0"/>
                <w:lang w:eastAsia="zh-CN"/>
              </w:rPr>
              <w:t>达《城市污水再生利用 城市杂用水水质》（GB/T 18920-2020）中“城市绿化、道路清扫”标准后用于厂区绿化、洒水降尘，不外排。生产废水为高浓度屠宰有机废水，COD、BOD</w:t>
            </w:r>
            <w:r>
              <w:rPr>
                <w:rFonts w:hint="eastAsia"/>
                <w:spacing w:val="0"/>
                <w:vertAlign w:val="subscript"/>
                <w:lang w:eastAsia="zh-CN"/>
              </w:rPr>
              <w:t>5</w:t>
            </w:r>
            <w:r>
              <w:rPr>
                <w:rFonts w:hint="eastAsia"/>
                <w:spacing w:val="0"/>
                <w:lang w:eastAsia="zh-CN"/>
              </w:rPr>
              <w:t>浓度高，项目扩建达产后，生产废水量约</w:t>
            </w:r>
            <w:r>
              <w:rPr>
                <w:rFonts w:hint="eastAsia" w:cs="Times New Roman"/>
                <w:spacing w:val="0"/>
                <w:kern w:val="0"/>
                <w:szCs w:val="21"/>
                <w:lang w:eastAsia="zh-CN" w:bidi="ar"/>
              </w:rPr>
              <w:t>126.86</w:t>
            </w:r>
            <w:r>
              <w:rPr>
                <w:rFonts w:cs="Times New Roman"/>
                <w:spacing w:val="0"/>
                <w:kern w:val="0"/>
                <w:szCs w:val="21"/>
                <w:lang w:eastAsia="zh-CN" w:bidi="ar"/>
              </w:rPr>
              <w:t>m</w:t>
            </w:r>
            <w:r>
              <w:rPr>
                <w:rFonts w:cs="Times New Roman"/>
                <w:spacing w:val="0"/>
                <w:kern w:val="0"/>
                <w:szCs w:val="21"/>
                <w:vertAlign w:val="superscript"/>
                <w:lang w:eastAsia="zh-CN" w:bidi="ar"/>
              </w:rPr>
              <w:t>3</w:t>
            </w:r>
            <w:r>
              <w:rPr>
                <w:rFonts w:cs="Times New Roman"/>
                <w:spacing w:val="0"/>
                <w:lang w:eastAsia="zh-CN"/>
              </w:rPr>
              <w:t>/</w:t>
            </w:r>
            <w:r>
              <w:rPr>
                <w:rFonts w:hint="eastAsia" w:cs="Times New Roman"/>
                <w:spacing w:val="0"/>
                <w:lang w:eastAsia="zh-CN"/>
              </w:rPr>
              <w:t>d。生活污水为餐饮及生活等用水，COD、BOD</w:t>
            </w:r>
            <w:r>
              <w:rPr>
                <w:rFonts w:hint="eastAsia" w:cs="Times New Roman"/>
                <w:spacing w:val="0"/>
                <w:vertAlign w:val="subscript"/>
                <w:lang w:eastAsia="zh-CN"/>
              </w:rPr>
              <w:t>5</w:t>
            </w:r>
            <w:r>
              <w:rPr>
                <w:rFonts w:hint="eastAsia" w:cs="Times New Roman"/>
                <w:spacing w:val="0"/>
                <w:lang w:eastAsia="zh-CN"/>
              </w:rPr>
              <w:t>浓度较生产废水低的多，且项目扩建达产后生活污水量</w:t>
            </w:r>
            <w:r>
              <w:rPr>
                <w:rFonts w:hint="eastAsia" w:cs="Times New Roman"/>
                <w:spacing w:val="0"/>
                <w:kern w:val="0"/>
                <w:szCs w:val="21"/>
                <w:lang w:eastAsia="zh-CN" w:bidi="ar"/>
              </w:rPr>
              <w:t>55.09</w:t>
            </w:r>
            <w:r>
              <w:rPr>
                <w:rFonts w:cs="Times New Roman"/>
                <w:spacing w:val="0"/>
                <w:kern w:val="0"/>
                <w:szCs w:val="21"/>
                <w:lang w:eastAsia="zh-CN" w:bidi="ar"/>
              </w:rPr>
              <w:t>m</w:t>
            </w:r>
            <w:r>
              <w:rPr>
                <w:rFonts w:cs="Times New Roman"/>
                <w:spacing w:val="0"/>
                <w:kern w:val="0"/>
                <w:szCs w:val="21"/>
                <w:vertAlign w:val="superscript"/>
                <w:lang w:eastAsia="zh-CN" w:bidi="ar"/>
              </w:rPr>
              <w:t>3</w:t>
            </w:r>
            <w:r>
              <w:rPr>
                <w:rFonts w:cs="Times New Roman"/>
                <w:spacing w:val="0"/>
                <w:lang w:eastAsia="zh-CN"/>
              </w:rPr>
              <w:t>/</w:t>
            </w:r>
            <w:r>
              <w:rPr>
                <w:rFonts w:hint="eastAsia" w:cs="Times New Roman"/>
                <w:spacing w:val="0"/>
                <w:lang w:eastAsia="zh-CN"/>
              </w:rPr>
              <w:t>d较现状没有增加。生产废水、生活污水若水量、水质得不到充分有效混合、均化，将显著影响生产废水处理站处理效果和出水稳定性，存在水质处理不达标风险。</w:t>
            </w:r>
          </w:p>
          <w:p w14:paraId="5D308549">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3）固体废物</w:t>
            </w:r>
          </w:p>
          <w:p w14:paraId="3C7DE652">
            <w:pPr>
              <w:pStyle w:val="36"/>
              <w:ind w:firstLine="480"/>
              <w:rPr>
                <w:spacing w:val="0"/>
                <w:lang w:eastAsia="zh-CN"/>
              </w:rPr>
            </w:pPr>
            <w:r>
              <w:rPr>
                <w:rFonts w:hint="eastAsia"/>
                <w:spacing w:val="0"/>
                <w:kern w:val="0"/>
                <w:szCs w:val="21"/>
                <w:lang w:eastAsia="zh-CN" w:bidi="ar"/>
              </w:rPr>
              <w:t>危废贮存间地面与裙脚未采取表面防渗措施。</w:t>
            </w:r>
          </w:p>
          <w:p w14:paraId="35D3AE72">
            <w:pPr>
              <w:pStyle w:val="36"/>
              <w:ind w:firstLine="482"/>
              <w:jc w:val="left"/>
              <w:rPr>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（2）“以新带老”措施</w:t>
            </w:r>
          </w:p>
          <w:p w14:paraId="14D8264E">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1）废气</w:t>
            </w:r>
          </w:p>
          <w:p w14:paraId="1B24E2C3">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环评提出，</w:t>
            </w:r>
            <w:r>
              <w:rPr>
                <w:rFonts w:hint="eastAsia"/>
                <w:spacing w:val="0"/>
                <w:lang w:eastAsia="zh-CN"/>
              </w:rPr>
              <w:t>待宰圈、屠宰车间、生产废水处理站、粪便临时堆场定时喷洒生物除臭剂；</w:t>
            </w:r>
            <w:r>
              <w:rPr>
                <w:rFonts w:hint="eastAsia"/>
                <w:spacing w:val="0"/>
                <w:kern w:val="0"/>
                <w:szCs w:val="21"/>
                <w:lang w:eastAsia="zh-CN" w:bidi="ar"/>
              </w:rPr>
              <w:t>粪便临时堆场四面加装封闭围栏；</w:t>
            </w:r>
            <w:r>
              <w:rPr>
                <w:rFonts w:hint="eastAsia"/>
                <w:spacing w:val="0"/>
                <w:lang w:eastAsia="zh-CN"/>
              </w:rPr>
              <w:t>屠宰车间、生产废水处理站开展恶臭污染物监测；预留新增屠宰车间、生产废水处理站恶臭污染物集中收集、处理（喷淋塔除臭、活性炭吸附等）、导排设施费用，根据后期恶臭污染物监测情况，适时加装上述环保设施。</w:t>
            </w:r>
          </w:p>
          <w:p w14:paraId="5F639460">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2）废水</w:t>
            </w:r>
          </w:p>
          <w:p w14:paraId="1E0A3585">
            <w:pPr>
              <w:pStyle w:val="36"/>
              <w:ind w:firstLine="480"/>
              <w:rPr>
                <w:color w:val="000000" w:themeColor="text1"/>
                <w:spacing w:val="0"/>
                <w:lang w:eastAsia="zh-CN"/>
                <w14:textFill>
                  <w14:solidFill>
                    <w14:schemeClr w14:val="tx1"/>
                  </w14:solidFill>
                </w14:textFill>
              </w:rPr>
            </w:pPr>
            <w:r>
              <w:rPr>
                <w:rFonts w:hint="eastAsia"/>
                <w:spacing w:val="0"/>
                <w:lang w:eastAsia="zh-CN"/>
              </w:rPr>
              <w:t>环评提出，按照“浓污分流、分质处理”原则处理生产废水、生活污水，生产废水依托厂区现有生产废水处理站处理，生活污水经现有隔油池、化粪池预处理后接入市政污水管网；</w:t>
            </w:r>
            <w:r>
              <w:rPr>
                <w:rFonts w:hint="eastAsia"/>
                <w:spacing w:val="0"/>
                <w:kern w:val="0"/>
                <w:szCs w:val="21"/>
                <w:lang w:eastAsia="zh-CN" w:bidi="ar"/>
              </w:rPr>
              <w:t>加强生产废水处理站的巡检、维护和水质监测，做好运行台账管理，保障各项设备、工艺单元稳定正常运行，确保处理后出水满足</w:t>
            </w:r>
            <w:r>
              <w:rPr>
                <w:rFonts w:hint="eastAsia"/>
                <w:spacing w:val="0"/>
                <w:lang w:eastAsia="zh-CN"/>
              </w:rPr>
              <w:t>《城市污水再生利用 城市杂用水水质》（GB/T 18920-2020）表1“城市绿化、道路清扫”标准</w:t>
            </w:r>
            <w:r>
              <w:rPr>
                <w:rFonts w:hint="eastAsia"/>
                <w:spacing w:val="0"/>
                <w:kern w:val="0"/>
                <w:szCs w:val="21"/>
                <w:lang w:eastAsia="zh-CN" w:bidi="ar"/>
              </w:rPr>
              <w:t>；加强隔油池、化粪池的巡检维护、清掏，确保处理后出水满足</w:t>
            </w:r>
            <w:r>
              <w:rPr>
                <w:rFonts w:hint="eastAsia"/>
                <w:spacing w:val="0"/>
                <w:kern w:val="0"/>
                <w:lang w:eastAsia="zh-CN" w:bidi="ar"/>
              </w:rPr>
              <w:t>《污水排入城镇下水道水质标准》（GB/T 31962-2015）表1 B级标准</w:t>
            </w:r>
            <w:r>
              <w:rPr>
                <w:rFonts w:hint="eastAsia"/>
                <w:spacing w:val="0"/>
                <w:kern w:val="0"/>
                <w:szCs w:val="21"/>
                <w:lang w:eastAsia="zh-CN" w:bidi="ar"/>
              </w:rPr>
              <w:t>；加强生产废水处理站事故应急池、厂区蓄水池的巡检、管护，确保生产废水处理站事故废水，污水处理站处理后回用水得到有效暂存；</w:t>
            </w:r>
            <w:r>
              <w:rPr>
                <w:rFonts w:hint="eastAsia"/>
                <w:spacing w:val="0"/>
                <w:lang w:eastAsia="zh-CN"/>
              </w:rPr>
              <w:t>若事故应急池、蓄水池已满，生产废水、处理后回用水不能得到暂存，须立即停止生产。</w:t>
            </w:r>
          </w:p>
          <w:p w14:paraId="5933A6EE">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3）固体废物</w:t>
            </w:r>
          </w:p>
          <w:p w14:paraId="4F866508">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环评提出，</w:t>
            </w:r>
            <w:r>
              <w:rPr>
                <w:rFonts w:hint="eastAsia"/>
                <w:spacing w:val="0"/>
                <w:kern w:val="0"/>
                <w:szCs w:val="21"/>
                <w:lang w:eastAsia="zh-CN" w:bidi="ar"/>
              </w:rPr>
              <w:t>加强</w:t>
            </w:r>
            <w:r>
              <w:rPr>
                <w:rFonts w:cs="Times New Roman"/>
                <w:color w:val="000000"/>
                <w:spacing w:val="0"/>
                <w:lang w:eastAsia="zh-CN"/>
              </w:rPr>
              <w:t>待宰圈</w:t>
            </w:r>
            <w:r>
              <w:rPr>
                <w:rFonts w:hint="eastAsia" w:cs="Times New Roman"/>
                <w:color w:val="000000"/>
                <w:spacing w:val="0"/>
                <w:lang w:eastAsia="zh-CN"/>
              </w:rPr>
              <w:t>、屠宰车间粪便，生产废水处理站</w:t>
            </w:r>
            <w:r>
              <w:rPr>
                <w:rFonts w:hint="eastAsia"/>
                <w:spacing w:val="0"/>
                <w:kern w:val="0"/>
                <w:szCs w:val="21"/>
                <w:lang w:eastAsia="zh-CN" w:bidi="ar"/>
              </w:rPr>
              <w:t>污泥，病死牲畜及屠宰废弃组织的清理、暂存，废机油收集暂存，做好危险废物台账管理。危废贮存间地面与裙脚采取表面防渗措施，防渗材料可采用抗渗混凝土、高密度聚乙烯膜或其他防渗性能等效的材料。</w:t>
            </w:r>
          </w:p>
          <w:p w14:paraId="71DEC097">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7、环境风险</w:t>
            </w:r>
          </w:p>
          <w:p w14:paraId="098F5526">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环境风险评价目的是分析和预测建设项目存在的潜在危险、有害因素，建设和运行期可能发生的突发性事件或事故，引起有毒有害和易燃易爆等物质的泄漏，造成人身安全与环境影响和损害的程度，提出合理可行的风险防范、应急与减缓措施，使项目事故发生概率、损失和环境影响达到可接受水平。</w:t>
            </w:r>
          </w:p>
          <w:p w14:paraId="5AC242AF">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w:t>
            </w:r>
            <w:r>
              <w:rPr>
                <w:b/>
                <w:bCs/>
                <w:color w:val="000000" w:themeColor="text1"/>
                <w:spacing w:val="0"/>
                <w:lang w:eastAsia="zh-CN"/>
                <w14:textFill>
                  <w14:solidFill>
                    <w14:schemeClr w14:val="tx1"/>
                  </w14:solidFill>
                </w14:textFill>
              </w:rPr>
              <w:t>1</w:t>
            </w:r>
            <w:r>
              <w:rPr>
                <w:rFonts w:hint="eastAsia"/>
                <w:b/>
                <w:bCs/>
                <w:color w:val="000000" w:themeColor="text1"/>
                <w:spacing w:val="0"/>
                <w:lang w:eastAsia="zh-CN"/>
                <w14:textFill>
                  <w14:solidFill>
                    <w14:schemeClr w14:val="tx1"/>
                  </w14:solidFill>
                </w14:textFill>
              </w:rPr>
              <w:t>）风险调查、识别</w:t>
            </w:r>
          </w:p>
          <w:p w14:paraId="13BB822C">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根据《建设项目环境风险评价技术导则》（</w:t>
            </w:r>
            <w:r>
              <w:rPr>
                <w:color w:val="000000" w:themeColor="text1"/>
                <w:spacing w:val="0"/>
                <w:lang w:eastAsia="zh-CN"/>
                <w14:textFill>
                  <w14:solidFill>
                    <w14:schemeClr w14:val="tx1"/>
                  </w14:solidFill>
                </w14:textFill>
              </w:rPr>
              <w:t>HJ</w:t>
            </w:r>
            <w:r>
              <w:rPr>
                <w:rFonts w:hint="eastAsia"/>
                <w:color w:val="000000" w:themeColor="text1"/>
                <w:spacing w:val="0"/>
                <w:lang w:eastAsia="zh-CN"/>
                <w14:textFill>
                  <w14:solidFill>
                    <w14:schemeClr w14:val="tx1"/>
                  </w14:solidFill>
                </w14:textFill>
              </w:rPr>
              <w:t xml:space="preserve"> </w:t>
            </w:r>
            <w:r>
              <w:rPr>
                <w:color w:val="000000" w:themeColor="text1"/>
                <w:spacing w:val="0"/>
                <w:lang w:eastAsia="zh-CN"/>
                <w14:textFill>
                  <w14:solidFill>
                    <w14:schemeClr w14:val="tx1"/>
                  </w14:solidFill>
                </w14:textFill>
              </w:rPr>
              <w:t>169-2018</w:t>
            </w:r>
            <w:r>
              <w:rPr>
                <w:rFonts w:hint="eastAsia"/>
                <w:color w:val="000000" w:themeColor="text1"/>
                <w:spacing w:val="0"/>
                <w:lang w:eastAsia="zh-CN"/>
                <w14:textFill>
                  <w14:solidFill>
                    <w14:schemeClr w14:val="tx1"/>
                  </w14:solidFill>
                </w14:textFill>
              </w:rPr>
              <w:t>）附录</w:t>
            </w:r>
            <w:r>
              <w:rPr>
                <w:color w:val="000000" w:themeColor="text1"/>
                <w:spacing w:val="0"/>
                <w:lang w:eastAsia="zh-CN"/>
                <w14:textFill>
                  <w14:solidFill>
                    <w14:schemeClr w14:val="tx1"/>
                  </w14:solidFill>
                </w14:textFill>
              </w:rPr>
              <w:t>B</w:t>
            </w:r>
            <w:r>
              <w:rPr>
                <w:rFonts w:hint="eastAsia"/>
                <w:color w:val="000000" w:themeColor="text1"/>
                <w:spacing w:val="0"/>
                <w:lang w:eastAsia="zh-CN"/>
                <w14:textFill>
                  <w14:solidFill>
                    <w14:schemeClr w14:val="tx1"/>
                  </w14:solidFill>
                </w14:textFill>
              </w:rPr>
              <w:t>、《危险化学品重大危险源辨识》（</w:t>
            </w:r>
            <w:r>
              <w:rPr>
                <w:color w:val="000000" w:themeColor="text1"/>
                <w:spacing w:val="0"/>
                <w:lang w:eastAsia="zh-CN"/>
                <w14:textFill>
                  <w14:solidFill>
                    <w14:schemeClr w14:val="tx1"/>
                  </w14:solidFill>
                </w14:textFill>
              </w:rPr>
              <w:t>GB18218-2018</w:t>
            </w:r>
            <w:r>
              <w:rPr>
                <w:rFonts w:hint="eastAsia"/>
                <w:color w:val="000000" w:themeColor="text1"/>
                <w:spacing w:val="0"/>
                <w:lang w:eastAsia="zh-CN"/>
                <w14:textFill>
                  <w14:solidFill>
                    <w14:schemeClr w14:val="tx1"/>
                  </w14:solidFill>
                </w14:textFill>
              </w:rPr>
              <w:t>），对项目主要原辅材料、产品和污染物产排进行分析，识别项目风险物质为废机油和氨水（浓度≥20%）。</w:t>
            </w:r>
          </w:p>
          <w:p w14:paraId="27AEB76D">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项目为牲畜屠宰及加工产业，风险物质为运营期</w:t>
            </w:r>
            <w:r>
              <w:rPr>
                <w:rFonts w:hint="eastAsia"/>
                <w:color w:val="000000"/>
                <w:spacing w:val="0"/>
                <w:lang w:eastAsia="zh-CN"/>
              </w:rPr>
              <w:t>厂区机械、设备日常检修维护产生的废机油（润滑油）和</w:t>
            </w:r>
            <w:r>
              <w:rPr>
                <w:rFonts w:hint="eastAsia"/>
                <w:color w:val="000000" w:themeColor="text1"/>
                <w:spacing w:val="0"/>
                <w:szCs w:val="21"/>
                <w:lang w:eastAsia="zh-CN"/>
                <w14:textFill>
                  <w14:solidFill>
                    <w14:schemeClr w14:val="tx1"/>
                  </w14:solidFill>
                </w14:textFill>
              </w:rPr>
              <w:t>冷库制冷使用的液氨（氨水）。</w:t>
            </w:r>
          </w:p>
          <w:p w14:paraId="734E9228">
            <w:pPr>
              <w:widowControl/>
              <w:jc w:val="center"/>
              <w:rPr>
                <w:rFonts w:cs="宋体"/>
                <w:b/>
                <w:bCs/>
                <w:color w:val="000000" w:themeColor="text1"/>
                <w:kern w:val="0"/>
                <w:szCs w:val="21"/>
                <w:lang w:bidi="ar"/>
                <w14:textFill>
                  <w14:solidFill>
                    <w14:schemeClr w14:val="tx1"/>
                  </w14:solidFill>
                </w14:textFill>
              </w:rPr>
            </w:pPr>
            <w:r>
              <w:rPr>
                <w:rFonts w:hint="eastAsia" w:cs="宋体"/>
                <w:b/>
                <w:bCs/>
                <w:color w:val="000000" w:themeColor="text1"/>
                <w:kern w:val="0"/>
                <w:szCs w:val="21"/>
                <w:lang w:bidi="ar"/>
                <w14:textFill>
                  <w14:solidFill>
                    <w14:schemeClr w14:val="tx1"/>
                  </w14:solidFill>
                </w14:textFill>
              </w:rPr>
              <w:t>表</w:t>
            </w:r>
            <w:r>
              <w:rPr>
                <w:rFonts w:cs="宋体"/>
                <w:b/>
                <w:bCs/>
                <w:color w:val="000000" w:themeColor="text1"/>
                <w:kern w:val="0"/>
                <w:szCs w:val="21"/>
                <w:lang w:bidi="ar"/>
                <w14:textFill>
                  <w14:solidFill>
                    <w14:schemeClr w14:val="tx1"/>
                  </w14:solidFill>
                </w14:textFill>
              </w:rPr>
              <w:t>4-</w:t>
            </w:r>
            <w:r>
              <w:rPr>
                <w:rFonts w:hint="eastAsia" w:cs="宋体"/>
                <w:b/>
                <w:bCs/>
                <w:color w:val="000000" w:themeColor="text1"/>
                <w:kern w:val="0"/>
                <w:szCs w:val="21"/>
                <w:lang w:bidi="ar"/>
                <w14:textFill>
                  <w14:solidFill>
                    <w14:schemeClr w14:val="tx1"/>
                  </w14:solidFill>
                </w14:textFill>
              </w:rPr>
              <w:t>12 润滑油理化性质表</w:t>
            </w:r>
          </w:p>
          <w:tbl>
            <w:tblPr>
              <w:tblStyle w:val="22"/>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3562"/>
              <w:gridCol w:w="155"/>
              <w:gridCol w:w="3354"/>
            </w:tblGrid>
            <w:tr w14:paraId="4AC9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4" w:type="dxa"/>
                  <w:vMerge w:val="restart"/>
                  <w:vAlign w:val="center"/>
                </w:tcPr>
                <w:p w14:paraId="2849FC72">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标识</w:t>
                  </w:r>
                </w:p>
              </w:tc>
              <w:tc>
                <w:tcPr>
                  <w:tcW w:w="3580" w:type="dxa"/>
                  <w:vAlign w:val="center"/>
                </w:tcPr>
                <w:p w14:paraId="39667B41">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中文名：润滑油（机油）</w:t>
                  </w:r>
                </w:p>
              </w:tc>
              <w:tc>
                <w:tcPr>
                  <w:tcW w:w="3527" w:type="dxa"/>
                  <w:gridSpan w:val="2"/>
                  <w:vAlign w:val="center"/>
                </w:tcPr>
                <w:p w14:paraId="2B933E49">
                  <w:pPr>
                    <w:pStyle w:val="36"/>
                    <w:spacing w:line="240" w:lineRule="auto"/>
                    <w:ind w:firstLine="0" w:firstLineChars="0"/>
                    <w:jc w:val="center"/>
                    <w:rPr>
                      <w:rFonts w:cs="Times New Roman"/>
                      <w:color w:val="000000" w:themeColor="text1"/>
                      <w:sz w:val="21"/>
                      <w:szCs w:val="21"/>
                      <w:lang w:val="de-DE"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英文名</w:t>
                  </w:r>
                  <w:r>
                    <w:rPr>
                      <w:rFonts w:cs="Times New Roman"/>
                      <w:color w:val="000000" w:themeColor="text1"/>
                      <w:sz w:val="21"/>
                      <w:szCs w:val="21"/>
                      <w:lang w:val="de-DE" w:eastAsia="zh-CN"/>
                      <w14:textFill>
                        <w14:solidFill>
                          <w14:schemeClr w14:val="tx1"/>
                        </w14:solidFill>
                      </w14:textFill>
                    </w:rPr>
                    <w:t>：</w:t>
                  </w:r>
                  <w:r>
                    <w:rPr>
                      <w:rFonts w:cs="Times New Roman"/>
                      <w:color w:val="000000" w:themeColor="text1"/>
                      <w:sz w:val="21"/>
                      <w:szCs w:val="21"/>
                      <w:lang w:eastAsia="zh-CN"/>
                      <w14:textFill>
                        <w14:solidFill>
                          <w14:schemeClr w14:val="tx1"/>
                        </w14:solidFill>
                      </w14:textFill>
                    </w:rPr>
                    <w:t>lubricatingoil；Lubeoil</w:t>
                  </w:r>
                </w:p>
              </w:tc>
            </w:tr>
            <w:tr w14:paraId="5FBE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4" w:type="dxa"/>
                  <w:vMerge w:val="continue"/>
                  <w:vAlign w:val="center"/>
                </w:tcPr>
                <w:p w14:paraId="280B6BDF">
                  <w:pPr>
                    <w:pStyle w:val="36"/>
                    <w:spacing w:line="240" w:lineRule="auto"/>
                    <w:ind w:firstLine="0" w:firstLineChars="0"/>
                    <w:jc w:val="center"/>
                    <w:rPr>
                      <w:rFonts w:cs="Times New Roman"/>
                      <w:b/>
                      <w:bCs/>
                      <w:color w:val="000000" w:themeColor="text1"/>
                      <w:sz w:val="21"/>
                      <w:szCs w:val="21"/>
                      <w:lang w:val="de-DE" w:eastAsia="zh-CN"/>
                      <w14:textFill>
                        <w14:solidFill>
                          <w14:schemeClr w14:val="tx1"/>
                        </w14:solidFill>
                      </w14:textFill>
                    </w:rPr>
                  </w:pPr>
                </w:p>
              </w:tc>
              <w:tc>
                <w:tcPr>
                  <w:tcW w:w="3580" w:type="dxa"/>
                  <w:vAlign w:val="center"/>
                </w:tcPr>
                <w:p w14:paraId="593615C3">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分子式：—</w:t>
                  </w:r>
                </w:p>
              </w:tc>
              <w:tc>
                <w:tcPr>
                  <w:tcW w:w="3527" w:type="dxa"/>
                  <w:gridSpan w:val="2"/>
                  <w:vAlign w:val="center"/>
                </w:tcPr>
                <w:p w14:paraId="0AEDCC2F">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CAS号：—</w:t>
                  </w:r>
                </w:p>
              </w:tc>
            </w:tr>
            <w:tr w14:paraId="43E2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4" w:type="dxa"/>
                  <w:vMerge w:val="restart"/>
                  <w:vAlign w:val="center"/>
                </w:tcPr>
                <w:p w14:paraId="38E158BD">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理化性质</w:t>
                  </w:r>
                </w:p>
              </w:tc>
              <w:tc>
                <w:tcPr>
                  <w:tcW w:w="7107" w:type="dxa"/>
                  <w:gridSpan w:val="3"/>
                  <w:vAlign w:val="center"/>
                </w:tcPr>
                <w:p w14:paraId="3816204E">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外观及性状：油状液体，淡黄色至褐色，无气味或略带异味</w:t>
                  </w:r>
                </w:p>
              </w:tc>
            </w:tr>
            <w:tr w14:paraId="054B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4" w:type="dxa"/>
                  <w:vMerge w:val="continue"/>
                  <w:vAlign w:val="center"/>
                </w:tcPr>
                <w:p w14:paraId="54428B7F">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p>
              </w:tc>
              <w:tc>
                <w:tcPr>
                  <w:tcW w:w="3580" w:type="dxa"/>
                  <w:vAlign w:val="center"/>
                </w:tcPr>
                <w:p w14:paraId="17EE66BF">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熔点（℃）：—</w:t>
                  </w:r>
                </w:p>
              </w:tc>
              <w:tc>
                <w:tcPr>
                  <w:tcW w:w="3527" w:type="dxa"/>
                  <w:gridSpan w:val="2"/>
                  <w:vAlign w:val="center"/>
                </w:tcPr>
                <w:p w14:paraId="2FE87E89">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闪点（℃）：76</w:t>
                  </w:r>
                </w:p>
              </w:tc>
            </w:tr>
            <w:tr w14:paraId="3EF1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4" w:type="dxa"/>
                  <w:vMerge w:val="continue"/>
                  <w:vAlign w:val="center"/>
                </w:tcPr>
                <w:p w14:paraId="2D9A9019">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p>
              </w:tc>
              <w:tc>
                <w:tcPr>
                  <w:tcW w:w="7107" w:type="dxa"/>
                  <w:gridSpan w:val="3"/>
                  <w:vAlign w:val="center"/>
                </w:tcPr>
                <w:p w14:paraId="1D96D837">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溶解性：不溶于水</w:t>
                  </w:r>
                </w:p>
              </w:tc>
            </w:tr>
            <w:tr w14:paraId="4072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4" w:type="dxa"/>
                  <w:vMerge w:val="restart"/>
                  <w:vAlign w:val="center"/>
                </w:tcPr>
                <w:p w14:paraId="50056C8D">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燃烧爆炸危险性</w:t>
                  </w:r>
                </w:p>
              </w:tc>
              <w:tc>
                <w:tcPr>
                  <w:tcW w:w="3736" w:type="dxa"/>
                  <w:gridSpan w:val="2"/>
                  <w:vAlign w:val="center"/>
                </w:tcPr>
                <w:p w14:paraId="7B224AFD">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危险类别：可燃</w:t>
                  </w:r>
                </w:p>
              </w:tc>
              <w:tc>
                <w:tcPr>
                  <w:tcW w:w="3371" w:type="dxa"/>
                  <w:vAlign w:val="center"/>
                </w:tcPr>
                <w:p w14:paraId="6DA3D015">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有害燃烧产物：CO、CO</w:t>
                  </w:r>
                  <w:r>
                    <w:rPr>
                      <w:rFonts w:cs="Times New Roman"/>
                      <w:color w:val="000000" w:themeColor="text1"/>
                      <w:sz w:val="21"/>
                      <w:szCs w:val="21"/>
                      <w:vertAlign w:val="subscript"/>
                      <w:lang w:eastAsia="zh-CN"/>
                      <w14:textFill>
                        <w14:solidFill>
                          <w14:schemeClr w14:val="tx1"/>
                        </w14:solidFill>
                      </w14:textFill>
                    </w:rPr>
                    <w:t>2</w:t>
                  </w:r>
                </w:p>
              </w:tc>
            </w:tr>
            <w:tr w14:paraId="4113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4" w:type="dxa"/>
                  <w:vMerge w:val="continue"/>
                  <w:vAlign w:val="center"/>
                </w:tcPr>
                <w:p w14:paraId="085824ED">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p>
              </w:tc>
              <w:tc>
                <w:tcPr>
                  <w:tcW w:w="3736" w:type="dxa"/>
                  <w:gridSpan w:val="2"/>
                  <w:vAlign w:val="center"/>
                </w:tcPr>
                <w:p w14:paraId="388D5AC9">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爆炸极限（体积分数%）：无资料</w:t>
                  </w:r>
                </w:p>
              </w:tc>
              <w:tc>
                <w:tcPr>
                  <w:tcW w:w="3371" w:type="dxa"/>
                  <w:vAlign w:val="center"/>
                </w:tcPr>
                <w:p w14:paraId="21E09DD3">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稳定性：稳定</w:t>
                  </w:r>
                </w:p>
              </w:tc>
            </w:tr>
            <w:tr w14:paraId="15AB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4" w:type="dxa"/>
                  <w:vMerge w:val="continue"/>
                  <w:vAlign w:val="center"/>
                </w:tcPr>
                <w:p w14:paraId="1FA726A3">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p>
              </w:tc>
              <w:tc>
                <w:tcPr>
                  <w:tcW w:w="7107" w:type="dxa"/>
                  <w:gridSpan w:val="3"/>
                  <w:vAlign w:val="center"/>
                </w:tcPr>
                <w:p w14:paraId="6A81EE9D">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引燃温度（℃）：248</w:t>
                  </w:r>
                </w:p>
              </w:tc>
            </w:tr>
            <w:tr w14:paraId="1B70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4" w:type="dxa"/>
                  <w:vMerge w:val="continue"/>
                  <w:vAlign w:val="center"/>
                </w:tcPr>
                <w:p w14:paraId="7FDA38F4">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p>
              </w:tc>
              <w:tc>
                <w:tcPr>
                  <w:tcW w:w="7107" w:type="dxa"/>
                  <w:gridSpan w:val="3"/>
                  <w:vAlign w:val="center"/>
                </w:tcPr>
                <w:p w14:paraId="71C7DCDA">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危险特性：遇明火、高热可燃</w:t>
                  </w:r>
                </w:p>
              </w:tc>
            </w:tr>
            <w:tr w14:paraId="67407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4" w:type="dxa"/>
                  <w:vMerge w:val="continue"/>
                  <w:vAlign w:val="center"/>
                </w:tcPr>
                <w:p w14:paraId="47DA87E8">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p>
              </w:tc>
              <w:tc>
                <w:tcPr>
                  <w:tcW w:w="7107" w:type="dxa"/>
                  <w:gridSpan w:val="3"/>
                  <w:vAlign w:val="center"/>
                </w:tcPr>
                <w:p w14:paraId="259CB124">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灭火方法：消防人员须戴空气呼吸器、穿全身防火防毒服，在上风向灭火。尽可能将容器从火场移至空旷处。喷水保持火场容器冷却，直至灭火结束。处在火场中的容器若已变色或从安全泄压装置中产生声音，必须马上撤离。</w:t>
                  </w:r>
                </w:p>
                <w:p w14:paraId="07446E19">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灭火剂：泡沫、干粉、</w:t>
                  </w:r>
                  <w:r>
                    <w:rPr>
                      <w:rFonts w:hint="eastAsia" w:cs="Times New Roman"/>
                      <w:color w:val="000000" w:themeColor="text1"/>
                      <w:sz w:val="21"/>
                      <w:szCs w:val="21"/>
                      <w:lang w:eastAsia="zh-CN"/>
                      <w14:textFill>
                        <w14:solidFill>
                          <w14:schemeClr w14:val="tx1"/>
                        </w14:solidFill>
                      </w14:textFill>
                    </w:rPr>
                    <w:t>CO</w:t>
                  </w:r>
                  <w:r>
                    <w:rPr>
                      <w:rFonts w:hint="eastAsia" w:cs="Times New Roman"/>
                      <w:color w:val="000000" w:themeColor="text1"/>
                      <w:sz w:val="21"/>
                      <w:szCs w:val="21"/>
                      <w:vertAlign w:val="subscript"/>
                      <w:lang w:eastAsia="zh-CN"/>
                      <w14:textFill>
                        <w14:solidFill>
                          <w14:schemeClr w14:val="tx1"/>
                        </w14:solidFill>
                      </w14:textFill>
                    </w:rPr>
                    <w:t>2</w:t>
                  </w:r>
                  <w:r>
                    <w:rPr>
                      <w:rFonts w:cs="Times New Roman"/>
                      <w:color w:val="000000" w:themeColor="text1"/>
                      <w:sz w:val="21"/>
                      <w:szCs w:val="21"/>
                      <w:lang w:eastAsia="zh-CN"/>
                      <w14:textFill>
                        <w14:solidFill>
                          <w14:schemeClr w14:val="tx1"/>
                        </w14:solidFill>
                      </w14:textFill>
                    </w:rPr>
                    <w:t>、砂土。</w:t>
                  </w:r>
                </w:p>
              </w:tc>
            </w:tr>
            <w:tr w14:paraId="5067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4" w:type="dxa"/>
                  <w:vAlign w:val="center"/>
                </w:tcPr>
                <w:p w14:paraId="2FCF46E7">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急性毒性</w:t>
                  </w:r>
                </w:p>
              </w:tc>
              <w:tc>
                <w:tcPr>
                  <w:tcW w:w="7107" w:type="dxa"/>
                  <w:gridSpan w:val="3"/>
                  <w:vAlign w:val="center"/>
                </w:tcPr>
                <w:p w14:paraId="3DDFDE7D">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最高允许浓度：LD50（mg/kg，大鼠经口）无资料</w:t>
                  </w:r>
                  <w:r>
                    <w:rPr>
                      <w:rFonts w:hint="eastAsia" w:cs="Times New Roman"/>
                      <w:color w:val="000000" w:themeColor="text1"/>
                      <w:sz w:val="21"/>
                      <w:szCs w:val="21"/>
                      <w:lang w:eastAsia="zh-CN"/>
                      <w14:textFill>
                        <w14:solidFill>
                          <w14:schemeClr w14:val="tx1"/>
                        </w14:solidFill>
                      </w14:textFill>
                    </w:rPr>
                    <w:t>，</w:t>
                  </w:r>
                  <w:r>
                    <w:rPr>
                      <w:rFonts w:cs="Times New Roman"/>
                      <w:color w:val="000000" w:themeColor="text1"/>
                      <w:sz w:val="21"/>
                      <w:szCs w:val="21"/>
                      <w:lang w:eastAsia="zh-CN"/>
                      <w14:textFill>
                        <w14:solidFill>
                          <w14:schemeClr w14:val="tx1"/>
                        </w14:solidFill>
                      </w14:textFill>
                    </w:rPr>
                    <w:t>LC50（mg/kg）无资料</w:t>
                  </w:r>
                </w:p>
              </w:tc>
            </w:tr>
            <w:tr w14:paraId="7FDE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4" w:type="dxa"/>
                  <w:vAlign w:val="center"/>
                </w:tcPr>
                <w:p w14:paraId="24500CCD">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健康危害</w:t>
                  </w:r>
                </w:p>
              </w:tc>
              <w:tc>
                <w:tcPr>
                  <w:tcW w:w="7107" w:type="dxa"/>
                  <w:gridSpan w:val="3"/>
                  <w:vAlign w:val="center"/>
                </w:tcPr>
                <w:p w14:paraId="0C6EF180">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侵入途径：吸入、食入，急性吸入，可出现乏力、头晕、头痛、恶心，严重者可引起油脂性肺炎。</w:t>
                  </w:r>
                </w:p>
                <w:p w14:paraId="2E07E4B9">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慢接触者</w:t>
                  </w:r>
                  <w:r>
                    <w:rPr>
                      <w:rFonts w:hint="eastAsia" w:cs="Times New Roman"/>
                      <w:color w:val="000000" w:themeColor="text1"/>
                      <w:sz w:val="21"/>
                      <w:szCs w:val="21"/>
                      <w:lang w:eastAsia="zh-CN"/>
                      <w14:textFill>
                        <w14:solidFill>
                          <w14:schemeClr w14:val="tx1"/>
                        </w14:solidFill>
                      </w14:textFill>
                    </w:rPr>
                    <w:t>：</w:t>
                  </w:r>
                  <w:r>
                    <w:rPr>
                      <w:rFonts w:cs="Times New Roman"/>
                      <w:color w:val="000000" w:themeColor="text1"/>
                      <w:sz w:val="21"/>
                      <w:szCs w:val="21"/>
                      <w:lang w:eastAsia="zh-CN"/>
                      <w14:textFill>
                        <w14:solidFill>
                          <w14:schemeClr w14:val="tx1"/>
                        </w14:solidFill>
                      </w14:textFill>
                    </w:rPr>
                    <w:t xml:space="preserve">暴露部位可发生油性痤疮和接触性皮炎。可引起神经衰弱综合征，呼吸道和眼刺激症状及慢性油脂性肺炎。有资料报道，接触石油润滑油类的工人，有致癌病例报告。 </w:t>
                  </w:r>
                </w:p>
              </w:tc>
            </w:tr>
            <w:tr w14:paraId="35DE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4" w:type="dxa"/>
                  <w:vAlign w:val="center"/>
                </w:tcPr>
                <w:p w14:paraId="744B4948">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急救措施</w:t>
                  </w:r>
                </w:p>
              </w:tc>
              <w:tc>
                <w:tcPr>
                  <w:tcW w:w="7107" w:type="dxa"/>
                  <w:gridSpan w:val="3"/>
                  <w:vAlign w:val="center"/>
                </w:tcPr>
                <w:p w14:paraId="07473EA7">
                  <w:pPr>
                    <w:pStyle w:val="36"/>
                    <w:spacing w:line="240" w:lineRule="auto"/>
                    <w:ind w:firstLine="0" w:firstLineChars="0"/>
                    <w:jc w:val="left"/>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皮肤接触：脱去被污染衣着，用肥皂水和清水彻底冲洗皮肤</w:t>
                  </w:r>
                  <w:r>
                    <w:rPr>
                      <w:rFonts w:hint="eastAsia" w:cs="Times New Roman"/>
                      <w:color w:val="000000" w:themeColor="text1"/>
                      <w:sz w:val="21"/>
                      <w:szCs w:val="21"/>
                      <w:lang w:eastAsia="zh-CN"/>
                      <w14:textFill>
                        <w14:solidFill>
                          <w14:schemeClr w14:val="tx1"/>
                        </w14:solidFill>
                      </w14:textFill>
                    </w:rPr>
                    <w:t>。</w:t>
                  </w:r>
                </w:p>
                <w:p w14:paraId="533B4AEF">
                  <w:pPr>
                    <w:pStyle w:val="36"/>
                    <w:spacing w:line="240" w:lineRule="auto"/>
                    <w:ind w:firstLine="0" w:firstLineChars="0"/>
                    <w:jc w:val="left"/>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眼睛接触：提起眼睑，用流动清水或生理盐水冲洗，就医</w:t>
                  </w:r>
                  <w:r>
                    <w:rPr>
                      <w:rFonts w:hint="eastAsia" w:cs="Times New Roman"/>
                      <w:color w:val="000000" w:themeColor="text1"/>
                      <w:sz w:val="21"/>
                      <w:szCs w:val="21"/>
                      <w:lang w:eastAsia="zh-CN"/>
                      <w14:textFill>
                        <w14:solidFill>
                          <w14:schemeClr w14:val="tx1"/>
                        </w14:solidFill>
                      </w14:textFill>
                    </w:rPr>
                    <w:t>。</w:t>
                  </w:r>
                </w:p>
                <w:p w14:paraId="24B68A7E">
                  <w:pPr>
                    <w:pStyle w:val="36"/>
                    <w:spacing w:line="240" w:lineRule="auto"/>
                    <w:ind w:firstLine="0" w:firstLineChars="0"/>
                    <w:jc w:val="left"/>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吸入：迅速脱离现场至空气新鲜处，保持呼吸道通畅，如呼吸困难，给输氧，如呼吸停止，立即进行人工呼吸，就医</w:t>
                  </w:r>
                  <w:r>
                    <w:rPr>
                      <w:rFonts w:hint="eastAsia" w:cs="Times New Roman"/>
                      <w:color w:val="000000" w:themeColor="text1"/>
                      <w:sz w:val="21"/>
                      <w:szCs w:val="21"/>
                      <w:lang w:eastAsia="zh-CN"/>
                      <w14:textFill>
                        <w14:solidFill>
                          <w14:schemeClr w14:val="tx1"/>
                        </w14:solidFill>
                      </w14:textFill>
                    </w:rPr>
                    <w:t>。</w:t>
                  </w:r>
                </w:p>
                <w:p w14:paraId="09EBCB2F">
                  <w:pPr>
                    <w:pStyle w:val="36"/>
                    <w:spacing w:line="240" w:lineRule="auto"/>
                    <w:ind w:firstLine="0" w:firstLineChars="0"/>
                    <w:jc w:val="left"/>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食入：饮足量温水，催吐，就医。</w:t>
                  </w:r>
                </w:p>
              </w:tc>
            </w:tr>
            <w:tr w14:paraId="769D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4" w:type="dxa"/>
                  <w:vAlign w:val="center"/>
                </w:tcPr>
                <w:p w14:paraId="25FD25CA">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防护措施</w:t>
                  </w:r>
                </w:p>
              </w:tc>
              <w:tc>
                <w:tcPr>
                  <w:tcW w:w="7107" w:type="dxa"/>
                  <w:gridSpan w:val="3"/>
                  <w:vAlign w:val="center"/>
                </w:tcPr>
                <w:p w14:paraId="7B9F7219">
                  <w:pPr>
                    <w:pStyle w:val="36"/>
                    <w:spacing w:line="240" w:lineRule="auto"/>
                    <w:ind w:firstLine="0" w:firstLineChars="0"/>
                    <w:jc w:val="left"/>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工程控制：密闭操作，注意通风</w:t>
                  </w:r>
                  <w:r>
                    <w:rPr>
                      <w:rFonts w:hint="eastAsia" w:cs="Times New Roman"/>
                      <w:color w:val="000000" w:themeColor="text1"/>
                      <w:sz w:val="21"/>
                      <w:szCs w:val="21"/>
                      <w:lang w:eastAsia="zh-CN"/>
                      <w14:textFill>
                        <w14:solidFill>
                          <w14:schemeClr w14:val="tx1"/>
                        </w14:solidFill>
                      </w14:textFill>
                    </w:rPr>
                    <w:t>。</w:t>
                  </w:r>
                </w:p>
                <w:p w14:paraId="2EE9205F">
                  <w:pPr>
                    <w:pStyle w:val="36"/>
                    <w:spacing w:line="240" w:lineRule="auto"/>
                    <w:ind w:firstLine="0" w:firstLineChars="0"/>
                    <w:jc w:val="left"/>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呼吸系统防护：空气中浓度超标时，建议佩戴自吸过滤式防毒面具、半面罩。紧急事态抢救或撤离时，应该佩戴空气呼吸器</w:t>
                  </w:r>
                  <w:r>
                    <w:rPr>
                      <w:rFonts w:hint="eastAsia" w:cs="Times New Roman"/>
                      <w:color w:val="000000" w:themeColor="text1"/>
                      <w:sz w:val="21"/>
                      <w:szCs w:val="21"/>
                      <w:lang w:eastAsia="zh-CN"/>
                      <w14:textFill>
                        <w14:solidFill>
                          <w14:schemeClr w14:val="tx1"/>
                        </w14:solidFill>
                      </w14:textFill>
                    </w:rPr>
                    <w:t>。</w:t>
                  </w:r>
                </w:p>
                <w:p w14:paraId="408B9695">
                  <w:pPr>
                    <w:pStyle w:val="36"/>
                    <w:spacing w:line="240" w:lineRule="auto"/>
                    <w:ind w:firstLine="0" w:firstLineChars="0"/>
                    <w:jc w:val="left"/>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眼睛防护：戴化学安全防护眼镜</w:t>
                  </w:r>
                  <w:r>
                    <w:rPr>
                      <w:rFonts w:hint="eastAsia" w:cs="Times New Roman"/>
                      <w:color w:val="000000" w:themeColor="text1"/>
                      <w:sz w:val="21"/>
                      <w:szCs w:val="21"/>
                      <w:lang w:eastAsia="zh-CN"/>
                      <w14:textFill>
                        <w14:solidFill>
                          <w14:schemeClr w14:val="tx1"/>
                        </w14:solidFill>
                      </w14:textFill>
                    </w:rPr>
                    <w:t>。</w:t>
                  </w:r>
                </w:p>
                <w:p w14:paraId="461CA334">
                  <w:pPr>
                    <w:pStyle w:val="36"/>
                    <w:spacing w:line="240" w:lineRule="auto"/>
                    <w:ind w:firstLine="0" w:firstLineChars="0"/>
                    <w:jc w:val="left"/>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身体防护：穿防毒物渗透工作服</w:t>
                  </w:r>
                  <w:r>
                    <w:rPr>
                      <w:rFonts w:hint="eastAsia" w:cs="Times New Roman"/>
                      <w:color w:val="000000" w:themeColor="text1"/>
                      <w:sz w:val="21"/>
                      <w:szCs w:val="21"/>
                      <w:lang w:eastAsia="zh-CN"/>
                      <w14:textFill>
                        <w14:solidFill>
                          <w14:schemeClr w14:val="tx1"/>
                        </w14:solidFill>
                      </w14:textFill>
                    </w:rPr>
                    <w:t>。</w:t>
                  </w:r>
                </w:p>
                <w:p w14:paraId="53ADC9E5">
                  <w:pPr>
                    <w:pStyle w:val="36"/>
                    <w:spacing w:line="240" w:lineRule="auto"/>
                    <w:ind w:firstLine="0" w:firstLineChars="0"/>
                    <w:jc w:val="left"/>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手防护：戴橡胶耐油手套</w:t>
                  </w:r>
                  <w:r>
                    <w:rPr>
                      <w:rFonts w:hint="eastAsia" w:cs="Times New Roman"/>
                      <w:color w:val="000000" w:themeColor="text1"/>
                      <w:sz w:val="21"/>
                      <w:szCs w:val="21"/>
                      <w:lang w:eastAsia="zh-CN"/>
                      <w14:textFill>
                        <w14:solidFill>
                          <w14:schemeClr w14:val="tx1"/>
                        </w14:solidFill>
                      </w14:textFill>
                    </w:rPr>
                    <w:t>。</w:t>
                  </w:r>
                </w:p>
                <w:p w14:paraId="4D274562">
                  <w:pPr>
                    <w:pStyle w:val="36"/>
                    <w:spacing w:line="240" w:lineRule="auto"/>
                    <w:ind w:firstLine="0" w:firstLineChars="0"/>
                    <w:jc w:val="left"/>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其他：工作现场严禁吸烟。避免长期反复接触。</w:t>
                  </w:r>
                </w:p>
              </w:tc>
            </w:tr>
          </w:tbl>
          <w:p w14:paraId="21C37657">
            <w:pPr>
              <w:widowControl/>
              <w:rPr>
                <w:rFonts w:cs="宋体"/>
                <w:color w:val="000000" w:themeColor="text1"/>
                <w:kern w:val="0"/>
                <w:sz w:val="24"/>
                <w:lang w:bidi="ar"/>
                <w14:textFill>
                  <w14:solidFill>
                    <w14:schemeClr w14:val="tx1"/>
                  </w14:solidFill>
                </w14:textFill>
              </w:rPr>
            </w:pPr>
          </w:p>
          <w:p w14:paraId="1A6B0DFF">
            <w:pPr>
              <w:widowControl/>
              <w:jc w:val="center"/>
              <w:rPr>
                <w:rFonts w:cs="宋体"/>
                <w:b/>
                <w:bCs/>
                <w:color w:val="000000" w:themeColor="text1"/>
                <w:kern w:val="0"/>
                <w:szCs w:val="21"/>
                <w:lang w:bidi="ar"/>
                <w14:textFill>
                  <w14:solidFill>
                    <w14:schemeClr w14:val="tx1"/>
                  </w14:solidFill>
                </w14:textFill>
              </w:rPr>
            </w:pPr>
            <w:r>
              <w:rPr>
                <w:rFonts w:cs="宋体"/>
                <w:b/>
                <w:bCs/>
                <w:color w:val="000000" w:themeColor="text1"/>
                <w:kern w:val="0"/>
                <w:szCs w:val="21"/>
                <w:lang w:bidi="ar"/>
                <w14:textFill>
                  <w14:solidFill>
                    <w14:schemeClr w14:val="tx1"/>
                  </w14:solidFill>
                </w14:textFill>
              </w:rPr>
              <w:t>表</w:t>
            </w:r>
            <w:r>
              <w:rPr>
                <w:rFonts w:hint="eastAsia" w:cs="宋体"/>
                <w:b/>
                <w:bCs/>
                <w:color w:val="000000" w:themeColor="text1"/>
                <w:kern w:val="0"/>
                <w:szCs w:val="21"/>
                <w:lang w:bidi="ar"/>
                <w14:textFill>
                  <w14:solidFill>
                    <w14:schemeClr w14:val="tx1"/>
                  </w14:solidFill>
                </w14:textFill>
              </w:rPr>
              <w:t>4-13 氨</w:t>
            </w:r>
            <w:r>
              <w:rPr>
                <w:rFonts w:cs="宋体"/>
                <w:b/>
                <w:bCs/>
                <w:color w:val="000000" w:themeColor="text1"/>
                <w:kern w:val="0"/>
                <w:szCs w:val="21"/>
                <w:lang w:bidi="ar"/>
                <w14:textFill>
                  <w14:solidFill>
                    <w14:schemeClr w14:val="tx1"/>
                  </w14:solidFill>
                </w14:textFill>
              </w:rPr>
              <w:t>理化性质</w:t>
            </w:r>
            <w:r>
              <w:rPr>
                <w:rFonts w:hint="eastAsia" w:cs="宋体"/>
                <w:b/>
                <w:bCs/>
                <w:color w:val="000000" w:themeColor="text1"/>
                <w:kern w:val="0"/>
                <w:szCs w:val="21"/>
                <w:lang w:bidi="ar"/>
                <w14:textFill>
                  <w14:solidFill>
                    <w14:schemeClr w14:val="tx1"/>
                  </w14:solidFill>
                </w14:textFill>
              </w:rPr>
              <w:t>表</w:t>
            </w:r>
          </w:p>
          <w:tbl>
            <w:tblPr>
              <w:tblStyle w:val="22"/>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3562"/>
              <w:gridCol w:w="3509"/>
            </w:tblGrid>
            <w:tr w14:paraId="6C87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vMerge w:val="restart"/>
                  <w:vAlign w:val="center"/>
                </w:tcPr>
                <w:p w14:paraId="1804B5B3">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标识</w:t>
                  </w:r>
                </w:p>
              </w:tc>
              <w:tc>
                <w:tcPr>
                  <w:tcW w:w="3562" w:type="dxa"/>
                  <w:vAlign w:val="center"/>
                </w:tcPr>
                <w:p w14:paraId="07BB4123">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中文名：氨</w:t>
                  </w:r>
                </w:p>
              </w:tc>
              <w:tc>
                <w:tcPr>
                  <w:tcW w:w="3509" w:type="dxa"/>
                  <w:vAlign w:val="center"/>
                </w:tcPr>
                <w:p w14:paraId="35BE9C87">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英文名</w:t>
                  </w:r>
                  <w:r>
                    <w:rPr>
                      <w:rFonts w:cs="Times New Roman"/>
                      <w:color w:val="000000" w:themeColor="text1"/>
                      <w:sz w:val="21"/>
                      <w:szCs w:val="21"/>
                      <w:lang w:val="de-DE" w:eastAsia="zh-CN"/>
                      <w14:textFill>
                        <w14:solidFill>
                          <w14:schemeClr w14:val="tx1"/>
                        </w14:solidFill>
                      </w14:textFill>
                    </w:rPr>
                    <w:t>：</w:t>
                  </w:r>
                  <w:r>
                    <w:rPr>
                      <w:rFonts w:cs="Times New Roman"/>
                      <w:color w:val="000000" w:themeColor="text1"/>
                      <w:sz w:val="21"/>
                      <w:szCs w:val="21"/>
                      <w:lang w:eastAsia="zh-CN"/>
                      <w14:textFill>
                        <w14:solidFill>
                          <w14:schemeClr w14:val="tx1"/>
                        </w14:solidFill>
                      </w14:textFill>
                    </w:rPr>
                    <w:t>ammonia</w:t>
                  </w:r>
                </w:p>
              </w:tc>
            </w:tr>
            <w:tr w14:paraId="199D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vMerge w:val="continue"/>
                  <w:vAlign w:val="center"/>
                </w:tcPr>
                <w:p w14:paraId="2FAEC7E3">
                  <w:pPr>
                    <w:pStyle w:val="36"/>
                    <w:spacing w:line="240" w:lineRule="auto"/>
                    <w:ind w:firstLine="0" w:firstLineChars="0"/>
                    <w:jc w:val="center"/>
                    <w:rPr>
                      <w:rFonts w:cs="Times New Roman"/>
                      <w:b/>
                      <w:bCs/>
                      <w:color w:val="000000" w:themeColor="text1"/>
                      <w:sz w:val="21"/>
                      <w:szCs w:val="21"/>
                      <w:lang w:val="de-DE" w:eastAsia="zh-CN"/>
                      <w14:textFill>
                        <w14:solidFill>
                          <w14:schemeClr w14:val="tx1"/>
                        </w14:solidFill>
                      </w14:textFill>
                    </w:rPr>
                  </w:pPr>
                </w:p>
              </w:tc>
              <w:tc>
                <w:tcPr>
                  <w:tcW w:w="3562" w:type="dxa"/>
                  <w:vAlign w:val="center"/>
                </w:tcPr>
                <w:p w14:paraId="5F3713B9">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分子式：NH</w:t>
                  </w:r>
                  <w:r>
                    <w:rPr>
                      <w:rFonts w:cs="Times New Roman"/>
                      <w:color w:val="000000" w:themeColor="text1"/>
                      <w:sz w:val="21"/>
                      <w:szCs w:val="21"/>
                      <w:vertAlign w:val="subscript"/>
                      <w:lang w:eastAsia="zh-CN"/>
                      <w14:textFill>
                        <w14:solidFill>
                          <w14:schemeClr w14:val="tx1"/>
                        </w14:solidFill>
                      </w14:textFill>
                    </w:rPr>
                    <w:t>3</w:t>
                  </w:r>
                </w:p>
              </w:tc>
              <w:tc>
                <w:tcPr>
                  <w:tcW w:w="3509" w:type="dxa"/>
                  <w:vAlign w:val="center"/>
                </w:tcPr>
                <w:p w14:paraId="5EFC8C41">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CAS号：7664-41-7</w:t>
                  </w:r>
                </w:p>
              </w:tc>
            </w:tr>
            <w:tr w14:paraId="73BB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vMerge w:val="restart"/>
                  <w:vAlign w:val="center"/>
                </w:tcPr>
                <w:p w14:paraId="47F5BFBA">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理化性质</w:t>
                  </w:r>
                </w:p>
              </w:tc>
              <w:tc>
                <w:tcPr>
                  <w:tcW w:w="7071" w:type="dxa"/>
                  <w:gridSpan w:val="2"/>
                  <w:vAlign w:val="center"/>
                </w:tcPr>
                <w:p w14:paraId="39C91F1C">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外观及性状：无色有刺激性恶臭气体</w:t>
                  </w:r>
                </w:p>
              </w:tc>
            </w:tr>
            <w:tr w14:paraId="2271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vMerge w:val="continue"/>
                  <w:vAlign w:val="center"/>
                </w:tcPr>
                <w:p w14:paraId="6FF34460">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p>
              </w:tc>
              <w:tc>
                <w:tcPr>
                  <w:tcW w:w="3562" w:type="dxa"/>
                  <w:vAlign w:val="center"/>
                </w:tcPr>
                <w:p w14:paraId="62931906">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熔点（℃）：-77.7</w:t>
                  </w:r>
                </w:p>
              </w:tc>
              <w:tc>
                <w:tcPr>
                  <w:tcW w:w="3509" w:type="dxa"/>
                  <w:vAlign w:val="center"/>
                </w:tcPr>
                <w:p w14:paraId="4033E8A6">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闪点（℃）：—</w:t>
                  </w:r>
                </w:p>
              </w:tc>
            </w:tr>
            <w:tr w14:paraId="4916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vMerge w:val="continue"/>
                  <w:vAlign w:val="center"/>
                </w:tcPr>
                <w:p w14:paraId="6696DE27">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p>
              </w:tc>
              <w:tc>
                <w:tcPr>
                  <w:tcW w:w="7071" w:type="dxa"/>
                  <w:gridSpan w:val="2"/>
                  <w:vAlign w:val="center"/>
                </w:tcPr>
                <w:p w14:paraId="44D561D3">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溶解性：易溶于水、乙醇、乙醚</w:t>
                  </w:r>
                </w:p>
              </w:tc>
            </w:tr>
            <w:tr w14:paraId="2330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vMerge w:val="restart"/>
                  <w:vAlign w:val="center"/>
                </w:tcPr>
                <w:p w14:paraId="04D65020">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燃烧爆炸危险性</w:t>
                  </w:r>
                </w:p>
              </w:tc>
              <w:tc>
                <w:tcPr>
                  <w:tcW w:w="3562" w:type="dxa"/>
                  <w:vAlign w:val="center"/>
                </w:tcPr>
                <w:p w14:paraId="2CCC8E34">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爆炸上限：27.4%；爆炸下限：15.7%</w:t>
                  </w:r>
                </w:p>
              </w:tc>
              <w:tc>
                <w:tcPr>
                  <w:tcW w:w="3509" w:type="dxa"/>
                  <w:vAlign w:val="center"/>
                </w:tcPr>
                <w:p w14:paraId="3E782BAB">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有害燃烧产物：</w:t>
                  </w:r>
                  <w:r>
                    <w:rPr>
                      <w:rFonts w:hint="eastAsia" w:cs="Times New Roman"/>
                      <w:color w:val="000000" w:themeColor="text1"/>
                      <w:sz w:val="21"/>
                      <w:szCs w:val="21"/>
                      <w:lang w:eastAsia="zh-CN"/>
                      <w14:textFill>
                        <w14:solidFill>
                          <w14:schemeClr w14:val="tx1"/>
                        </w14:solidFill>
                      </w14:textFill>
                    </w:rPr>
                    <w:t>NO</w:t>
                  </w:r>
                  <w:r>
                    <w:rPr>
                      <w:rFonts w:cs="Times New Roman"/>
                      <w:color w:val="000000" w:themeColor="text1"/>
                      <w:sz w:val="21"/>
                      <w:szCs w:val="21"/>
                      <w:lang w:eastAsia="zh-CN"/>
                      <w14:textFill>
                        <w14:solidFill>
                          <w14:schemeClr w14:val="tx1"/>
                        </w14:solidFill>
                      </w14:textFill>
                    </w:rPr>
                    <w:t>、NH</w:t>
                  </w:r>
                  <w:r>
                    <w:rPr>
                      <w:rFonts w:cs="Times New Roman"/>
                      <w:color w:val="000000" w:themeColor="text1"/>
                      <w:sz w:val="21"/>
                      <w:szCs w:val="21"/>
                      <w:vertAlign w:val="subscript"/>
                      <w:lang w:eastAsia="zh-CN"/>
                      <w14:textFill>
                        <w14:solidFill>
                          <w14:schemeClr w14:val="tx1"/>
                        </w14:solidFill>
                      </w14:textFill>
                    </w:rPr>
                    <w:t>3</w:t>
                  </w:r>
                </w:p>
              </w:tc>
            </w:tr>
            <w:tr w14:paraId="0B9B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vMerge w:val="continue"/>
                  <w:vAlign w:val="center"/>
                </w:tcPr>
                <w:p w14:paraId="08D294AE">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p>
              </w:tc>
              <w:tc>
                <w:tcPr>
                  <w:tcW w:w="3562" w:type="dxa"/>
                  <w:vAlign w:val="center"/>
                </w:tcPr>
                <w:p w14:paraId="119E8080">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危险类别：易燃</w:t>
                  </w:r>
                </w:p>
              </w:tc>
              <w:tc>
                <w:tcPr>
                  <w:tcW w:w="3509" w:type="dxa"/>
                  <w:vAlign w:val="center"/>
                </w:tcPr>
                <w:p w14:paraId="08B46534">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稳定性：稳定</w:t>
                  </w:r>
                </w:p>
              </w:tc>
            </w:tr>
            <w:tr w14:paraId="1848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vMerge w:val="continue"/>
                  <w:vAlign w:val="center"/>
                </w:tcPr>
                <w:p w14:paraId="5924D576">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p>
              </w:tc>
              <w:tc>
                <w:tcPr>
                  <w:tcW w:w="7071" w:type="dxa"/>
                  <w:gridSpan w:val="2"/>
                  <w:vAlign w:val="center"/>
                </w:tcPr>
                <w:p w14:paraId="751DEE33">
                  <w:pPr>
                    <w:pStyle w:val="36"/>
                    <w:spacing w:line="240" w:lineRule="auto"/>
                    <w:ind w:firstLine="0" w:firstLineChars="0"/>
                    <w:jc w:val="center"/>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引燃温度（℃）：651</w:t>
                  </w:r>
                </w:p>
              </w:tc>
            </w:tr>
            <w:tr w14:paraId="3A27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vMerge w:val="continue"/>
                  <w:vAlign w:val="center"/>
                </w:tcPr>
                <w:p w14:paraId="1F677E94">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p>
              </w:tc>
              <w:tc>
                <w:tcPr>
                  <w:tcW w:w="7071" w:type="dxa"/>
                  <w:gridSpan w:val="2"/>
                  <w:vAlign w:val="center"/>
                </w:tcPr>
                <w:p w14:paraId="606FC00A">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危险特性：与空气混合能形成爆炸性混合物。遇明火、高温能引起燃烧爆炸。与氟、氯等接触会发生剧烈化学反应。遇高温，容器内压增大，有开裂和爆炸危险。</w:t>
                  </w:r>
                </w:p>
              </w:tc>
            </w:tr>
            <w:tr w14:paraId="29E7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vMerge w:val="continue"/>
                  <w:vAlign w:val="center"/>
                </w:tcPr>
                <w:p w14:paraId="0E448C5E">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p>
              </w:tc>
              <w:tc>
                <w:tcPr>
                  <w:tcW w:w="7071" w:type="dxa"/>
                  <w:gridSpan w:val="2"/>
                  <w:vAlign w:val="center"/>
                </w:tcPr>
                <w:p w14:paraId="76C9A2EC">
                  <w:pPr>
                    <w:pStyle w:val="36"/>
                    <w:spacing w:line="240" w:lineRule="auto"/>
                    <w:ind w:firstLine="0" w:firstLineChars="0"/>
                    <w:jc w:val="left"/>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灭火方法：消防人员须戴空气呼吸器、穿全身防火防毒服，在上风向灭火，切断气源。若不能切断气源，则不允许熄灭泄漏处火焰。喷水冷却容器，可能的话将容器从火场移至空旷处。</w:t>
                  </w:r>
                </w:p>
                <w:p w14:paraId="307C4174">
                  <w:pPr>
                    <w:pStyle w:val="36"/>
                    <w:spacing w:line="240" w:lineRule="auto"/>
                    <w:ind w:firstLine="0" w:firstLineChars="0"/>
                    <w:jc w:val="left"/>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灭火剂：雾状水、抗溶性泡沫、</w:t>
                  </w:r>
                  <w:r>
                    <w:rPr>
                      <w:rFonts w:hint="eastAsia" w:cs="Times New Roman"/>
                      <w:color w:val="000000" w:themeColor="text1"/>
                      <w:sz w:val="21"/>
                      <w:szCs w:val="21"/>
                      <w:lang w:eastAsia="zh-CN"/>
                      <w14:textFill>
                        <w14:solidFill>
                          <w14:schemeClr w14:val="tx1"/>
                        </w14:solidFill>
                      </w14:textFill>
                    </w:rPr>
                    <w:t>CO</w:t>
                  </w:r>
                  <w:r>
                    <w:rPr>
                      <w:rFonts w:hint="eastAsia" w:cs="Times New Roman"/>
                      <w:color w:val="000000" w:themeColor="text1"/>
                      <w:sz w:val="21"/>
                      <w:szCs w:val="21"/>
                      <w:vertAlign w:val="subscript"/>
                      <w:lang w:eastAsia="zh-CN"/>
                      <w14:textFill>
                        <w14:solidFill>
                          <w14:schemeClr w14:val="tx1"/>
                        </w14:solidFill>
                      </w14:textFill>
                    </w:rPr>
                    <w:t>2</w:t>
                  </w:r>
                  <w:r>
                    <w:rPr>
                      <w:rFonts w:cs="Times New Roman"/>
                      <w:color w:val="000000" w:themeColor="text1"/>
                      <w:sz w:val="21"/>
                      <w:szCs w:val="21"/>
                      <w:lang w:eastAsia="zh-CN"/>
                      <w14:textFill>
                        <w14:solidFill>
                          <w14:schemeClr w14:val="tx1"/>
                        </w14:solidFill>
                      </w14:textFill>
                    </w:rPr>
                    <w:t>、砂土。</w:t>
                  </w:r>
                </w:p>
              </w:tc>
            </w:tr>
            <w:tr w14:paraId="76A30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vAlign w:val="center"/>
                </w:tcPr>
                <w:p w14:paraId="3DACF02B">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急性毒性</w:t>
                  </w:r>
                </w:p>
              </w:tc>
              <w:tc>
                <w:tcPr>
                  <w:tcW w:w="7071" w:type="dxa"/>
                  <w:gridSpan w:val="2"/>
                  <w:vAlign w:val="center"/>
                </w:tcPr>
                <w:p w14:paraId="2E8670D2">
                  <w:pPr>
                    <w:pStyle w:val="36"/>
                    <w:spacing w:line="240" w:lineRule="auto"/>
                    <w:ind w:firstLine="0" w:firstLineChars="0"/>
                    <w:jc w:val="left"/>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最高允许浓度：LD50350（mg/kg，大鼠经口），LC501390（mg/m</w:t>
                  </w:r>
                  <w:r>
                    <w:rPr>
                      <w:rFonts w:cs="Times New Roman"/>
                      <w:color w:val="000000" w:themeColor="text1"/>
                      <w:sz w:val="21"/>
                      <w:szCs w:val="21"/>
                      <w:vertAlign w:val="superscript"/>
                      <w:lang w:eastAsia="zh-CN"/>
                      <w14:textFill>
                        <w14:solidFill>
                          <w14:schemeClr w14:val="tx1"/>
                        </w14:solidFill>
                      </w14:textFill>
                    </w:rPr>
                    <w:t>3</w:t>
                  </w:r>
                  <w:r>
                    <w:rPr>
                      <w:rFonts w:cs="Times New Roman"/>
                      <w:color w:val="000000" w:themeColor="text1"/>
                      <w:sz w:val="21"/>
                      <w:szCs w:val="21"/>
                      <w:lang w:eastAsia="zh-CN"/>
                      <w14:textFill>
                        <w14:solidFill>
                          <w14:schemeClr w14:val="tx1"/>
                        </w14:solidFill>
                      </w14:textFill>
                    </w:rPr>
                    <w:t>，4</w:t>
                  </w:r>
                  <w:r>
                    <w:rPr>
                      <w:rFonts w:hint="eastAsia" w:cs="Times New Roman"/>
                      <w:color w:val="000000" w:themeColor="text1"/>
                      <w:sz w:val="21"/>
                      <w:szCs w:val="21"/>
                      <w:lang w:eastAsia="zh-CN"/>
                      <w14:textFill>
                        <w14:solidFill>
                          <w14:schemeClr w14:val="tx1"/>
                        </w14:solidFill>
                      </w14:textFill>
                    </w:rPr>
                    <w:t>h</w:t>
                  </w:r>
                  <w:r>
                    <w:rPr>
                      <w:rFonts w:cs="Times New Roman"/>
                      <w:color w:val="000000" w:themeColor="text1"/>
                      <w:sz w:val="21"/>
                      <w:szCs w:val="21"/>
                      <w:lang w:eastAsia="zh-CN"/>
                      <w14:textFill>
                        <w14:solidFill>
                          <w14:schemeClr w14:val="tx1"/>
                        </w14:solidFill>
                      </w14:textFill>
                    </w:rPr>
                    <w:t>，大鼠吸入）</w:t>
                  </w:r>
                </w:p>
              </w:tc>
            </w:tr>
            <w:tr w14:paraId="4456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vAlign w:val="center"/>
                </w:tcPr>
                <w:p w14:paraId="668CDE0C">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健康危害</w:t>
                  </w:r>
                </w:p>
              </w:tc>
              <w:tc>
                <w:tcPr>
                  <w:tcW w:w="7071" w:type="dxa"/>
                  <w:gridSpan w:val="2"/>
                  <w:vAlign w:val="center"/>
                </w:tcPr>
                <w:p w14:paraId="452F5830">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侵入途径：吸入轻度者出现流泪、咽痛、声音嘶哑、咳嗽、咯痰等；眼结膜、鼻黏膜、咽部充血、水肿；胸部X线征象符合支气管炎或支气管周围炎。严重者可发生中毒性肺水肿，或有呼吸窘迫综合征，患者剧烈咳嗽、咯大量粉红色泡沫痰、呼吸窘迫、昏迷、休克等。可发生喉头水肿或支气管黏膜坏死脱落窒息。高浓度氨可引起反射性呼吸停止。液氨或高浓度氨可致眼灼伤；液氨可致皮肤灼伤。</w:t>
                  </w:r>
                </w:p>
              </w:tc>
            </w:tr>
            <w:tr w14:paraId="4DA1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vAlign w:val="center"/>
                </w:tcPr>
                <w:p w14:paraId="655CB109">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急救措施</w:t>
                  </w:r>
                </w:p>
              </w:tc>
              <w:tc>
                <w:tcPr>
                  <w:tcW w:w="7071" w:type="dxa"/>
                  <w:gridSpan w:val="2"/>
                  <w:vAlign w:val="center"/>
                </w:tcPr>
                <w:p w14:paraId="3000A460">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皮肤接触：脱去被污染衣着，用2%硼酸液或大量清水彻底冲洗，就医</w:t>
                  </w:r>
                  <w:r>
                    <w:rPr>
                      <w:rFonts w:hint="eastAsia" w:cs="Times New Roman"/>
                      <w:color w:val="000000" w:themeColor="text1"/>
                      <w:sz w:val="21"/>
                      <w:szCs w:val="21"/>
                      <w:lang w:eastAsia="zh-CN"/>
                      <w14:textFill>
                        <w14:solidFill>
                          <w14:schemeClr w14:val="tx1"/>
                        </w14:solidFill>
                      </w14:textFill>
                    </w:rPr>
                    <w:t>。</w:t>
                  </w:r>
                </w:p>
                <w:p w14:paraId="23AEC541">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眼睛接触：立即提起眼睑，用大量流动清水或生理盐水彻底冲洗至少15分钟，就医</w:t>
                  </w:r>
                  <w:r>
                    <w:rPr>
                      <w:rFonts w:hint="eastAsia" w:cs="Times New Roman"/>
                      <w:color w:val="000000" w:themeColor="text1"/>
                      <w:sz w:val="21"/>
                      <w:szCs w:val="21"/>
                      <w:lang w:eastAsia="zh-CN"/>
                      <w14:textFill>
                        <w14:solidFill>
                          <w14:schemeClr w14:val="tx1"/>
                        </w14:solidFill>
                      </w14:textFill>
                    </w:rPr>
                    <w:t>。</w:t>
                  </w:r>
                </w:p>
                <w:p w14:paraId="02D201F1">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吸入：迅速脱离现场至空气新鲜处，保持呼吸道通畅，如呼吸困难，给输氧，如呼吸停止，立即进行人工呼吸，就医</w:t>
                  </w:r>
                  <w:r>
                    <w:rPr>
                      <w:rFonts w:hint="eastAsia" w:cs="Times New Roman"/>
                      <w:color w:val="000000" w:themeColor="text1"/>
                      <w:sz w:val="21"/>
                      <w:szCs w:val="21"/>
                      <w:lang w:eastAsia="zh-CN"/>
                      <w14:textFill>
                        <w14:solidFill>
                          <w14:schemeClr w14:val="tx1"/>
                        </w14:solidFill>
                      </w14:textFill>
                    </w:rPr>
                    <w:t>。</w:t>
                  </w:r>
                </w:p>
              </w:tc>
            </w:tr>
            <w:tr w14:paraId="2F18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9" w:type="dxa"/>
                  <w:vAlign w:val="center"/>
                </w:tcPr>
                <w:p w14:paraId="3C45B4A6">
                  <w:pPr>
                    <w:pStyle w:val="36"/>
                    <w:spacing w:line="240" w:lineRule="auto"/>
                    <w:ind w:firstLine="0" w:firstLineChars="0"/>
                    <w:jc w:val="center"/>
                    <w:rPr>
                      <w:rFonts w:cs="Times New Roman"/>
                      <w:b/>
                      <w:bCs/>
                      <w:color w:val="000000" w:themeColor="text1"/>
                      <w:sz w:val="21"/>
                      <w:szCs w:val="21"/>
                      <w:lang w:eastAsia="zh-CN"/>
                      <w14:textFill>
                        <w14:solidFill>
                          <w14:schemeClr w14:val="tx1"/>
                        </w14:solidFill>
                      </w14:textFill>
                    </w:rPr>
                  </w:pPr>
                  <w:r>
                    <w:rPr>
                      <w:rFonts w:cs="Times New Roman"/>
                      <w:b/>
                      <w:bCs/>
                      <w:color w:val="000000" w:themeColor="text1"/>
                      <w:sz w:val="21"/>
                      <w:szCs w:val="21"/>
                      <w:lang w:eastAsia="zh-CN"/>
                      <w14:textFill>
                        <w14:solidFill>
                          <w14:schemeClr w14:val="tx1"/>
                        </w14:solidFill>
                      </w14:textFill>
                    </w:rPr>
                    <w:t>防护措施</w:t>
                  </w:r>
                </w:p>
              </w:tc>
              <w:tc>
                <w:tcPr>
                  <w:tcW w:w="7071" w:type="dxa"/>
                  <w:gridSpan w:val="2"/>
                  <w:vAlign w:val="center"/>
                </w:tcPr>
                <w:p w14:paraId="59300E08">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工程控制：严加密闭，提供充分局部排风和全面通风；提供安全淋浴和洗眼设备</w:t>
                  </w:r>
                  <w:r>
                    <w:rPr>
                      <w:rFonts w:hint="eastAsia" w:cs="Times New Roman"/>
                      <w:color w:val="000000" w:themeColor="text1"/>
                      <w:sz w:val="21"/>
                      <w:szCs w:val="21"/>
                      <w:lang w:eastAsia="zh-CN"/>
                      <w14:textFill>
                        <w14:solidFill>
                          <w14:schemeClr w14:val="tx1"/>
                        </w14:solidFill>
                      </w14:textFill>
                    </w:rPr>
                    <w:t>。</w:t>
                  </w:r>
                </w:p>
                <w:p w14:paraId="23973EEC">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呼吸系统防护：空气中浓度超标时，建议佩戴过滤式防毒面具（半面罩）。紧急事态抢救或撤离时，应该佩戴空气呼吸器</w:t>
                  </w:r>
                  <w:r>
                    <w:rPr>
                      <w:rFonts w:hint="eastAsia" w:cs="Times New Roman"/>
                      <w:color w:val="000000" w:themeColor="text1"/>
                      <w:sz w:val="21"/>
                      <w:szCs w:val="21"/>
                      <w:lang w:eastAsia="zh-CN"/>
                      <w14:textFill>
                        <w14:solidFill>
                          <w14:schemeClr w14:val="tx1"/>
                        </w14:solidFill>
                      </w14:textFill>
                    </w:rPr>
                    <w:t>。</w:t>
                  </w:r>
                </w:p>
                <w:p w14:paraId="7C559A6E">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眼睛防护：戴化学安全防护眼镜</w:t>
                  </w:r>
                  <w:r>
                    <w:rPr>
                      <w:rFonts w:hint="eastAsia" w:cs="Times New Roman"/>
                      <w:color w:val="000000" w:themeColor="text1"/>
                      <w:sz w:val="21"/>
                      <w:szCs w:val="21"/>
                      <w:lang w:eastAsia="zh-CN"/>
                      <w14:textFill>
                        <w14:solidFill>
                          <w14:schemeClr w14:val="tx1"/>
                        </w14:solidFill>
                      </w14:textFill>
                    </w:rPr>
                    <w:t>。</w:t>
                  </w:r>
                  <w:r>
                    <w:rPr>
                      <w:rFonts w:cs="Times New Roman"/>
                      <w:color w:val="000000" w:themeColor="text1"/>
                      <w:sz w:val="21"/>
                      <w:szCs w:val="21"/>
                      <w:lang w:eastAsia="zh-CN"/>
                      <w14:textFill>
                        <w14:solidFill>
                          <w14:schemeClr w14:val="tx1"/>
                        </w14:solidFill>
                      </w14:textFill>
                    </w:rPr>
                    <w:t xml:space="preserve"> </w:t>
                  </w:r>
                </w:p>
                <w:p w14:paraId="7B125EBA">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身体防护：穿防静电工作服</w:t>
                  </w:r>
                  <w:r>
                    <w:rPr>
                      <w:rFonts w:hint="eastAsia" w:cs="Times New Roman"/>
                      <w:color w:val="000000" w:themeColor="text1"/>
                      <w:sz w:val="21"/>
                      <w:szCs w:val="21"/>
                      <w:lang w:eastAsia="zh-CN"/>
                      <w14:textFill>
                        <w14:solidFill>
                          <w14:schemeClr w14:val="tx1"/>
                        </w14:solidFill>
                      </w14:textFill>
                    </w:rPr>
                    <w:t>。</w:t>
                  </w:r>
                </w:p>
                <w:p w14:paraId="0AC8EDA6">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手防护：戴橡胶手套</w:t>
                  </w:r>
                  <w:r>
                    <w:rPr>
                      <w:rFonts w:hint="eastAsia" w:cs="Times New Roman"/>
                      <w:color w:val="000000" w:themeColor="text1"/>
                      <w:sz w:val="21"/>
                      <w:szCs w:val="21"/>
                      <w:lang w:eastAsia="zh-CN"/>
                      <w14:textFill>
                        <w14:solidFill>
                          <w14:schemeClr w14:val="tx1"/>
                        </w14:solidFill>
                      </w14:textFill>
                    </w:rPr>
                    <w:t>。</w:t>
                  </w:r>
                </w:p>
                <w:p w14:paraId="5951B851">
                  <w:pPr>
                    <w:pStyle w:val="36"/>
                    <w:spacing w:line="240" w:lineRule="auto"/>
                    <w:ind w:firstLine="0" w:firstLineChars="0"/>
                    <w:rPr>
                      <w:rFonts w:cs="Times New Roman"/>
                      <w:color w:val="000000" w:themeColor="text1"/>
                      <w:sz w:val="21"/>
                      <w:szCs w:val="21"/>
                      <w:lang w:eastAsia="zh-CN"/>
                      <w14:textFill>
                        <w14:solidFill>
                          <w14:schemeClr w14:val="tx1"/>
                        </w14:solidFill>
                      </w14:textFill>
                    </w:rPr>
                  </w:pPr>
                  <w:r>
                    <w:rPr>
                      <w:rFonts w:cs="Times New Roman"/>
                      <w:color w:val="000000" w:themeColor="text1"/>
                      <w:sz w:val="21"/>
                      <w:szCs w:val="21"/>
                      <w:lang w:eastAsia="zh-CN"/>
                      <w14:textFill>
                        <w14:solidFill>
                          <w14:schemeClr w14:val="tx1"/>
                        </w14:solidFill>
                      </w14:textFill>
                    </w:rPr>
                    <w:t>其他：工作现场严禁吸烟、进食和饮水。工作完毕，沐浴更衣，保持良好的卫生习惯。</w:t>
                  </w:r>
                </w:p>
              </w:tc>
            </w:tr>
          </w:tbl>
          <w:p w14:paraId="03FB6A55">
            <w:pPr>
              <w:pStyle w:val="36"/>
              <w:spacing w:line="240" w:lineRule="auto"/>
              <w:ind w:firstLine="0" w:firstLineChars="0"/>
              <w:rPr>
                <w:color w:val="000000" w:themeColor="text1"/>
                <w:spacing w:val="0"/>
                <w:lang w:eastAsia="zh-CN"/>
                <w14:textFill>
                  <w14:solidFill>
                    <w14:schemeClr w14:val="tx1"/>
                  </w14:solidFill>
                </w14:textFill>
              </w:rPr>
            </w:pPr>
          </w:p>
          <w:p w14:paraId="2069F96C">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（2）环境风险潜势初判</w:t>
            </w:r>
          </w:p>
          <w:p w14:paraId="648B17AE">
            <w:pPr>
              <w:spacing w:line="360" w:lineRule="auto"/>
              <w:ind w:firstLine="480" w:firstLineChars="200"/>
              <w:textAlignment w:val="baseline"/>
              <w:rPr>
                <w:sz w:val="24"/>
              </w:rPr>
            </w:pPr>
            <w:r>
              <w:rPr>
                <w:sz w:val="24"/>
              </w:rPr>
              <w:t>根据《建设项目环境风险评价技术导则》（HJ</w:t>
            </w:r>
            <w:r>
              <w:rPr>
                <w:rFonts w:hint="eastAsia"/>
                <w:sz w:val="24"/>
              </w:rPr>
              <w:t xml:space="preserve"> </w:t>
            </w:r>
            <w:r>
              <w:rPr>
                <w:sz w:val="24"/>
              </w:rPr>
              <w:t>169-2018）附录C，</w:t>
            </w:r>
            <w:r>
              <w:rPr>
                <w:rFonts w:hint="eastAsia"/>
                <w:sz w:val="24"/>
              </w:rPr>
              <w:t>确定</w:t>
            </w:r>
            <w:r>
              <w:rPr>
                <w:sz w:val="24"/>
              </w:rPr>
              <w:t>危险物质数量及临界量比值Q</w:t>
            </w:r>
            <w:r>
              <w:rPr>
                <w:rFonts w:hint="eastAsia"/>
                <w:sz w:val="24"/>
              </w:rPr>
              <w:t>，</w:t>
            </w:r>
            <w:r>
              <w:rPr>
                <w:sz w:val="24"/>
              </w:rPr>
              <w:t>Q</w:t>
            </w:r>
            <w:r>
              <w:rPr>
                <w:rFonts w:hint="eastAsia"/>
                <w:sz w:val="24"/>
              </w:rPr>
              <w:t>值</w:t>
            </w:r>
            <w:r>
              <w:rPr>
                <w:sz w:val="24"/>
              </w:rPr>
              <w:t>按下式计算：</w:t>
            </w:r>
          </w:p>
          <w:p w14:paraId="47184F3E">
            <w:pPr>
              <w:pStyle w:val="5"/>
              <w:ind w:firstLine="480"/>
              <w:jc w:val="center"/>
              <w:rPr>
                <w:sz w:val="24"/>
              </w:rPr>
            </w:pPr>
            <w:r>
              <w:rPr>
                <w:sz w:val="24"/>
              </w:rPr>
              <w:drawing>
                <wp:inline distT="0" distB="0" distL="0" distR="0">
                  <wp:extent cx="1978660" cy="464185"/>
                  <wp:effectExtent l="0" t="0" r="2540" b="0"/>
                  <wp:docPr id="3408764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76477" name="图片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978660" cy="464185"/>
                          </a:xfrm>
                          <a:prstGeom prst="rect">
                            <a:avLst/>
                          </a:prstGeom>
                          <a:noFill/>
                          <a:ln>
                            <a:noFill/>
                          </a:ln>
                        </pic:spPr>
                      </pic:pic>
                    </a:graphicData>
                  </a:graphic>
                </wp:inline>
              </w:drawing>
            </w:r>
          </w:p>
          <w:p w14:paraId="0AA4DFFC">
            <w:pPr>
              <w:spacing w:line="360" w:lineRule="auto"/>
              <w:ind w:firstLine="480" w:firstLineChars="200"/>
              <w:textAlignment w:val="baseline"/>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n</w:t>
            </w:r>
            <w:r>
              <w:rPr>
                <w:rFonts w:hint="eastAsia"/>
                <w:sz w:val="24"/>
              </w:rPr>
              <w:t>—</w:t>
            </w:r>
            <w:r>
              <w:rPr>
                <w:sz w:val="24"/>
              </w:rPr>
              <w:t>每种危险物质最大存在总量，t；</w:t>
            </w:r>
          </w:p>
          <w:p w14:paraId="72316D95">
            <w:pPr>
              <w:spacing w:line="360" w:lineRule="auto"/>
              <w:ind w:firstLine="1200" w:firstLineChars="500"/>
              <w:textAlignment w:val="baseline"/>
              <w:rPr>
                <w:sz w:val="24"/>
              </w:rPr>
            </w:pPr>
            <w:r>
              <w:rPr>
                <w:sz w:val="24"/>
              </w:rPr>
              <w:t>Q</w:t>
            </w:r>
            <w:r>
              <w:rPr>
                <w:sz w:val="24"/>
                <w:vertAlign w:val="subscript"/>
              </w:rPr>
              <w:t>1</w:t>
            </w:r>
            <w:r>
              <w:rPr>
                <w:sz w:val="24"/>
              </w:rPr>
              <w:t>，Q</w:t>
            </w:r>
            <w:r>
              <w:rPr>
                <w:sz w:val="24"/>
                <w:vertAlign w:val="subscript"/>
              </w:rPr>
              <w:t>2</w:t>
            </w:r>
            <w:r>
              <w:rPr>
                <w:sz w:val="24"/>
              </w:rPr>
              <w:t>，…，Qn</w:t>
            </w:r>
            <w:r>
              <w:rPr>
                <w:rFonts w:hint="eastAsia"/>
                <w:sz w:val="24"/>
              </w:rPr>
              <w:t>—</w:t>
            </w:r>
            <w:r>
              <w:rPr>
                <w:sz w:val="24"/>
              </w:rPr>
              <w:t>每种危险物质临界量，t。</w:t>
            </w:r>
          </w:p>
          <w:p w14:paraId="6AB0EC66">
            <w:pPr>
              <w:spacing w:line="360" w:lineRule="auto"/>
              <w:ind w:firstLine="480" w:firstLineChars="200"/>
              <w:textAlignment w:val="baseline"/>
              <w:rPr>
                <w:sz w:val="24"/>
              </w:rPr>
            </w:pPr>
            <w:r>
              <w:rPr>
                <w:sz w:val="24"/>
              </w:rPr>
              <w:t>当Q＜1时，该项目环境风险潜势为</w:t>
            </w:r>
            <w:r>
              <w:rPr>
                <w:rFonts w:asciiTheme="minorEastAsia" w:hAnsiTheme="minorEastAsia" w:eastAsiaTheme="minorEastAsia"/>
                <w:sz w:val="24"/>
              </w:rPr>
              <w:t>Ⅰ</w:t>
            </w:r>
            <w:r>
              <w:rPr>
                <w:sz w:val="24"/>
              </w:rPr>
              <w:t>。当Q</w:t>
            </w:r>
            <w:r>
              <w:rPr>
                <w:rFonts w:hint="eastAsia"/>
                <w:color w:val="000000" w:themeColor="text1"/>
                <w:sz w:val="24"/>
                <w14:textFill>
                  <w14:solidFill>
                    <w14:schemeClr w14:val="tx1"/>
                  </w14:solidFill>
                </w14:textFill>
              </w:rPr>
              <w:t>≥</w:t>
            </w:r>
            <w:r>
              <w:rPr>
                <w:sz w:val="24"/>
              </w:rPr>
              <w:t>1时，将Q值划分为：</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Q</w:t>
            </w:r>
            <w:r>
              <w:rPr>
                <w:rFonts w:hint="eastAsia"/>
                <w:color w:val="000000" w:themeColor="text1"/>
                <w:sz w:val="24"/>
                <w14:textFill>
                  <w14:solidFill>
                    <w14:schemeClr w14:val="tx1"/>
                  </w14:solidFill>
                </w14:textFill>
              </w:rPr>
              <w:t>&lt;</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Q</w:t>
            </w:r>
            <w:r>
              <w:rPr>
                <w:rFonts w:hint="eastAsia"/>
                <w:color w:val="000000" w:themeColor="text1"/>
                <w:sz w:val="24"/>
                <w14:textFill>
                  <w14:solidFill>
                    <w14:schemeClr w14:val="tx1"/>
                  </w14:solidFill>
                </w14:textFill>
              </w:rPr>
              <w:t>&lt;</w:t>
            </w:r>
            <w:r>
              <w:rPr>
                <w:color w:val="000000" w:themeColor="text1"/>
                <w:sz w:val="24"/>
                <w14:textFill>
                  <w14:solidFill>
                    <w14:schemeClr w14:val="tx1"/>
                  </w14:solidFill>
                </w14:textFill>
              </w:rPr>
              <w:t>100</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Q</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100</w:t>
            </w:r>
            <w:r>
              <w:rPr>
                <w:rFonts w:hint="eastAsia"/>
                <w:color w:val="000000" w:themeColor="text1"/>
                <w:sz w:val="24"/>
                <w14:textFill>
                  <w14:solidFill>
                    <w14:schemeClr w14:val="tx1"/>
                  </w14:solidFill>
                </w14:textFill>
              </w:rPr>
              <w:t>。</w:t>
            </w:r>
          </w:p>
          <w:p w14:paraId="0439E326">
            <w:pPr>
              <w:widowControl/>
              <w:jc w:val="center"/>
              <w:rPr>
                <w:rFonts w:cs="宋体"/>
                <w:b/>
                <w:bCs/>
                <w:color w:val="000000" w:themeColor="text1"/>
                <w:kern w:val="0"/>
                <w:szCs w:val="21"/>
                <w:lang w:bidi="ar"/>
                <w14:textFill>
                  <w14:solidFill>
                    <w14:schemeClr w14:val="tx1"/>
                  </w14:solidFill>
                </w14:textFill>
              </w:rPr>
            </w:pPr>
            <w:r>
              <w:rPr>
                <w:rFonts w:hint="eastAsia" w:cs="宋体"/>
                <w:b/>
                <w:bCs/>
                <w:color w:val="000000" w:themeColor="text1"/>
                <w:kern w:val="0"/>
                <w:szCs w:val="21"/>
                <w:lang w:bidi="ar"/>
                <w14:textFill>
                  <w14:solidFill>
                    <w14:schemeClr w14:val="tx1"/>
                  </w14:solidFill>
                </w14:textFill>
              </w:rPr>
              <w:t>表</w:t>
            </w:r>
            <w:r>
              <w:rPr>
                <w:rFonts w:cs="宋体"/>
                <w:b/>
                <w:bCs/>
                <w:color w:val="000000" w:themeColor="text1"/>
                <w:kern w:val="0"/>
                <w:szCs w:val="21"/>
                <w:lang w:bidi="ar"/>
                <w14:textFill>
                  <w14:solidFill>
                    <w14:schemeClr w14:val="tx1"/>
                  </w14:solidFill>
                </w14:textFill>
              </w:rPr>
              <w:t>4-</w:t>
            </w:r>
            <w:r>
              <w:rPr>
                <w:rFonts w:hint="eastAsia" w:cs="宋体"/>
                <w:b/>
                <w:bCs/>
                <w:color w:val="000000" w:themeColor="text1"/>
                <w:kern w:val="0"/>
                <w:szCs w:val="21"/>
                <w:lang w:bidi="ar"/>
                <w14:textFill>
                  <w14:solidFill>
                    <w14:schemeClr w14:val="tx1"/>
                  </w14:solidFill>
                </w14:textFill>
              </w:rPr>
              <w:t>14 项目危险物质存储情况表</w:t>
            </w:r>
          </w:p>
          <w:tbl>
            <w:tblPr>
              <w:tblStyle w:val="22"/>
              <w:tblW w:w="8250" w:type="dxa"/>
              <w:jc w:val="center"/>
              <w:tblLayout w:type="fixed"/>
              <w:tblCellMar>
                <w:top w:w="0" w:type="dxa"/>
                <w:left w:w="108" w:type="dxa"/>
                <w:bottom w:w="0" w:type="dxa"/>
                <w:right w:w="108" w:type="dxa"/>
              </w:tblCellMar>
            </w:tblPr>
            <w:tblGrid>
              <w:gridCol w:w="985"/>
              <w:gridCol w:w="2042"/>
              <w:gridCol w:w="1772"/>
              <w:gridCol w:w="1772"/>
              <w:gridCol w:w="1679"/>
            </w:tblGrid>
            <w:tr w14:paraId="1754DD88">
              <w:tblPrEx>
                <w:tblCellMar>
                  <w:top w:w="0" w:type="dxa"/>
                  <w:left w:w="108" w:type="dxa"/>
                  <w:bottom w:w="0" w:type="dxa"/>
                  <w:right w:w="108" w:type="dxa"/>
                </w:tblCellMar>
              </w:tblPrEx>
              <w:trPr>
                <w:trHeight w:val="340"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3BCBE533">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序号</w:t>
                  </w:r>
                </w:p>
              </w:tc>
              <w:tc>
                <w:tcPr>
                  <w:tcW w:w="2042" w:type="dxa"/>
                  <w:tcBorders>
                    <w:top w:val="single" w:color="000000" w:sz="4" w:space="0"/>
                    <w:left w:val="single" w:color="000000" w:sz="4" w:space="0"/>
                    <w:bottom w:val="single" w:color="000000" w:sz="4" w:space="0"/>
                    <w:right w:val="single" w:color="000000" w:sz="4" w:space="0"/>
                  </w:tcBorders>
                  <w:vAlign w:val="center"/>
                </w:tcPr>
                <w:p w14:paraId="18249871">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危险物质</w:t>
                  </w:r>
                </w:p>
              </w:tc>
              <w:tc>
                <w:tcPr>
                  <w:tcW w:w="1772" w:type="dxa"/>
                  <w:tcBorders>
                    <w:top w:val="single" w:color="000000" w:sz="4" w:space="0"/>
                    <w:left w:val="single" w:color="000000" w:sz="4" w:space="0"/>
                    <w:bottom w:val="single" w:color="000000" w:sz="4" w:space="0"/>
                    <w:right w:val="single" w:color="000000" w:sz="4" w:space="0"/>
                  </w:tcBorders>
                  <w:vAlign w:val="center"/>
                </w:tcPr>
                <w:p w14:paraId="4EF8E265">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临界量（t）</w:t>
                  </w:r>
                </w:p>
              </w:tc>
              <w:tc>
                <w:tcPr>
                  <w:tcW w:w="1772" w:type="dxa"/>
                  <w:tcBorders>
                    <w:top w:val="single" w:color="000000" w:sz="4" w:space="0"/>
                    <w:left w:val="single" w:color="000000" w:sz="4" w:space="0"/>
                    <w:bottom w:val="single" w:color="000000" w:sz="4" w:space="0"/>
                    <w:right w:val="single" w:color="000000" w:sz="4" w:space="0"/>
                  </w:tcBorders>
                  <w:vAlign w:val="center"/>
                </w:tcPr>
                <w:p w14:paraId="3D121123">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最大存储量（t）</w:t>
                  </w:r>
                </w:p>
              </w:tc>
              <w:tc>
                <w:tcPr>
                  <w:tcW w:w="1679" w:type="dxa"/>
                  <w:tcBorders>
                    <w:top w:val="single" w:color="000000" w:sz="4" w:space="0"/>
                    <w:left w:val="single" w:color="000000" w:sz="4" w:space="0"/>
                    <w:bottom w:val="single" w:color="000000" w:sz="4" w:space="0"/>
                    <w:right w:val="single" w:color="000000" w:sz="4" w:space="0"/>
                  </w:tcBorders>
                  <w:vAlign w:val="center"/>
                </w:tcPr>
                <w:p w14:paraId="79283A63">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Q值</w:t>
                  </w:r>
                </w:p>
              </w:tc>
            </w:tr>
            <w:tr w14:paraId="54FB516B">
              <w:tblPrEx>
                <w:tblCellMar>
                  <w:top w:w="0" w:type="dxa"/>
                  <w:left w:w="108" w:type="dxa"/>
                  <w:bottom w:w="0" w:type="dxa"/>
                  <w:right w:w="108" w:type="dxa"/>
                </w:tblCellMar>
              </w:tblPrEx>
              <w:trPr>
                <w:trHeight w:val="340"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2DC35DBC">
                  <w:pPr>
                    <w:widowControl/>
                    <w:jc w:val="center"/>
                    <w:textAlignment w:val="top"/>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2042" w:type="dxa"/>
                  <w:tcBorders>
                    <w:top w:val="single" w:color="000000" w:sz="4" w:space="0"/>
                    <w:left w:val="single" w:color="000000" w:sz="4" w:space="0"/>
                    <w:bottom w:val="single" w:color="000000" w:sz="4" w:space="0"/>
                    <w:right w:val="single" w:color="000000" w:sz="4" w:space="0"/>
                  </w:tcBorders>
                  <w:vAlign w:val="center"/>
                </w:tcPr>
                <w:p w14:paraId="3AEFB908">
                  <w:pPr>
                    <w:widowControl/>
                    <w:jc w:val="center"/>
                    <w:textAlignment w:val="top"/>
                    <w:rPr>
                      <w:color w:val="000000" w:themeColor="text1"/>
                      <w:szCs w:val="21"/>
                      <w14:textFill>
                        <w14:solidFill>
                          <w14:schemeClr w14:val="tx1"/>
                        </w14:solidFill>
                      </w14:textFill>
                    </w:rPr>
                  </w:pPr>
                  <w:r>
                    <w:rPr>
                      <w:color w:val="000000" w:themeColor="text1"/>
                      <w:szCs w:val="21"/>
                      <w14:textFill>
                        <w14:solidFill>
                          <w14:schemeClr w14:val="tx1"/>
                        </w14:solidFill>
                      </w14:textFill>
                    </w:rPr>
                    <w:t>废机油</w:t>
                  </w:r>
                </w:p>
              </w:tc>
              <w:tc>
                <w:tcPr>
                  <w:tcW w:w="1772" w:type="dxa"/>
                  <w:tcBorders>
                    <w:top w:val="single" w:color="000000" w:sz="4" w:space="0"/>
                    <w:left w:val="single" w:color="000000" w:sz="4" w:space="0"/>
                    <w:bottom w:val="single" w:color="000000" w:sz="4" w:space="0"/>
                    <w:right w:val="single" w:color="000000" w:sz="4" w:space="0"/>
                  </w:tcBorders>
                  <w:vAlign w:val="center"/>
                </w:tcPr>
                <w:p w14:paraId="199A498A">
                  <w:pPr>
                    <w:widowControl/>
                    <w:jc w:val="center"/>
                    <w:textAlignment w:val="top"/>
                    <w:rPr>
                      <w:color w:val="000000" w:themeColor="text1"/>
                      <w:szCs w:val="21"/>
                      <w14:textFill>
                        <w14:solidFill>
                          <w14:schemeClr w14:val="tx1"/>
                        </w14:solidFill>
                      </w14:textFill>
                    </w:rPr>
                  </w:pPr>
                  <w:r>
                    <w:rPr>
                      <w:color w:val="000000" w:themeColor="text1"/>
                      <w:szCs w:val="21"/>
                      <w14:textFill>
                        <w14:solidFill>
                          <w14:schemeClr w14:val="tx1"/>
                        </w14:solidFill>
                      </w14:textFill>
                    </w:rPr>
                    <w:t>2500</w:t>
                  </w:r>
                </w:p>
              </w:tc>
              <w:tc>
                <w:tcPr>
                  <w:tcW w:w="1772" w:type="dxa"/>
                  <w:tcBorders>
                    <w:top w:val="single" w:color="000000" w:sz="4" w:space="0"/>
                    <w:left w:val="single" w:color="000000" w:sz="4" w:space="0"/>
                    <w:bottom w:val="single" w:color="000000" w:sz="4" w:space="0"/>
                    <w:right w:val="single" w:color="000000" w:sz="4" w:space="0"/>
                  </w:tcBorders>
                  <w:vAlign w:val="center"/>
                </w:tcPr>
                <w:p w14:paraId="4F04009C">
                  <w:pPr>
                    <w:widowControl/>
                    <w:jc w:val="center"/>
                    <w:textAlignment w:val="top"/>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1679" w:type="dxa"/>
                  <w:tcBorders>
                    <w:top w:val="single" w:color="000000" w:sz="4" w:space="0"/>
                    <w:left w:val="single" w:color="000000" w:sz="4" w:space="0"/>
                    <w:bottom w:val="single" w:color="000000" w:sz="4" w:space="0"/>
                    <w:right w:val="single" w:color="000000" w:sz="4" w:space="0"/>
                  </w:tcBorders>
                  <w:vAlign w:val="center"/>
                </w:tcPr>
                <w:p w14:paraId="67983377">
                  <w:pPr>
                    <w:widowControl/>
                    <w:jc w:val="center"/>
                    <w:textAlignment w:val="top"/>
                    <w:rPr>
                      <w:color w:val="000000" w:themeColor="text1"/>
                      <w:szCs w:val="21"/>
                      <w14:textFill>
                        <w14:solidFill>
                          <w14:schemeClr w14:val="tx1"/>
                        </w14:solidFill>
                      </w14:textFill>
                    </w:rPr>
                  </w:pPr>
                  <w:r>
                    <w:rPr>
                      <w:color w:val="000000" w:themeColor="text1"/>
                      <w:szCs w:val="21"/>
                      <w14:textFill>
                        <w14:solidFill>
                          <w14:schemeClr w14:val="tx1"/>
                        </w14:solidFill>
                      </w14:textFill>
                    </w:rPr>
                    <w:t>0.0002</w:t>
                  </w:r>
                </w:p>
              </w:tc>
            </w:tr>
            <w:tr w14:paraId="6E805245">
              <w:tblPrEx>
                <w:tblCellMar>
                  <w:top w:w="0" w:type="dxa"/>
                  <w:left w:w="108" w:type="dxa"/>
                  <w:bottom w:w="0" w:type="dxa"/>
                  <w:right w:w="108" w:type="dxa"/>
                </w:tblCellMar>
              </w:tblPrEx>
              <w:trPr>
                <w:trHeight w:val="340" w:hRule="atLeast"/>
                <w:jc w:val="center"/>
              </w:trPr>
              <w:tc>
                <w:tcPr>
                  <w:tcW w:w="985" w:type="dxa"/>
                  <w:tcBorders>
                    <w:top w:val="single" w:color="000000" w:sz="4" w:space="0"/>
                    <w:left w:val="single" w:color="000000" w:sz="4" w:space="0"/>
                    <w:bottom w:val="single" w:color="000000" w:sz="4" w:space="0"/>
                    <w:right w:val="single" w:color="000000" w:sz="4" w:space="0"/>
                  </w:tcBorders>
                  <w:vAlign w:val="center"/>
                </w:tcPr>
                <w:p w14:paraId="486F5302">
                  <w:pPr>
                    <w:widowControl/>
                    <w:jc w:val="center"/>
                    <w:textAlignment w:val="top"/>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w:t>
                  </w:r>
                </w:p>
              </w:tc>
              <w:tc>
                <w:tcPr>
                  <w:tcW w:w="2042" w:type="dxa"/>
                  <w:tcBorders>
                    <w:top w:val="single" w:color="000000" w:sz="4" w:space="0"/>
                    <w:left w:val="single" w:color="000000" w:sz="4" w:space="0"/>
                    <w:bottom w:val="single" w:color="000000" w:sz="4" w:space="0"/>
                    <w:right w:val="single" w:color="000000" w:sz="4" w:space="0"/>
                  </w:tcBorders>
                  <w:vAlign w:val="center"/>
                </w:tcPr>
                <w:p w14:paraId="71D04519">
                  <w:pPr>
                    <w:widowControl/>
                    <w:jc w:val="center"/>
                    <w:textAlignment w:val="top"/>
                    <w:rPr>
                      <w:color w:val="000000" w:themeColor="text1"/>
                      <w:szCs w:val="21"/>
                      <w14:textFill>
                        <w14:solidFill>
                          <w14:schemeClr w14:val="tx1"/>
                        </w14:solidFill>
                      </w14:textFill>
                    </w:rPr>
                  </w:pPr>
                  <w:r>
                    <w:rPr>
                      <w:color w:val="000000" w:themeColor="text1"/>
                      <w:szCs w:val="21"/>
                      <w14:textFill>
                        <w14:solidFill>
                          <w14:schemeClr w14:val="tx1"/>
                        </w14:solidFill>
                      </w14:textFill>
                    </w:rPr>
                    <w:t>氨</w:t>
                  </w:r>
                  <w:r>
                    <w:rPr>
                      <w:rFonts w:hint="eastAsia"/>
                      <w:color w:val="000000" w:themeColor="text1"/>
                      <w:szCs w:val="21"/>
                      <w14:textFill>
                        <w14:solidFill>
                          <w14:schemeClr w14:val="tx1"/>
                        </w14:solidFill>
                      </w14:textFill>
                    </w:rPr>
                    <w:t>水（浓度≥20%）</w:t>
                  </w:r>
                </w:p>
              </w:tc>
              <w:tc>
                <w:tcPr>
                  <w:tcW w:w="1772" w:type="dxa"/>
                  <w:tcBorders>
                    <w:top w:val="single" w:color="000000" w:sz="4" w:space="0"/>
                    <w:left w:val="single" w:color="000000" w:sz="4" w:space="0"/>
                    <w:bottom w:val="single" w:color="000000" w:sz="4" w:space="0"/>
                    <w:right w:val="single" w:color="000000" w:sz="4" w:space="0"/>
                  </w:tcBorders>
                  <w:vAlign w:val="center"/>
                </w:tcPr>
                <w:p w14:paraId="5DF7B3F6">
                  <w:pPr>
                    <w:widowControl/>
                    <w:jc w:val="center"/>
                    <w:textAlignment w:val="top"/>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772" w:type="dxa"/>
                  <w:tcBorders>
                    <w:top w:val="single" w:color="000000" w:sz="4" w:space="0"/>
                    <w:left w:val="single" w:color="000000" w:sz="4" w:space="0"/>
                    <w:bottom w:val="single" w:color="000000" w:sz="4" w:space="0"/>
                    <w:right w:val="single" w:color="000000" w:sz="4" w:space="0"/>
                  </w:tcBorders>
                  <w:vAlign w:val="center"/>
                </w:tcPr>
                <w:p w14:paraId="02BFC328">
                  <w:pPr>
                    <w:widowControl/>
                    <w:jc w:val="center"/>
                    <w:textAlignment w:val="top"/>
                    <w:rPr>
                      <w:color w:val="000000" w:themeColor="text1"/>
                      <w:szCs w:val="21"/>
                      <w14:textFill>
                        <w14:solidFill>
                          <w14:schemeClr w14:val="tx1"/>
                        </w14:solidFill>
                      </w14:textFill>
                    </w:rPr>
                  </w:pPr>
                  <w:r>
                    <w:rPr>
                      <w:color w:val="000000" w:themeColor="text1"/>
                      <w:szCs w:val="21"/>
                      <w14:textFill>
                        <w14:solidFill>
                          <w14:schemeClr w14:val="tx1"/>
                        </w14:solidFill>
                      </w14:textFill>
                    </w:rPr>
                    <w:t>3.6</w:t>
                  </w:r>
                </w:p>
              </w:tc>
              <w:tc>
                <w:tcPr>
                  <w:tcW w:w="1679" w:type="dxa"/>
                  <w:tcBorders>
                    <w:top w:val="single" w:color="000000" w:sz="4" w:space="0"/>
                    <w:left w:val="single" w:color="000000" w:sz="4" w:space="0"/>
                    <w:bottom w:val="single" w:color="000000" w:sz="4" w:space="0"/>
                    <w:right w:val="single" w:color="000000" w:sz="4" w:space="0"/>
                  </w:tcBorders>
                  <w:vAlign w:val="center"/>
                </w:tcPr>
                <w:p w14:paraId="11AE8065">
                  <w:pPr>
                    <w:widowControl/>
                    <w:jc w:val="center"/>
                    <w:textAlignment w:val="top"/>
                    <w:rPr>
                      <w:color w:val="000000" w:themeColor="text1"/>
                      <w:szCs w:val="21"/>
                      <w14:textFill>
                        <w14:solidFill>
                          <w14:schemeClr w14:val="tx1"/>
                        </w14:solidFill>
                      </w14:textFill>
                    </w:rPr>
                  </w:pPr>
                  <w:r>
                    <w:rPr>
                      <w:color w:val="000000" w:themeColor="text1"/>
                      <w:szCs w:val="21"/>
                      <w14:textFill>
                        <w14:solidFill>
                          <w14:schemeClr w14:val="tx1"/>
                        </w14:solidFill>
                      </w14:textFill>
                    </w:rPr>
                    <w:t>0.36</w:t>
                  </w:r>
                </w:p>
              </w:tc>
            </w:tr>
            <w:tr w14:paraId="5E651433">
              <w:tblPrEx>
                <w:tblCellMar>
                  <w:top w:w="0" w:type="dxa"/>
                  <w:left w:w="108" w:type="dxa"/>
                  <w:bottom w:w="0" w:type="dxa"/>
                  <w:right w:w="108" w:type="dxa"/>
                </w:tblCellMar>
              </w:tblPrEx>
              <w:trPr>
                <w:trHeight w:val="340" w:hRule="atLeast"/>
                <w:jc w:val="center"/>
              </w:trPr>
              <w:tc>
                <w:tcPr>
                  <w:tcW w:w="6571" w:type="dxa"/>
                  <w:gridSpan w:val="4"/>
                  <w:tcBorders>
                    <w:top w:val="single" w:color="000000" w:sz="4" w:space="0"/>
                    <w:left w:val="single" w:color="000000" w:sz="4" w:space="0"/>
                    <w:bottom w:val="single" w:color="000000" w:sz="4" w:space="0"/>
                    <w:right w:val="single" w:color="000000" w:sz="4" w:space="0"/>
                  </w:tcBorders>
                  <w:vAlign w:val="center"/>
                </w:tcPr>
                <w:p w14:paraId="4BE11F05">
                  <w:pPr>
                    <w:widowControl/>
                    <w:jc w:val="center"/>
                    <w:textAlignment w:val="top"/>
                    <w:rPr>
                      <w:color w:val="000000" w:themeColor="text1"/>
                      <w:szCs w:val="21"/>
                      <w14:textFill>
                        <w14:solidFill>
                          <w14:schemeClr w14:val="tx1"/>
                        </w14:solidFill>
                      </w14:textFill>
                    </w:rPr>
                  </w:pPr>
                  <w:r>
                    <w:rPr>
                      <w:color w:val="000000" w:themeColor="text1"/>
                      <w:szCs w:val="21"/>
                      <w14:textFill>
                        <w14:solidFill>
                          <w14:schemeClr w14:val="tx1"/>
                        </w14:solidFill>
                      </w14:textFill>
                    </w:rPr>
                    <w:t>总计</w:t>
                  </w:r>
                </w:p>
              </w:tc>
              <w:tc>
                <w:tcPr>
                  <w:tcW w:w="1679" w:type="dxa"/>
                  <w:tcBorders>
                    <w:top w:val="single" w:color="000000" w:sz="4" w:space="0"/>
                    <w:left w:val="single" w:color="000000" w:sz="4" w:space="0"/>
                    <w:bottom w:val="single" w:color="000000" w:sz="4" w:space="0"/>
                    <w:right w:val="single" w:color="000000" w:sz="4" w:space="0"/>
                  </w:tcBorders>
                  <w:vAlign w:val="center"/>
                </w:tcPr>
                <w:p w14:paraId="166FE9B2">
                  <w:pPr>
                    <w:widowControl/>
                    <w:jc w:val="center"/>
                    <w:textAlignment w:val="top"/>
                    <w:rPr>
                      <w:color w:val="000000" w:themeColor="text1"/>
                      <w:szCs w:val="21"/>
                      <w14:textFill>
                        <w14:solidFill>
                          <w14:schemeClr w14:val="tx1"/>
                        </w14:solidFill>
                      </w14:textFill>
                    </w:rPr>
                  </w:pPr>
                  <w:r>
                    <w:rPr>
                      <w:color w:val="000000" w:themeColor="text1"/>
                      <w:szCs w:val="21"/>
                      <w14:textFill>
                        <w14:solidFill>
                          <w14:schemeClr w14:val="tx1"/>
                        </w14:solidFill>
                      </w14:textFill>
                    </w:rPr>
                    <w:t>0.36</w:t>
                  </w:r>
                  <w:r>
                    <w:rPr>
                      <w:rFonts w:hint="eastAsia"/>
                      <w:color w:val="000000" w:themeColor="text1"/>
                      <w:szCs w:val="21"/>
                      <w14:textFill>
                        <w14:solidFill>
                          <w14:schemeClr w14:val="tx1"/>
                        </w14:solidFill>
                      </w14:textFill>
                    </w:rPr>
                    <w:t>02</w:t>
                  </w:r>
                </w:p>
              </w:tc>
            </w:tr>
          </w:tbl>
          <w:p w14:paraId="2BC8E638">
            <w:pPr>
              <w:pStyle w:val="36"/>
              <w:spacing w:line="240" w:lineRule="auto"/>
              <w:ind w:firstLine="0" w:firstLineChars="0"/>
              <w:rPr>
                <w:color w:val="000000" w:themeColor="text1"/>
                <w:spacing w:val="0"/>
                <w:lang w:eastAsia="zh-CN"/>
                <w14:textFill>
                  <w14:solidFill>
                    <w14:schemeClr w14:val="tx1"/>
                  </w14:solidFill>
                </w14:textFill>
              </w:rPr>
            </w:pPr>
          </w:p>
          <w:p w14:paraId="556D3A76">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由上表计算可知，项目</w:t>
            </w:r>
            <w:r>
              <w:rPr>
                <w:color w:val="000000" w:themeColor="text1"/>
                <w:spacing w:val="0"/>
                <w:lang w:eastAsia="zh-CN"/>
                <w14:textFill>
                  <w14:solidFill>
                    <w14:schemeClr w14:val="tx1"/>
                  </w14:solidFill>
                </w14:textFill>
              </w:rPr>
              <w:t>Q=</w:t>
            </w:r>
            <w:r>
              <w:rPr>
                <w:rFonts w:hint="eastAsia"/>
                <w:color w:val="000000" w:themeColor="text1"/>
                <w:spacing w:val="0"/>
                <w:kern w:val="0"/>
                <w:szCs w:val="21"/>
                <w:lang w:eastAsia="zh-CN" w:bidi="ar"/>
                <w14:textFill>
                  <w14:solidFill>
                    <w14:schemeClr w14:val="tx1"/>
                  </w14:solidFill>
                </w14:textFill>
              </w:rPr>
              <w:t>0.3602</w:t>
            </w:r>
            <w:r>
              <w:rPr>
                <w:color w:val="000000" w:themeColor="text1"/>
                <w:spacing w:val="0"/>
                <w:lang w:eastAsia="zh-CN"/>
                <w14:textFill>
                  <w14:solidFill>
                    <w14:schemeClr w14:val="tx1"/>
                  </w14:solidFill>
                </w14:textFill>
              </w:rPr>
              <w:t>&lt;1</w:t>
            </w:r>
            <w:r>
              <w:rPr>
                <w:rFonts w:hint="eastAsia"/>
                <w:color w:val="000000" w:themeColor="text1"/>
                <w:spacing w:val="0"/>
                <w:lang w:eastAsia="zh-CN"/>
                <w14:textFill>
                  <w14:solidFill>
                    <w14:schemeClr w14:val="tx1"/>
                  </w14:solidFill>
                </w14:textFill>
              </w:rPr>
              <w:t>，环境风险潜势为</w:t>
            </w:r>
            <w:r>
              <w:rPr>
                <w:rFonts w:asciiTheme="minorEastAsia" w:hAnsiTheme="minorEastAsia" w:eastAsiaTheme="minorEastAsia"/>
                <w:spacing w:val="0"/>
                <w:lang w:eastAsia="zh-CN"/>
              </w:rPr>
              <w:t>Ⅰ</w:t>
            </w:r>
            <w:r>
              <w:rPr>
                <w:rFonts w:hint="eastAsia"/>
                <w:color w:val="000000" w:themeColor="text1"/>
                <w:spacing w:val="0"/>
                <w:lang w:eastAsia="zh-CN"/>
                <w14:textFill>
                  <w14:solidFill>
                    <w14:schemeClr w14:val="tx1"/>
                  </w14:solidFill>
                </w14:textFill>
              </w:rPr>
              <w:t>。</w:t>
            </w:r>
          </w:p>
          <w:p w14:paraId="1FB7E6DB">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（3）风险评价等级</w:t>
            </w:r>
          </w:p>
          <w:p w14:paraId="3268F495">
            <w:pPr>
              <w:spacing w:line="360" w:lineRule="auto"/>
              <w:ind w:firstLine="480" w:firstLineChars="200"/>
              <w:textAlignment w:val="baseline"/>
              <w:rPr>
                <w:sz w:val="24"/>
              </w:rPr>
            </w:pPr>
            <w:r>
              <w:rPr>
                <w:sz w:val="24"/>
              </w:rPr>
              <w:t>根据《建设项目环境风险评价技术导则》（HJ</w:t>
            </w:r>
            <w:r>
              <w:rPr>
                <w:rFonts w:hint="eastAsia"/>
                <w:sz w:val="24"/>
              </w:rPr>
              <w:t xml:space="preserve"> </w:t>
            </w:r>
            <w:r>
              <w:rPr>
                <w:sz w:val="24"/>
              </w:rPr>
              <w:t>169-2018）</w:t>
            </w:r>
            <w:r>
              <w:rPr>
                <w:rFonts w:hint="eastAsia"/>
                <w:sz w:val="24"/>
              </w:rPr>
              <w:t>，</w:t>
            </w:r>
            <w:r>
              <w:rPr>
                <w:sz w:val="24"/>
              </w:rPr>
              <w:t>环境风险评价工作等级划分为一级、二级、三级。</w:t>
            </w:r>
            <w:r>
              <w:rPr>
                <w:rFonts w:hint="eastAsia"/>
                <w:sz w:val="24"/>
              </w:rPr>
              <w:t>环境</w:t>
            </w:r>
            <w:r>
              <w:rPr>
                <w:sz w:val="24"/>
              </w:rPr>
              <w:t>风险潜势为</w:t>
            </w:r>
            <w:r>
              <w:rPr>
                <w:rFonts w:hint="eastAsia"/>
                <w:sz w:val="24"/>
              </w:rPr>
              <w:t>Ⅳ</w:t>
            </w:r>
            <w:r>
              <w:rPr>
                <w:sz w:val="24"/>
              </w:rPr>
              <w:t>及以上，进行一级评价；风险潜势为</w:t>
            </w:r>
            <w:r>
              <w:rPr>
                <w:rFonts w:hint="eastAsia"/>
                <w:sz w:val="24"/>
              </w:rPr>
              <w:t>Ⅲ</w:t>
            </w:r>
            <w:r>
              <w:rPr>
                <w:sz w:val="24"/>
              </w:rPr>
              <w:t>，进行二级评价；风险潜势为</w:t>
            </w:r>
            <w:r>
              <w:rPr>
                <w:rFonts w:hint="eastAsia"/>
                <w:sz w:val="24"/>
              </w:rPr>
              <w:t>Ⅱ</w:t>
            </w:r>
            <w:r>
              <w:rPr>
                <w:sz w:val="24"/>
              </w:rPr>
              <w:t>，进行三级评价；风险潜势为</w:t>
            </w:r>
            <w:r>
              <w:rPr>
                <w:rFonts w:asciiTheme="minorEastAsia" w:hAnsiTheme="minorEastAsia" w:eastAsiaTheme="minorEastAsia"/>
                <w:sz w:val="24"/>
              </w:rPr>
              <w:t>Ⅰ</w:t>
            </w:r>
            <w:r>
              <w:rPr>
                <w:sz w:val="24"/>
              </w:rPr>
              <w:t>，可开展简单分析</w:t>
            </w:r>
            <w:r>
              <w:rPr>
                <w:rFonts w:hint="eastAsia"/>
                <w:sz w:val="24"/>
              </w:rPr>
              <w:t>。</w:t>
            </w:r>
          </w:p>
          <w:p w14:paraId="7F7BC0E1">
            <w:pPr>
              <w:widowControl/>
              <w:jc w:val="center"/>
              <w:rPr>
                <w:rFonts w:cs="宋体"/>
                <w:b/>
                <w:bCs/>
                <w:color w:val="000000" w:themeColor="text1"/>
                <w:kern w:val="0"/>
                <w:szCs w:val="21"/>
                <w:lang w:bidi="ar"/>
                <w14:textFill>
                  <w14:solidFill>
                    <w14:schemeClr w14:val="tx1"/>
                  </w14:solidFill>
                </w14:textFill>
              </w:rPr>
            </w:pPr>
            <w:r>
              <w:rPr>
                <w:rFonts w:hint="eastAsia" w:cs="宋体"/>
                <w:b/>
                <w:bCs/>
                <w:color w:val="000000" w:themeColor="text1"/>
                <w:kern w:val="0"/>
                <w:szCs w:val="21"/>
                <w:lang w:bidi="ar"/>
                <w14:textFill>
                  <w14:solidFill>
                    <w14:schemeClr w14:val="tx1"/>
                  </w14:solidFill>
                </w14:textFill>
              </w:rPr>
              <w:t xml:space="preserve">表4-15 </w:t>
            </w:r>
            <w:r>
              <w:rPr>
                <w:rFonts w:cs="宋体"/>
                <w:b/>
                <w:bCs/>
                <w:color w:val="000000" w:themeColor="text1"/>
                <w:kern w:val="0"/>
                <w:szCs w:val="21"/>
                <w:lang w:bidi="ar"/>
                <w14:textFill>
                  <w14:solidFill>
                    <w14:schemeClr w14:val="tx1"/>
                  </w14:solidFill>
                </w14:textFill>
              </w:rPr>
              <w:t>环境风险评价工作等级划分</w:t>
            </w:r>
          </w:p>
          <w:tbl>
            <w:tblPr>
              <w:tblStyle w:val="22"/>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1546"/>
              <w:gridCol w:w="1547"/>
              <w:gridCol w:w="1547"/>
              <w:gridCol w:w="1547"/>
            </w:tblGrid>
            <w:tr w14:paraId="5E22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063" w:type="dxa"/>
                  <w:vAlign w:val="center"/>
                </w:tcPr>
                <w:p w14:paraId="49A38640">
                  <w:pPr>
                    <w:pStyle w:val="5"/>
                    <w:ind w:firstLine="0" w:firstLineChars="0"/>
                    <w:jc w:val="center"/>
                    <w:rPr>
                      <w:b/>
                      <w:szCs w:val="21"/>
                    </w:rPr>
                  </w:pPr>
                  <w:r>
                    <w:rPr>
                      <w:b/>
                      <w:szCs w:val="21"/>
                    </w:rPr>
                    <w:t>环境风险潜势</w:t>
                  </w:r>
                </w:p>
              </w:tc>
              <w:tc>
                <w:tcPr>
                  <w:tcW w:w="1546" w:type="dxa"/>
                  <w:vAlign w:val="center"/>
                </w:tcPr>
                <w:p w14:paraId="216231AC">
                  <w:pPr>
                    <w:pStyle w:val="5"/>
                    <w:ind w:firstLine="0" w:firstLineChars="0"/>
                    <w:jc w:val="center"/>
                    <w:rPr>
                      <w:b/>
                      <w:szCs w:val="21"/>
                    </w:rPr>
                  </w:pPr>
                  <w:r>
                    <w:rPr>
                      <w:rFonts w:hint="eastAsia"/>
                      <w:b/>
                      <w:szCs w:val="21"/>
                    </w:rPr>
                    <w:t>Ⅳ</w:t>
                  </w:r>
                  <w:r>
                    <w:rPr>
                      <w:b/>
                      <w:szCs w:val="21"/>
                    </w:rPr>
                    <w:t>、</w:t>
                  </w:r>
                  <w:r>
                    <w:rPr>
                      <w:rFonts w:hint="eastAsia"/>
                      <w:b/>
                      <w:szCs w:val="21"/>
                    </w:rPr>
                    <w:t>Ⅳ</w:t>
                  </w:r>
                  <w:r>
                    <w:rPr>
                      <w:b/>
                      <w:szCs w:val="21"/>
                      <w:vertAlign w:val="superscript"/>
                    </w:rPr>
                    <w:t>+</w:t>
                  </w:r>
                </w:p>
              </w:tc>
              <w:tc>
                <w:tcPr>
                  <w:tcW w:w="1547" w:type="dxa"/>
                  <w:vAlign w:val="center"/>
                </w:tcPr>
                <w:p w14:paraId="4F1866F4">
                  <w:pPr>
                    <w:pStyle w:val="5"/>
                    <w:ind w:firstLine="0" w:firstLineChars="0"/>
                    <w:jc w:val="center"/>
                    <w:rPr>
                      <w:b/>
                      <w:szCs w:val="21"/>
                    </w:rPr>
                  </w:pPr>
                  <w:r>
                    <w:rPr>
                      <w:rFonts w:hint="eastAsia"/>
                      <w:b/>
                      <w:szCs w:val="21"/>
                    </w:rPr>
                    <w:t>Ⅲ</w:t>
                  </w:r>
                </w:p>
              </w:tc>
              <w:tc>
                <w:tcPr>
                  <w:tcW w:w="1547" w:type="dxa"/>
                  <w:vAlign w:val="center"/>
                </w:tcPr>
                <w:p w14:paraId="763285D0">
                  <w:pPr>
                    <w:pStyle w:val="5"/>
                    <w:ind w:firstLine="0" w:firstLineChars="0"/>
                    <w:jc w:val="center"/>
                    <w:rPr>
                      <w:b/>
                      <w:szCs w:val="21"/>
                    </w:rPr>
                  </w:pPr>
                  <w:r>
                    <w:rPr>
                      <w:rFonts w:hint="eastAsia"/>
                      <w:b/>
                      <w:szCs w:val="21"/>
                    </w:rPr>
                    <w:t>Ⅱ</w:t>
                  </w:r>
                </w:p>
              </w:tc>
              <w:tc>
                <w:tcPr>
                  <w:tcW w:w="1547" w:type="dxa"/>
                  <w:vAlign w:val="center"/>
                </w:tcPr>
                <w:p w14:paraId="0B448157">
                  <w:pPr>
                    <w:pStyle w:val="5"/>
                    <w:ind w:firstLine="0" w:firstLineChars="0"/>
                    <w:jc w:val="center"/>
                    <w:rPr>
                      <w:b/>
                      <w:szCs w:val="21"/>
                    </w:rPr>
                  </w:pPr>
                  <w:r>
                    <w:rPr>
                      <w:rFonts w:asciiTheme="minorEastAsia" w:hAnsiTheme="minorEastAsia" w:eastAsiaTheme="minorEastAsia"/>
                      <w:b/>
                      <w:szCs w:val="21"/>
                    </w:rPr>
                    <w:t>Ⅰ</w:t>
                  </w:r>
                </w:p>
              </w:tc>
            </w:tr>
            <w:tr w14:paraId="1517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063" w:type="dxa"/>
                  <w:vAlign w:val="center"/>
                </w:tcPr>
                <w:p w14:paraId="6FBA7218">
                  <w:pPr>
                    <w:jc w:val="center"/>
                    <w:rPr>
                      <w:szCs w:val="21"/>
                    </w:rPr>
                  </w:pPr>
                  <w:r>
                    <w:rPr>
                      <w:szCs w:val="21"/>
                    </w:rPr>
                    <w:t>评价工作等级</w:t>
                  </w:r>
                </w:p>
              </w:tc>
              <w:tc>
                <w:tcPr>
                  <w:tcW w:w="1546" w:type="dxa"/>
                  <w:vAlign w:val="center"/>
                </w:tcPr>
                <w:p w14:paraId="5EB7E7CC">
                  <w:pPr>
                    <w:jc w:val="center"/>
                    <w:rPr>
                      <w:szCs w:val="21"/>
                    </w:rPr>
                  </w:pPr>
                  <w:r>
                    <w:rPr>
                      <w:szCs w:val="21"/>
                    </w:rPr>
                    <w:t>一</w:t>
                  </w:r>
                </w:p>
              </w:tc>
              <w:tc>
                <w:tcPr>
                  <w:tcW w:w="1547" w:type="dxa"/>
                  <w:vAlign w:val="center"/>
                </w:tcPr>
                <w:p w14:paraId="5044584C">
                  <w:pPr>
                    <w:jc w:val="center"/>
                    <w:rPr>
                      <w:szCs w:val="21"/>
                    </w:rPr>
                  </w:pPr>
                  <w:r>
                    <w:rPr>
                      <w:szCs w:val="21"/>
                    </w:rPr>
                    <w:t>二</w:t>
                  </w:r>
                </w:p>
              </w:tc>
              <w:tc>
                <w:tcPr>
                  <w:tcW w:w="1547" w:type="dxa"/>
                  <w:vAlign w:val="center"/>
                </w:tcPr>
                <w:p w14:paraId="68FC379F">
                  <w:pPr>
                    <w:jc w:val="center"/>
                    <w:rPr>
                      <w:szCs w:val="21"/>
                    </w:rPr>
                  </w:pPr>
                  <w:r>
                    <w:rPr>
                      <w:szCs w:val="21"/>
                    </w:rPr>
                    <w:t>三</w:t>
                  </w:r>
                </w:p>
              </w:tc>
              <w:tc>
                <w:tcPr>
                  <w:tcW w:w="1547" w:type="dxa"/>
                  <w:vAlign w:val="center"/>
                </w:tcPr>
                <w:p w14:paraId="2EEEAAB3">
                  <w:pPr>
                    <w:jc w:val="center"/>
                    <w:rPr>
                      <w:szCs w:val="21"/>
                    </w:rPr>
                  </w:pPr>
                  <w:r>
                    <w:rPr>
                      <w:szCs w:val="21"/>
                    </w:rPr>
                    <w:t>简单分析</w:t>
                  </w:r>
                  <w:r>
                    <w:rPr>
                      <w:szCs w:val="21"/>
                      <w:vertAlign w:val="superscript"/>
                    </w:rPr>
                    <w:t>a</w:t>
                  </w:r>
                </w:p>
              </w:tc>
            </w:tr>
            <w:tr w14:paraId="3FD5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250" w:type="dxa"/>
                  <w:gridSpan w:val="5"/>
                  <w:vAlign w:val="center"/>
                </w:tcPr>
                <w:p w14:paraId="3E4A34BA">
                  <w:pPr>
                    <w:pStyle w:val="5"/>
                    <w:ind w:firstLine="0" w:firstLineChars="0"/>
                    <w:rPr>
                      <w:sz w:val="18"/>
                      <w:szCs w:val="18"/>
                    </w:rPr>
                  </w:pPr>
                  <w:r>
                    <w:rPr>
                      <w:sz w:val="18"/>
                      <w:szCs w:val="18"/>
                    </w:rPr>
                    <w:t>a是相对于详细评价工作内容而言，在描述危险物质、环境影响途径、环境危害后果、风险防范措施等方面给出定性说明。见附录A。</w:t>
                  </w:r>
                </w:p>
              </w:tc>
            </w:tr>
          </w:tbl>
          <w:p w14:paraId="01BCD3D1">
            <w:pPr>
              <w:textAlignment w:val="baseline"/>
              <w:rPr>
                <w:sz w:val="24"/>
              </w:rPr>
            </w:pPr>
          </w:p>
          <w:p w14:paraId="00D978C3">
            <w:pPr>
              <w:spacing w:line="360" w:lineRule="auto"/>
              <w:ind w:firstLine="480" w:firstLineChars="200"/>
              <w:textAlignment w:val="baseline"/>
              <w:rPr>
                <w:sz w:val="24"/>
              </w:rPr>
            </w:pPr>
            <w:r>
              <w:rPr>
                <w:sz w:val="24"/>
              </w:rPr>
              <w:t>综上，项目环境风险潜势为</w:t>
            </w:r>
            <w:r>
              <w:rPr>
                <w:rFonts w:asciiTheme="minorEastAsia" w:hAnsiTheme="minorEastAsia" w:eastAsiaTheme="minorEastAsia"/>
                <w:sz w:val="24"/>
              </w:rPr>
              <w:t>Ⅰ</w:t>
            </w:r>
            <w:r>
              <w:rPr>
                <w:sz w:val="24"/>
              </w:rPr>
              <w:t>，</w:t>
            </w:r>
            <w:r>
              <w:rPr>
                <w:rFonts w:hint="eastAsia"/>
                <w:sz w:val="24"/>
              </w:rPr>
              <w:t>风险评价</w:t>
            </w:r>
            <w:r>
              <w:rPr>
                <w:sz w:val="24"/>
              </w:rPr>
              <w:t>开展简单分析。</w:t>
            </w:r>
          </w:p>
          <w:p w14:paraId="73C1ABB7">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（4）风险情形分析</w:t>
            </w:r>
          </w:p>
          <w:p w14:paraId="7F015CD1">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1）危险物质泄漏风险</w:t>
            </w:r>
          </w:p>
          <w:p w14:paraId="13803F56">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厂区冷库制冷系统使用的液氨（NH</w:t>
            </w:r>
            <w:r>
              <w:rPr>
                <w:rFonts w:hint="eastAsia"/>
                <w:color w:val="000000" w:themeColor="text1"/>
                <w:spacing w:val="0"/>
                <w:vertAlign w:val="subscript"/>
                <w:lang w:eastAsia="zh-CN"/>
                <w14:textFill>
                  <w14:solidFill>
                    <w14:schemeClr w14:val="tx1"/>
                  </w14:solidFill>
                </w14:textFill>
              </w:rPr>
              <w:t>3</w:t>
            </w:r>
            <w:r>
              <w:rPr>
                <w:rFonts w:hint="eastAsia"/>
                <w:color w:val="000000" w:themeColor="text1"/>
                <w:spacing w:val="0"/>
                <w:lang w:eastAsia="zh-CN"/>
                <w14:textFill>
                  <w14:solidFill>
                    <w14:schemeClr w14:val="tx1"/>
                  </w14:solidFill>
                </w14:textFill>
              </w:rPr>
              <w:t>）为有毒有害物质，若储存钢瓶或管道发生泄漏，将对环境空气和员工造成危害；</w:t>
            </w:r>
            <w:r>
              <w:rPr>
                <w:rFonts w:hint="eastAsia"/>
                <w:color w:val="000000"/>
                <w:spacing w:val="0"/>
                <w:lang w:eastAsia="zh-CN"/>
              </w:rPr>
              <w:t>厂区机械、设备日常检修维护产生废机油（润滑油），</w:t>
            </w:r>
            <w:r>
              <w:rPr>
                <w:rFonts w:hint="eastAsia"/>
                <w:color w:val="000000" w:themeColor="text1"/>
                <w:spacing w:val="0"/>
                <w:lang w:eastAsia="zh-CN"/>
                <w14:textFill>
                  <w14:solidFill>
                    <w14:schemeClr w14:val="tx1"/>
                  </w14:solidFill>
                </w14:textFill>
              </w:rPr>
              <w:t>若在操作、收集、暂存过程中发生泄漏，可能对地下水环境、土壤环境造成影响。</w:t>
            </w:r>
          </w:p>
          <w:p w14:paraId="0BB91CB5">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2）废水非正常排放风险</w:t>
            </w:r>
          </w:p>
          <w:p w14:paraId="11E9D147">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厂区生产废水处理站设备故障、工艺不稳定、停电等导致停运或处理效率下降，造成水质不达标；厂区雨水收集池容量不够，暴雨特殊情况导致较高浓度初期雨水外溢随地表径流进入果马河，对牛栏江流域水环境造成影响。</w:t>
            </w:r>
          </w:p>
          <w:p w14:paraId="222CE661">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3）</w:t>
            </w:r>
            <w:r>
              <w:rPr>
                <w:rFonts w:hint="eastAsia"/>
                <w:spacing w:val="0"/>
                <w:lang w:eastAsia="zh-CN"/>
              </w:rPr>
              <w:t>火灾等次生风险</w:t>
            </w:r>
          </w:p>
          <w:p w14:paraId="15093463">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厂区电器设备、生产生活区、仓库等均有可能因漏电、短路、违规操作</w:t>
            </w:r>
            <w:bookmarkStart w:id="18" w:name="bookmark157"/>
            <w:bookmarkEnd w:id="18"/>
            <w:r>
              <w:rPr>
                <w:rFonts w:hint="eastAsia"/>
                <w:color w:val="000000" w:themeColor="text1"/>
                <w:spacing w:val="0"/>
                <w:lang w:eastAsia="zh-CN"/>
                <w14:textFill>
                  <w14:solidFill>
                    <w14:schemeClr w14:val="tx1"/>
                  </w14:solidFill>
                </w14:textFill>
              </w:rPr>
              <w:t>等造成火灾或次生衍生灾害。火灾、爆炸产生的CO飘散到空气中，在空气中滞留、发生化学反应或被人吸入，将对环境空气造成污染，对人体健康造成危害。</w:t>
            </w:r>
          </w:p>
          <w:p w14:paraId="3AECD22C">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（5）环境风险防范措施</w:t>
            </w:r>
          </w:p>
          <w:p w14:paraId="48C5F9FA">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1）危险物质泄漏风险防范</w:t>
            </w:r>
          </w:p>
          <w:p w14:paraId="17ED3AC4">
            <w:pPr>
              <w:pStyle w:val="36"/>
              <w:ind w:firstLine="480"/>
              <w:rPr>
                <w:color w:val="000000" w:themeColor="text1"/>
                <w:spacing w:val="0"/>
                <w:lang w:eastAsia="zh-CN"/>
                <w14:textFill>
                  <w14:solidFill>
                    <w14:schemeClr w14:val="tx1"/>
                  </w14:solidFill>
                </w14:textFill>
              </w:rPr>
            </w:pPr>
            <w:r>
              <w:rPr>
                <w:rFonts w:hint="eastAsia" w:ascii="宋体" w:hAnsi="宋体"/>
                <w:color w:val="000000" w:themeColor="text1"/>
                <w:spacing w:val="0"/>
                <w:lang w:eastAsia="zh-CN"/>
                <w14:textFill>
                  <w14:solidFill>
                    <w14:schemeClr w14:val="tx1"/>
                  </w14:solidFill>
                </w14:textFill>
              </w:rPr>
              <w:t>①</w:t>
            </w:r>
            <w:r>
              <w:rPr>
                <w:rFonts w:hint="eastAsia"/>
                <w:color w:val="000000" w:themeColor="text1"/>
                <w:spacing w:val="0"/>
                <w:lang w:eastAsia="zh-CN"/>
                <w14:textFill>
                  <w14:solidFill>
                    <w14:schemeClr w14:val="tx1"/>
                  </w14:solidFill>
                </w14:textFill>
              </w:rPr>
              <w:t>加强人员环保宣传教育，规范安全液氨操作。液氨储罐区设置围堰，配备泄漏检测报警仪、喷淋吸收装置及应急防护器材。</w:t>
            </w:r>
          </w:p>
          <w:p w14:paraId="6CE4E539">
            <w:pPr>
              <w:pStyle w:val="36"/>
              <w:ind w:firstLine="480"/>
              <w:rPr>
                <w:color w:val="000000" w:themeColor="text1"/>
                <w:spacing w:val="0"/>
                <w:lang w:eastAsia="zh-CN"/>
                <w14:textFill>
                  <w14:solidFill>
                    <w14:schemeClr w14:val="tx1"/>
                  </w14:solidFill>
                </w14:textFill>
              </w:rPr>
            </w:pPr>
            <w:r>
              <w:rPr>
                <w:rFonts w:hint="eastAsia" w:ascii="宋体" w:hAnsi="宋体"/>
                <w:color w:val="000000" w:themeColor="text1"/>
                <w:spacing w:val="0"/>
                <w:lang w:eastAsia="zh-CN"/>
                <w14:textFill>
                  <w14:solidFill>
                    <w14:schemeClr w14:val="tx1"/>
                  </w14:solidFill>
                </w14:textFill>
              </w:rPr>
              <w:t>②</w:t>
            </w:r>
            <w:r>
              <w:rPr>
                <w:rFonts w:hint="eastAsia"/>
                <w:color w:val="000000" w:themeColor="text1"/>
                <w:spacing w:val="0"/>
                <w:lang w:eastAsia="zh-CN"/>
                <w14:textFill>
                  <w14:solidFill>
                    <w14:schemeClr w14:val="tx1"/>
                  </w14:solidFill>
                </w14:textFill>
              </w:rPr>
              <w:t>严格执行危废管理制度，规范危废收集、暂存、转移流程，</w:t>
            </w:r>
            <w:r>
              <w:rPr>
                <w:rFonts w:hint="eastAsia"/>
                <w:spacing w:val="0"/>
                <w:kern w:val="0"/>
                <w:szCs w:val="21"/>
                <w:lang w:eastAsia="zh-CN" w:bidi="ar"/>
              </w:rPr>
              <w:t>做好危废台账管理。</w:t>
            </w:r>
            <w:r>
              <w:rPr>
                <w:rFonts w:hint="eastAsia"/>
                <w:color w:val="000000" w:themeColor="text1"/>
                <w:spacing w:val="0"/>
                <w:lang w:eastAsia="zh-CN"/>
                <w14:textFill>
                  <w14:solidFill>
                    <w14:schemeClr w14:val="tx1"/>
                  </w14:solidFill>
                </w14:textFill>
              </w:rPr>
              <w:t>按照《危险废物贮存污染控制标准》（GB18597-2023），做好危废贮存间防渗、防风、防雨、防晒措施，规范设置危废警示标识。</w:t>
            </w:r>
          </w:p>
          <w:p w14:paraId="1D87591E">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2）水环境风险防范</w:t>
            </w:r>
          </w:p>
          <w:p w14:paraId="3A70CA67">
            <w:pPr>
              <w:pStyle w:val="36"/>
              <w:ind w:firstLine="480"/>
              <w:rPr>
                <w:spacing w:val="0"/>
                <w:kern w:val="0"/>
                <w:szCs w:val="21"/>
                <w:lang w:eastAsia="zh-CN" w:bidi="ar"/>
              </w:rPr>
            </w:pPr>
            <w:r>
              <w:rPr>
                <w:rFonts w:hint="eastAsia" w:ascii="宋体" w:hAnsi="宋体"/>
                <w:color w:val="000000" w:themeColor="text1"/>
                <w:spacing w:val="0"/>
                <w:lang w:eastAsia="zh-CN"/>
                <w14:textFill>
                  <w14:solidFill>
                    <w14:schemeClr w14:val="tx1"/>
                  </w14:solidFill>
                </w14:textFill>
              </w:rPr>
              <w:t>①</w:t>
            </w:r>
            <w:r>
              <w:rPr>
                <w:rFonts w:hint="eastAsia"/>
                <w:spacing w:val="0"/>
                <w:kern w:val="0"/>
                <w:szCs w:val="21"/>
                <w:lang w:eastAsia="zh-CN" w:bidi="ar"/>
              </w:rPr>
              <w:t>加强生产废水处理站的巡检、维护和水质监测，做好运行台账管理，保障各项设备、工艺单元稳定正常运行，确保处理后出水满足</w:t>
            </w:r>
            <w:r>
              <w:rPr>
                <w:rFonts w:hint="eastAsia"/>
                <w:spacing w:val="0"/>
                <w:lang w:eastAsia="zh-CN"/>
              </w:rPr>
              <w:t>《城市污水再生利用 城市杂用水水质》（GB/T 18920-2020）表1“城市绿化、道路清扫”标准。</w:t>
            </w:r>
          </w:p>
          <w:p w14:paraId="6D9D10B7">
            <w:pPr>
              <w:pStyle w:val="36"/>
              <w:ind w:firstLine="480"/>
              <w:rPr>
                <w:color w:val="000000" w:themeColor="text1"/>
                <w:spacing w:val="0"/>
                <w:lang w:eastAsia="zh-CN"/>
                <w14:textFill>
                  <w14:solidFill>
                    <w14:schemeClr w14:val="tx1"/>
                  </w14:solidFill>
                </w14:textFill>
              </w:rPr>
            </w:pPr>
            <w:r>
              <w:rPr>
                <w:rFonts w:hint="eastAsia" w:ascii="宋体" w:hAnsi="宋体"/>
                <w:color w:val="000000" w:themeColor="text1"/>
                <w:spacing w:val="0"/>
                <w:lang w:eastAsia="zh-CN"/>
                <w14:textFill>
                  <w14:solidFill>
                    <w14:schemeClr w14:val="tx1"/>
                  </w14:solidFill>
                </w14:textFill>
              </w:rPr>
              <w:t>②</w:t>
            </w:r>
            <w:r>
              <w:rPr>
                <w:rFonts w:hint="eastAsia"/>
                <w:spacing w:val="0"/>
                <w:kern w:val="0"/>
                <w:szCs w:val="21"/>
                <w:lang w:eastAsia="zh-CN" w:bidi="ar"/>
              </w:rPr>
              <w:t>加强生产废水处理站事故应急池，厂区蓄水池、雨水收集池的巡检、管护，确保生产废水处理站事故废水，生产废水处理站、初期雨水处理后回用水得到有效暂存；</w:t>
            </w:r>
            <w:r>
              <w:rPr>
                <w:rFonts w:hint="eastAsia"/>
                <w:spacing w:val="0"/>
                <w:lang w:eastAsia="zh-CN"/>
              </w:rPr>
              <w:t>若事故应急池、蓄水池、雨水收集池已满，生产废水、处理后回用水不能得到暂存，须立即停止生产。</w:t>
            </w:r>
          </w:p>
          <w:p w14:paraId="0FCF4C9E">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3）次生风险防范</w:t>
            </w:r>
          </w:p>
          <w:p w14:paraId="1EBB0E43">
            <w:pPr>
              <w:pStyle w:val="36"/>
              <w:ind w:firstLine="480"/>
              <w:rPr>
                <w:color w:val="000000" w:themeColor="text1"/>
                <w:spacing w:val="0"/>
                <w:lang w:eastAsia="zh-CN"/>
                <w14:textFill>
                  <w14:solidFill>
                    <w14:schemeClr w14:val="tx1"/>
                  </w14:solidFill>
                </w14:textFill>
              </w:rPr>
            </w:pPr>
            <w:r>
              <w:rPr>
                <w:rFonts w:hint="eastAsia" w:ascii="宋体" w:hAnsi="宋体"/>
                <w:color w:val="000000" w:themeColor="text1"/>
                <w:spacing w:val="0"/>
                <w:lang w:eastAsia="zh-CN"/>
                <w14:textFill>
                  <w14:solidFill>
                    <w14:schemeClr w14:val="tx1"/>
                  </w14:solidFill>
                </w14:textFill>
              </w:rPr>
              <w:t>①</w:t>
            </w:r>
            <w:r>
              <w:rPr>
                <w:rFonts w:hint="eastAsia"/>
                <w:color w:val="000000" w:themeColor="text1"/>
                <w:spacing w:val="0"/>
                <w:lang w:eastAsia="zh-CN"/>
                <w14:textFill>
                  <w14:solidFill>
                    <w14:schemeClr w14:val="tx1"/>
                  </w14:solidFill>
                </w14:textFill>
              </w:rPr>
              <w:t>厂区设置消防废水导流沟和收集系统，确保火灾时消防废水能被引入事故应急池，避免直接外排。</w:t>
            </w:r>
          </w:p>
          <w:p w14:paraId="091ED10C">
            <w:pPr>
              <w:pStyle w:val="36"/>
              <w:ind w:firstLine="480"/>
              <w:rPr>
                <w:color w:val="000000" w:themeColor="text1"/>
                <w:spacing w:val="0"/>
                <w:lang w:eastAsia="zh-CN"/>
                <w14:textFill>
                  <w14:solidFill>
                    <w14:schemeClr w14:val="tx1"/>
                  </w14:solidFill>
                </w14:textFill>
              </w:rPr>
            </w:pPr>
            <w:r>
              <w:rPr>
                <w:rFonts w:hint="eastAsia" w:ascii="宋体" w:hAnsi="宋体"/>
                <w:color w:val="000000" w:themeColor="text1"/>
                <w:spacing w:val="0"/>
                <w:lang w:eastAsia="zh-CN"/>
                <w14:textFill>
                  <w14:solidFill>
                    <w14:schemeClr w14:val="tx1"/>
                  </w14:solidFill>
                </w14:textFill>
              </w:rPr>
              <w:t>②加强火灾、消防演练，</w:t>
            </w:r>
            <w:r>
              <w:rPr>
                <w:rFonts w:hint="eastAsia"/>
                <w:color w:val="000000" w:themeColor="text1"/>
                <w:spacing w:val="0"/>
                <w:lang w:eastAsia="zh-CN"/>
                <w14:textFill>
                  <w14:solidFill>
                    <w14:schemeClr w14:val="tx1"/>
                  </w14:solidFill>
                </w14:textFill>
              </w:rPr>
              <w:t>定期检查消防设施和应急物资完好性。</w:t>
            </w:r>
          </w:p>
          <w:p w14:paraId="7F1932BF">
            <w:pPr>
              <w:pStyle w:val="36"/>
              <w:ind w:firstLine="482"/>
              <w:jc w:val="left"/>
              <w:rPr>
                <w:b/>
                <w:bCs/>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（6）环境风险应急预案</w:t>
            </w:r>
          </w:p>
          <w:p w14:paraId="1C199F76">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企业编制有《云南海潮集团听牧肉牛产业股份有限公司突发环境事件应急预案（第二版）》，已于2024年9月3日在昆明市生态环境局寻甸分局完成备案（编号530-129-2024-068-L）。</w:t>
            </w:r>
          </w:p>
          <w:p w14:paraId="04BCBDD5">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应急预案明确了环境风险事故应急组织体系、预警报告程序、应急响应流程、应急保障措施等。日常应加强环境风险防范意识，定期组织演练，保障应急物资储备，确保有效应对突发环境事件。</w:t>
            </w:r>
          </w:p>
          <w:p w14:paraId="57CB375F">
            <w:pPr>
              <w:pStyle w:val="36"/>
              <w:ind w:firstLine="482"/>
              <w:rPr>
                <w:color w:val="000000" w:themeColor="text1"/>
                <w:spacing w:val="0"/>
                <w:lang w:eastAsia="zh-CN"/>
                <w14:textFill>
                  <w14:solidFill>
                    <w14:schemeClr w14:val="tx1"/>
                  </w14:solidFill>
                </w14:textFill>
              </w:rPr>
            </w:pPr>
            <w:r>
              <w:rPr>
                <w:rFonts w:hint="eastAsia"/>
                <w:b/>
                <w:bCs/>
                <w:color w:val="000000" w:themeColor="text1"/>
                <w:spacing w:val="0"/>
                <w:lang w:eastAsia="zh-CN"/>
                <w14:textFill>
                  <w14:solidFill>
                    <w14:schemeClr w14:val="tx1"/>
                  </w14:solidFill>
                </w14:textFill>
              </w:rPr>
              <w:t>（7）评价结论</w:t>
            </w:r>
          </w:p>
          <w:p w14:paraId="2A180AAF">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涉及风险物质为液氨和废机油，其最大存储量未超过规定临界量，项目环境风险潜势为Ⅰ，环境风险开展简单分析。在严格落实环评提出的环境风险防范对策措施，切实执行已备案的突发环境事件应急预案基础上，项目环境风险发生的概率较小，环境风险影响可控。</w:t>
            </w:r>
          </w:p>
          <w:p w14:paraId="5223B57A">
            <w:pPr>
              <w:widowControl/>
              <w:jc w:val="center"/>
              <w:rPr>
                <w:rFonts w:cs="宋体"/>
                <w:b/>
                <w:bCs/>
                <w:color w:val="000000" w:themeColor="text1"/>
                <w:kern w:val="0"/>
                <w:szCs w:val="21"/>
                <w:lang w:bidi="ar"/>
                <w14:textFill>
                  <w14:solidFill>
                    <w14:schemeClr w14:val="tx1"/>
                  </w14:solidFill>
                </w14:textFill>
              </w:rPr>
            </w:pPr>
            <w:r>
              <w:rPr>
                <w:rFonts w:hint="eastAsia" w:cs="宋体"/>
                <w:b/>
                <w:bCs/>
                <w:color w:val="000000" w:themeColor="text1"/>
                <w:kern w:val="0"/>
                <w:szCs w:val="21"/>
                <w:lang w:bidi="ar"/>
                <w14:textFill>
                  <w14:solidFill>
                    <w14:schemeClr w14:val="tx1"/>
                  </w14:solidFill>
                </w14:textFill>
              </w:rPr>
              <w:t>表</w:t>
            </w:r>
            <w:r>
              <w:rPr>
                <w:rFonts w:cs="宋体"/>
                <w:b/>
                <w:bCs/>
                <w:color w:val="000000" w:themeColor="text1"/>
                <w:kern w:val="0"/>
                <w:szCs w:val="21"/>
                <w:lang w:bidi="ar"/>
                <w14:textFill>
                  <w14:solidFill>
                    <w14:schemeClr w14:val="tx1"/>
                  </w14:solidFill>
                </w14:textFill>
              </w:rPr>
              <w:t>4-</w:t>
            </w:r>
            <w:r>
              <w:rPr>
                <w:rFonts w:hint="eastAsia" w:cs="宋体"/>
                <w:b/>
                <w:bCs/>
                <w:color w:val="000000" w:themeColor="text1"/>
                <w:kern w:val="0"/>
                <w:szCs w:val="21"/>
                <w:lang w:bidi="ar"/>
                <w14:textFill>
                  <w14:solidFill>
                    <w14:schemeClr w14:val="tx1"/>
                  </w14:solidFill>
                </w14:textFill>
              </w:rPr>
              <w:t>16 项目环境风险简单分析表</w:t>
            </w:r>
          </w:p>
          <w:tbl>
            <w:tblPr>
              <w:tblStyle w:val="22"/>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6215"/>
            </w:tblGrid>
            <w:tr w14:paraId="4135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35" w:type="dxa"/>
                  <w:vAlign w:val="center"/>
                </w:tcPr>
                <w:p w14:paraId="3EF5F43E">
                  <w:pPr>
                    <w:widowControl/>
                    <w:jc w:val="center"/>
                    <w:textAlignment w:val="center"/>
                    <w:rPr>
                      <w:rFonts w:cs="微软雅黑"/>
                      <w:color w:val="000000" w:themeColor="text1"/>
                      <w:szCs w:val="21"/>
                      <w14:textFill>
                        <w14:solidFill>
                          <w14:schemeClr w14:val="tx1"/>
                        </w14:solidFill>
                      </w14:textFill>
                    </w:rPr>
                  </w:pPr>
                  <w:r>
                    <w:rPr>
                      <w:rFonts w:hint="eastAsia" w:cs="微软雅黑"/>
                      <w:color w:val="000000" w:themeColor="text1"/>
                      <w:kern w:val="0"/>
                      <w:szCs w:val="21"/>
                      <w:lang w:bidi="ar"/>
                      <w14:textFill>
                        <w14:solidFill>
                          <w14:schemeClr w14:val="tx1"/>
                        </w14:solidFill>
                      </w14:textFill>
                    </w:rPr>
                    <w:t>建设项目名称</w:t>
                  </w:r>
                </w:p>
              </w:tc>
              <w:tc>
                <w:tcPr>
                  <w:tcW w:w="6215" w:type="dxa"/>
                  <w:vAlign w:val="center"/>
                </w:tcPr>
                <w:p w14:paraId="7CA7D014">
                  <w:pPr>
                    <w:widowControl/>
                    <w:jc w:val="center"/>
                    <w:textAlignment w:val="center"/>
                    <w:rPr>
                      <w:rFonts w:cs="微软雅黑"/>
                      <w:color w:val="000000" w:themeColor="text1"/>
                      <w:szCs w:val="21"/>
                      <w14:textFill>
                        <w14:solidFill>
                          <w14:schemeClr w14:val="tx1"/>
                        </w14:solidFill>
                      </w14:textFill>
                    </w:rPr>
                  </w:pPr>
                  <w:r>
                    <w:rPr>
                      <w:rFonts w:hint="eastAsia" w:cs="微软雅黑"/>
                      <w:color w:val="000000" w:themeColor="text1"/>
                      <w:szCs w:val="21"/>
                      <w14:textFill>
                        <w14:solidFill>
                          <w14:schemeClr w14:val="tx1"/>
                        </w14:solidFill>
                      </w14:textFill>
                    </w:rPr>
                    <w:t>云南海潮集团听牧肉牛产业股份有限公司</w:t>
                  </w:r>
                </w:p>
                <w:p w14:paraId="4CE67C23">
                  <w:pPr>
                    <w:widowControl/>
                    <w:jc w:val="center"/>
                    <w:textAlignment w:val="center"/>
                    <w:rPr>
                      <w:rFonts w:cs="微软雅黑"/>
                      <w:color w:val="000000" w:themeColor="text1"/>
                      <w:szCs w:val="21"/>
                      <w14:textFill>
                        <w14:solidFill>
                          <w14:schemeClr w14:val="tx1"/>
                        </w14:solidFill>
                      </w14:textFill>
                    </w:rPr>
                  </w:pPr>
                  <w:r>
                    <w:rPr>
                      <w:rFonts w:hint="eastAsia" w:cs="微软雅黑"/>
                      <w:color w:val="000000" w:themeColor="text1"/>
                      <w:szCs w:val="21"/>
                      <w14:textFill>
                        <w14:solidFill>
                          <w14:schemeClr w14:val="tx1"/>
                        </w14:solidFill>
                      </w14:textFill>
                    </w:rPr>
                    <w:t>50000只/年肉羊屠宰加工及配送系统技术改造项目</w:t>
                  </w:r>
                </w:p>
              </w:tc>
            </w:tr>
            <w:tr w14:paraId="6C7B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35" w:type="dxa"/>
                  <w:vAlign w:val="center"/>
                </w:tcPr>
                <w:p w14:paraId="2E5AF22C">
                  <w:pPr>
                    <w:widowControl/>
                    <w:jc w:val="center"/>
                    <w:textAlignment w:val="center"/>
                    <w:rPr>
                      <w:rFonts w:cs="微软雅黑"/>
                      <w:color w:val="000000" w:themeColor="text1"/>
                      <w:szCs w:val="21"/>
                      <w14:textFill>
                        <w14:solidFill>
                          <w14:schemeClr w14:val="tx1"/>
                        </w14:solidFill>
                      </w14:textFill>
                    </w:rPr>
                  </w:pPr>
                  <w:r>
                    <w:rPr>
                      <w:rFonts w:hint="eastAsia" w:cs="微软雅黑"/>
                      <w:color w:val="000000" w:themeColor="text1"/>
                      <w:kern w:val="0"/>
                      <w:szCs w:val="21"/>
                      <w:lang w:bidi="ar"/>
                      <w14:textFill>
                        <w14:solidFill>
                          <w14:schemeClr w14:val="tx1"/>
                        </w14:solidFill>
                      </w14:textFill>
                    </w:rPr>
                    <w:t>建设地点</w:t>
                  </w:r>
                </w:p>
              </w:tc>
              <w:tc>
                <w:tcPr>
                  <w:tcW w:w="6215" w:type="dxa"/>
                  <w:vAlign w:val="center"/>
                </w:tcPr>
                <w:p w14:paraId="72095E85">
                  <w:pPr>
                    <w:widowControl/>
                    <w:jc w:val="center"/>
                    <w:textAlignment w:val="center"/>
                    <w:rPr>
                      <w:rFonts w:cs="微软雅黑"/>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昆明市寻甸县羊街镇</w:t>
                  </w:r>
                  <w:r>
                    <w:rPr>
                      <w:rFonts w:hint="eastAsia" w:cs="微软雅黑"/>
                      <w:color w:val="000000" w:themeColor="text1"/>
                      <w:kern w:val="0"/>
                      <w:szCs w:val="21"/>
                      <w:lang w:bidi="ar"/>
                      <w14:textFill>
                        <w14:solidFill>
                          <w14:schemeClr w14:val="tx1"/>
                        </w14:solidFill>
                      </w14:textFill>
                    </w:rPr>
                    <w:t>龙池村</w:t>
                  </w:r>
                </w:p>
              </w:tc>
            </w:tr>
            <w:tr w14:paraId="74F8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35" w:type="dxa"/>
                  <w:vAlign w:val="center"/>
                </w:tcPr>
                <w:p w14:paraId="6B4C50C1">
                  <w:pPr>
                    <w:widowControl/>
                    <w:jc w:val="center"/>
                    <w:textAlignment w:val="center"/>
                    <w:rPr>
                      <w:rFonts w:cs="微软雅黑"/>
                      <w:color w:val="000000" w:themeColor="text1"/>
                      <w:szCs w:val="21"/>
                      <w14:textFill>
                        <w14:solidFill>
                          <w14:schemeClr w14:val="tx1"/>
                        </w14:solidFill>
                      </w14:textFill>
                    </w:rPr>
                  </w:pPr>
                  <w:r>
                    <w:rPr>
                      <w:rFonts w:hint="eastAsia" w:cs="微软雅黑"/>
                      <w:color w:val="000000" w:themeColor="text1"/>
                      <w:kern w:val="0"/>
                      <w:szCs w:val="21"/>
                      <w:lang w:bidi="ar"/>
                      <w14:textFill>
                        <w14:solidFill>
                          <w14:schemeClr w14:val="tx1"/>
                        </w14:solidFill>
                      </w14:textFill>
                    </w:rPr>
                    <w:t>地理坐标</w:t>
                  </w:r>
                </w:p>
              </w:tc>
              <w:tc>
                <w:tcPr>
                  <w:tcW w:w="6215" w:type="dxa"/>
                  <w:vAlign w:val="center"/>
                </w:tcPr>
                <w:p w14:paraId="69C2E5D6">
                  <w:pPr>
                    <w:widowControl/>
                    <w:jc w:val="center"/>
                    <w:textAlignment w:val="center"/>
                    <w:rPr>
                      <w:rFonts w:cs="微软雅黑"/>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北纬25度26分47.729秒，东经103度08分01.726秒</w:t>
                  </w:r>
                </w:p>
              </w:tc>
            </w:tr>
            <w:tr w14:paraId="757E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35" w:type="dxa"/>
                  <w:vAlign w:val="center"/>
                </w:tcPr>
                <w:p w14:paraId="6F223E24">
                  <w:pPr>
                    <w:widowControl/>
                    <w:jc w:val="center"/>
                    <w:textAlignment w:val="center"/>
                    <w:rPr>
                      <w:rFonts w:cs="微软雅黑"/>
                      <w:color w:val="000000" w:themeColor="text1"/>
                      <w:szCs w:val="21"/>
                      <w14:textFill>
                        <w14:solidFill>
                          <w14:schemeClr w14:val="tx1"/>
                        </w14:solidFill>
                      </w14:textFill>
                    </w:rPr>
                  </w:pPr>
                  <w:r>
                    <w:rPr>
                      <w:rFonts w:hint="eastAsia" w:cs="微软雅黑"/>
                      <w:color w:val="000000" w:themeColor="text1"/>
                      <w:kern w:val="0"/>
                      <w:szCs w:val="21"/>
                      <w:lang w:bidi="ar"/>
                      <w14:textFill>
                        <w14:solidFill>
                          <w14:schemeClr w14:val="tx1"/>
                        </w14:solidFill>
                      </w14:textFill>
                    </w:rPr>
                    <w:t>环境影响途径及危害后果（大气、地表水、地下水等）</w:t>
                  </w:r>
                </w:p>
              </w:tc>
              <w:tc>
                <w:tcPr>
                  <w:tcW w:w="6215" w:type="dxa"/>
                  <w:vAlign w:val="center"/>
                </w:tcPr>
                <w:p w14:paraId="0FB6DE65">
                  <w:pPr>
                    <w:pStyle w:val="31"/>
                    <w:jc w:val="left"/>
                    <w:rPr>
                      <w:rFonts w:cs="微软雅黑"/>
                      <w:color w:val="000000" w:themeColor="text1"/>
                      <w14:textFill>
                        <w14:solidFill>
                          <w14:schemeClr w14:val="tx1"/>
                        </w14:solidFill>
                      </w14:textFill>
                    </w:rPr>
                  </w:pPr>
                  <w:r>
                    <w:t>项目潜在风险为</w:t>
                  </w:r>
                  <w:r>
                    <w:rPr>
                      <w:rFonts w:hint="eastAsia"/>
                    </w:rPr>
                    <w:t>泄漏</w:t>
                  </w:r>
                  <w:r>
                    <w:t>、火灾。</w:t>
                  </w:r>
                  <w:r>
                    <w:rPr>
                      <w:rFonts w:hint="eastAsia"/>
                    </w:rPr>
                    <w:t>泄漏可能</w:t>
                  </w:r>
                  <w:r>
                    <w:t>对</w:t>
                  </w:r>
                  <w:r>
                    <w:rPr>
                      <w:rFonts w:hint="eastAsia"/>
                    </w:rPr>
                    <w:t>地表水环境</w:t>
                  </w:r>
                  <w:r>
                    <w:t>、</w:t>
                  </w:r>
                  <w:r>
                    <w:rPr>
                      <w:rFonts w:hint="eastAsia"/>
                    </w:rPr>
                    <w:t>地下水环境、</w:t>
                  </w:r>
                  <w:r>
                    <w:t>土壤</w:t>
                  </w:r>
                  <w:r>
                    <w:rPr>
                      <w:rFonts w:hint="eastAsia"/>
                    </w:rPr>
                    <w:t>环境</w:t>
                  </w:r>
                  <w:r>
                    <w:t>造成污染</w:t>
                  </w:r>
                  <w:r>
                    <w:rPr>
                      <w:rFonts w:hint="eastAsia"/>
                    </w:rPr>
                    <w:t>；</w:t>
                  </w:r>
                  <w:r>
                    <w:t>火灾</w:t>
                  </w:r>
                  <w:r>
                    <w:rPr>
                      <w:rFonts w:hint="eastAsia"/>
                    </w:rPr>
                    <w:t>可能</w:t>
                  </w:r>
                  <w:r>
                    <w:t>造成大气污染</w:t>
                  </w:r>
                  <w:r>
                    <w:rPr>
                      <w:rFonts w:hint="eastAsia"/>
                    </w:rPr>
                    <w:t>，对人身健康造成危害、财产损失。</w:t>
                  </w:r>
                </w:p>
              </w:tc>
            </w:tr>
            <w:tr w14:paraId="0D50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35" w:type="dxa"/>
                  <w:vMerge w:val="restart"/>
                  <w:vAlign w:val="center"/>
                </w:tcPr>
                <w:p w14:paraId="13932B16">
                  <w:pPr>
                    <w:widowControl/>
                    <w:jc w:val="center"/>
                    <w:textAlignment w:val="center"/>
                    <w:rPr>
                      <w:rFonts w:cs="微软雅黑"/>
                      <w:color w:val="000000" w:themeColor="text1"/>
                      <w:szCs w:val="21"/>
                      <w14:textFill>
                        <w14:solidFill>
                          <w14:schemeClr w14:val="tx1"/>
                        </w14:solidFill>
                      </w14:textFill>
                    </w:rPr>
                  </w:pPr>
                  <w:r>
                    <w:rPr>
                      <w:rFonts w:hint="eastAsia" w:cs="微软雅黑"/>
                      <w:color w:val="000000" w:themeColor="text1"/>
                      <w:kern w:val="0"/>
                      <w:szCs w:val="21"/>
                      <w:lang w:bidi="ar"/>
                      <w14:textFill>
                        <w14:solidFill>
                          <w14:schemeClr w14:val="tx1"/>
                        </w14:solidFill>
                      </w14:textFill>
                    </w:rPr>
                    <w:t>风险防范措施要求</w:t>
                  </w:r>
                </w:p>
              </w:tc>
              <w:tc>
                <w:tcPr>
                  <w:tcW w:w="6215" w:type="dxa"/>
                  <w:vMerge w:val="restart"/>
                  <w:vAlign w:val="center"/>
                </w:tcPr>
                <w:p w14:paraId="0FE89B2D">
                  <w:pPr>
                    <w:pStyle w:val="36"/>
                    <w:spacing w:line="240" w:lineRule="auto"/>
                    <w:ind w:firstLine="0" w:firstLineChars="0"/>
                    <w:rPr>
                      <w:color w:val="000000" w:themeColor="text1"/>
                      <w:spacing w:val="0"/>
                      <w:sz w:val="21"/>
                      <w:szCs w:val="21"/>
                      <w:lang w:eastAsia="zh-CN"/>
                      <w14:textFill>
                        <w14:solidFill>
                          <w14:schemeClr w14:val="tx1"/>
                        </w14:solidFill>
                      </w14:textFill>
                    </w:rPr>
                  </w:pPr>
                  <w:r>
                    <w:rPr>
                      <w:rFonts w:hint="eastAsia"/>
                      <w:b/>
                      <w:bCs/>
                      <w:color w:val="000000" w:themeColor="text1"/>
                      <w:spacing w:val="0"/>
                      <w:sz w:val="21"/>
                      <w:szCs w:val="21"/>
                      <w:lang w:eastAsia="zh-CN"/>
                      <w14:textFill>
                        <w14:solidFill>
                          <w14:schemeClr w14:val="tx1"/>
                        </w14:solidFill>
                      </w14:textFill>
                    </w:rPr>
                    <w:t>危险物质泄漏风险防范：</w:t>
                  </w:r>
                  <w:r>
                    <w:rPr>
                      <w:rFonts w:hint="eastAsia"/>
                      <w:color w:val="000000" w:themeColor="text1"/>
                      <w:spacing w:val="0"/>
                      <w:sz w:val="21"/>
                      <w:szCs w:val="21"/>
                      <w:lang w:eastAsia="zh-CN"/>
                      <w14:textFill>
                        <w14:solidFill>
                          <w14:schemeClr w14:val="tx1"/>
                        </w14:solidFill>
                      </w14:textFill>
                    </w:rPr>
                    <w:t>加强人员环保宣传教育，规范安全液氨操作。液氨储罐区设置围堰，配备泄漏检测报警仪、喷淋吸收装置及应急防护器材；严格执行危废管理制度，规范危废收集、暂存、转移流程，</w:t>
                  </w:r>
                  <w:r>
                    <w:rPr>
                      <w:rFonts w:hint="eastAsia"/>
                      <w:spacing w:val="0"/>
                      <w:kern w:val="0"/>
                      <w:sz w:val="21"/>
                      <w:szCs w:val="21"/>
                      <w:lang w:eastAsia="zh-CN" w:bidi="ar"/>
                    </w:rPr>
                    <w:t>做好危废台账管理。</w:t>
                  </w:r>
                  <w:r>
                    <w:rPr>
                      <w:rFonts w:hint="eastAsia"/>
                      <w:color w:val="000000" w:themeColor="text1"/>
                      <w:spacing w:val="0"/>
                      <w:sz w:val="21"/>
                      <w:szCs w:val="21"/>
                      <w:lang w:eastAsia="zh-CN"/>
                      <w14:textFill>
                        <w14:solidFill>
                          <w14:schemeClr w14:val="tx1"/>
                        </w14:solidFill>
                      </w14:textFill>
                    </w:rPr>
                    <w:t>按照《危险废物贮存污染控制标准》（GB18597-2023），做好危废贮存间防渗、防风、防雨、防晒措施，规范设置危废警示标识。</w:t>
                  </w:r>
                </w:p>
                <w:p w14:paraId="6995B8F4">
                  <w:pPr>
                    <w:pStyle w:val="36"/>
                    <w:spacing w:line="240" w:lineRule="auto"/>
                    <w:ind w:firstLine="0" w:firstLineChars="0"/>
                    <w:rPr>
                      <w:color w:val="000000" w:themeColor="text1"/>
                      <w:spacing w:val="0"/>
                      <w:sz w:val="21"/>
                      <w:szCs w:val="21"/>
                      <w:lang w:eastAsia="zh-CN"/>
                      <w14:textFill>
                        <w14:solidFill>
                          <w14:schemeClr w14:val="tx1"/>
                        </w14:solidFill>
                      </w14:textFill>
                    </w:rPr>
                  </w:pPr>
                  <w:r>
                    <w:rPr>
                      <w:rFonts w:hint="eastAsia"/>
                      <w:b/>
                      <w:bCs/>
                      <w:color w:val="000000" w:themeColor="text1"/>
                      <w:spacing w:val="0"/>
                      <w:sz w:val="21"/>
                      <w:szCs w:val="21"/>
                      <w:lang w:eastAsia="zh-CN"/>
                      <w14:textFill>
                        <w14:solidFill>
                          <w14:schemeClr w14:val="tx1"/>
                        </w14:solidFill>
                      </w14:textFill>
                    </w:rPr>
                    <w:t>水环境风险防范：</w:t>
                  </w:r>
                  <w:r>
                    <w:rPr>
                      <w:rFonts w:hint="eastAsia"/>
                      <w:spacing w:val="0"/>
                      <w:kern w:val="0"/>
                      <w:sz w:val="21"/>
                      <w:szCs w:val="21"/>
                      <w:lang w:eastAsia="zh-CN" w:bidi="ar"/>
                    </w:rPr>
                    <w:t>加强生产废水处理站的巡检、维护和水质监测，做好运行台账管理，保障各项设备、工艺单元稳定正常运行，确保处理后出水满足绿化、洒水降尘标准</w:t>
                  </w:r>
                  <w:r>
                    <w:rPr>
                      <w:rFonts w:hint="eastAsia"/>
                      <w:spacing w:val="0"/>
                      <w:sz w:val="21"/>
                      <w:szCs w:val="21"/>
                      <w:lang w:eastAsia="zh-CN"/>
                    </w:rPr>
                    <w:t>；</w:t>
                  </w:r>
                  <w:r>
                    <w:rPr>
                      <w:rFonts w:hint="eastAsia"/>
                      <w:spacing w:val="0"/>
                      <w:kern w:val="0"/>
                      <w:sz w:val="21"/>
                      <w:szCs w:val="21"/>
                      <w:lang w:eastAsia="zh-CN" w:bidi="ar"/>
                    </w:rPr>
                    <w:t>加强生产废水处理站事故应急池，厂区蓄水池、雨水收集池的巡检、管护，确保生产废水处理站事故废水，生产废水处理站、雨水处理后回用水得到有效暂存；</w:t>
                  </w:r>
                  <w:r>
                    <w:rPr>
                      <w:rFonts w:hint="eastAsia"/>
                      <w:spacing w:val="0"/>
                      <w:sz w:val="21"/>
                      <w:szCs w:val="21"/>
                      <w:lang w:eastAsia="zh-CN"/>
                    </w:rPr>
                    <w:t>若事故应急池、蓄水池、雨水收集池已满，生产废水、处理后回用水不能得到暂存，须立即停止生产。</w:t>
                  </w:r>
                </w:p>
                <w:p w14:paraId="2FE55DE8">
                  <w:pPr>
                    <w:pStyle w:val="36"/>
                    <w:spacing w:line="240" w:lineRule="auto"/>
                    <w:ind w:firstLine="0" w:firstLineChars="0"/>
                    <w:rPr>
                      <w:color w:val="000000" w:themeColor="text1"/>
                      <w:spacing w:val="0"/>
                      <w:sz w:val="21"/>
                      <w:szCs w:val="21"/>
                      <w:lang w:eastAsia="zh-CN"/>
                      <w14:textFill>
                        <w14:solidFill>
                          <w14:schemeClr w14:val="tx1"/>
                        </w14:solidFill>
                      </w14:textFill>
                    </w:rPr>
                  </w:pPr>
                  <w:r>
                    <w:rPr>
                      <w:rFonts w:hint="eastAsia"/>
                      <w:b/>
                      <w:bCs/>
                      <w:color w:val="000000" w:themeColor="text1"/>
                      <w:spacing w:val="0"/>
                      <w:sz w:val="21"/>
                      <w:szCs w:val="21"/>
                      <w:lang w:eastAsia="zh-CN"/>
                      <w14:textFill>
                        <w14:solidFill>
                          <w14:schemeClr w14:val="tx1"/>
                        </w14:solidFill>
                      </w14:textFill>
                    </w:rPr>
                    <w:t>次生风险防范：</w:t>
                  </w:r>
                  <w:r>
                    <w:rPr>
                      <w:rFonts w:hint="eastAsia"/>
                      <w:color w:val="000000" w:themeColor="text1"/>
                      <w:spacing w:val="0"/>
                      <w:sz w:val="21"/>
                      <w:szCs w:val="21"/>
                      <w:lang w:eastAsia="zh-CN"/>
                      <w14:textFill>
                        <w14:solidFill>
                          <w14:schemeClr w14:val="tx1"/>
                        </w14:solidFill>
                      </w14:textFill>
                    </w:rPr>
                    <w:t>厂区设置消防废水导流沟和收集系统，确保火灾时消防废水能被引入事故应急池，避免直接外排。</w:t>
                  </w:r>
                  <w:r>
                    <w:rPr>
                      <w:rFonts w:hint="eastAsia" w:ascii="宋体" w:hAnsi="宋体"/>
                      <w:color w:val="000000" w:themeColor="text1"/>
                      <w:spacing w:val="0"/>
                      <w:sz w:val="21"/>
                      <w:szCs w:val="21"/>
                      <w:lang w:eastAsia="zh-CN"/>
                      <w14:textFill>
                        <w14:solidFill>
                          <w14:schemeClr w14:val="tx1"/>
                        </w14:solidFill>
                      </w14:textFill>
                    </w:rPr>
                    <w:t>加强火灾、消防演练，</w:t>
                  </w:r>
                  <w:r>
                    <w:rPr>
                      <w:rFonts w:hint="eastAsia"/>
                      <w:color w:val="000000" w:themeColor="text1"/>
                      <w:spacing w:val="0"/>
                      <w:sz w:val="21"/>
                      <w:szCs w:val="21"/>
                      <w:lang w:eastAsia="zh-CN"/>
                      <w14:textFill>
                        <w14:solidFill>
                          <w14:schemeClr w14:val="tx1"/>
                        </w14:solidFill>
                      </w14:textFill>
                    </w:rPr>
                    <w:t>定期检查消防设施和应急物资完好性。</w:t>
                  </w:r>
                </w:p>
              </w:tc>
            </w:tr>
            <w:tr w14:paraId="0712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35" w:type="dxa"/>
                  <w:vMerge w:val="continue"/>
                  <w:vAlign w:val="center"/>
                </w:tcPr>
                <w:p w14:paraId="5C5AF26E">
                  <w:pPr>
                    <w:jc w:val="center"/>
                    <w:rPr>
                      <w:rFonts w:cs="微软雅黑"/>
                      <w:color w:val="000000" w:themeColor="text1"/>
                      <w:szCs w:val="21"/>
                      <w14:textFill>
                        <w14:solidFill>
                          <w14:schemeClr w14:val="tx1"/>
                        </w14:solidFill>
                      </w14:textFill>
                    </w:rPr>
                  </w:pPr>
                </w:p>
              </w:tc>
              <w:tc>
                <w:tcPr>
                  <w:tcW w:w="6215" w:type="dxa"/>
                  <w:vMerge w:val="continue"/>
                  <w:vAlign w:val="center"/>
                </w:tcPr>
                <w:p w14:paraId="28134A37">
                  <w:pPr>
                    <w:jc w:val="center"/>
                    <w:rPr>
                      <w:rFonts w:cs="微软雅黑"/>
                      <w:color w:val="000000" w:themeColor="text1"/>
                      <w:szCs w:val="21"/>
                      <w14:textFill>
                        <w14:solidFill>
                          <w14:schemeClr w14:val="tx1"/>
                        </w14:solidFill>
                      </w14:textFill>
                    </w:rPr>
                  </w:pPr>
                </w:p>
              </w:tc>
            </w:tr>
            <w:tr w14:paraId="482B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35" w:type="dxa"/>
                  <w:vMerge w:val="continue"/>
                  <w:vAlign w:val="center"/>
                </w:tcPr>
                <w:p w14:paraId="7E3A7CA1">
                  <w:pPr>
                    <w:jc w:val="center"/>
                    <w:rPr>
                      <w:rFonts w:cs="微软雅黑"/>
                      <w:color w:val="000000" w:themeColor="text1"/>
                      <w:szCs w:val="21"/>
                      <w14:textFill>
                        <w14:solidFill>
                          <w14:schemeClr w14:val="tx1"/>
                        </w14:solidFill>
                      </w14:textFill>
                    </w:rPr>
                  </w:pPr>
                </w:p>
              </w:tc>
              <w:tc>
                <w:tcPr>
                  <w:tcW w:w="6215" w:type="dxa"/>
                  <w:vMerge w:val="continue"/>
                  <w:vAlign w:val="center"/>
                </w:tcPr>
                <w:p w14:paraId="24CC2ECA">
                  <w:pPr>
                    <w:jc w:val="center"/>
                    <w:rPr>
                      <w:rFonts w:cs="微软雅黑"/>
                      <w:color w:val="000000" w:themeColor="text1"/>
                      <w:szCs w:val="21"/>
                      <w14:textFill>
                        <w14:solidFill>
                          <w14:schemeClr w14:val="tx1"/>
                        </w14:solidFill>
                      </w14:textFill>
                    </w:rPr>
                  </w:pPr>
                </w:p>
              </w:tc>
            </w:tr>
            <w:tr w14:paraId="1483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35" w:type="dxa"/>
                  <w:vMerge w:val="continue"/>
                  <w:vAlign w:val="center"/>
                </w:tcPr>
                <w:p w14:paraId="53E7C5A8">
                  <w:pPr>
                    <w:jc w:val="center"/>
                    <w:rPr>
                      <w:rFonts w:cs="微软雅黑"/>
                      <w:color w:val="000000" w:themeColor="text1"/>
                      <w:szCs w:val="21"/>
                      <w14:textFill>
                        <w14:solidFill>
                          <w14:schemeClr w14:val="tx1"/>
                        </w14:solidFill>
                      </w14:textFill>
                    </w:rPr>
                  </w:pPr>
                </w:p>
              </w:tc>
              <w:tc>
                <w:tcPr>
                  <w:tcW w:w="6215" w:type="dxa"/>
                  <w:vMerge w:val="continue"/>
                  <w:vAlign w:val="center"/>
                </w:tcPr>
                <w:p w14:paraId="7D96929F">
                  <w:pPr>
                    <w:jc w:val="center"/>
                    <w:rPr>
                      <w:rFonts w:cs="微软雅黑"/>
                      <w:color w:val="000000" w:themeColor="text1"/>
                      <w:szCs w:val="21"/>
                      <w14:textFill>
                        <w14:solidFill>
                          <w14:schemeClr w14:val="tx1"/>
                        </w14:solidFill>
                      </w14:textFill>
                    </w:rPr>
                  </w:pPr>
                </w:p>
              </w:tc>
            </w:tr>
            <w:tr w14:paraId="42C6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35" w:type="dxa"/>
                  <w:vMerge w:val="continue"/>
                  <w:vAlign w:val="center"/>
                </w:tcPr>
                <w:p w14:paraId="2251799F">
                  <w:pPr>
                    <w:jc w:val="center"/>
                    <w:rPr>
                      <w:rFonts w:cs="微软雅黑"/>
                      <w:color w:val="000000" w:themeColor="text1"/>
                      <w:szCs w:val="21"/>
                      <w14:textFill>
                        <w14:solidFill>
                          <w14:schemeClr w14:val="tx1"/>
                        </w14:solidFill>
                      </w14:textFill>
                    </w:rPr>
                  </w:pPr>
                </w:p>
              </w:tc>
              <w:tc>
                <w:tcPr>
                  <w:tcW w:w="6215" w:type="dxa"/>
                  <w:vMerge w:val="continue"/>
                  <w:vAlign w:val="center"/>
                </w:tcPr>
                <w:p w14:paraId="2AB37CC3">
                  <w:pPr>
                    <w:jc w:val="center"/>
                    <w:rPr>
                      <w:rFonts w:cs="微软雅黑"/>
                      <w:color w:val="000000" w:themeColor="text1"/>
                      <w:szCs w:val="21"/>
                      <w14:textFill>
                        <w14:solidFill>
                          <w14:schemeClr w14:val="tx1"/>
                        </w14:solidFill>
                      </w14:textFill>
                    </w:rPr>
                  </w:pPr>
                </w:p>
              </w:tc>
            </w:tr>
            <w:tr w14:paraId="405F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35" w:type="dxa"/>
                  <w:vMerge w:val="continue"/>
                  <w:vAlign w:val="center"/>
                </w:tcPr>
                <w:p w14:paraId="45EA0701">
                  <w:pPr>
                    <w:jc w:val="center"/>
                    <w:rPr>
                      <w:rFonts w:cs="微软雅黑"/>
                      <w:color w:val="000000" w:themeColor="text1"/>
                      <w:szCs w:val="21"/>
                      <w14:textFill>
                        <w14:solidFill>
                          <w14:schemeClr w14:val="tx1"/>
                        </w14:solidFill>
                      </w14:textFill>
                    </w:rPr>
                  </w:pPr>
                </w:p>
              </w:tc>
              <w:tc>
                <w:tcPr>
                  <w:tcW w:w="6215" w:type="dxa"/>
                  <w:vMerge w:val="continue"/>
                  <w:vAlign w:val="center"/>
                </w:tcPr>
                <w:p w14:paraId="3E1B8236">
                  <w:pPr>
                    <w:jc w:val="center"/>
                    <w:rPr>
                      <w:rFonts w:cs="微软雅黑"/>
                      <w:color w:val="000000" w:themeColor="text1"/>
                      <w:szCs w:val="21"/>
                      <w14:textFill>
                        <w14:solidFill>
                          <w14:schemeClr w14:val="tx1"/>
                        </w14:solidFill>
                      </w14:textFill>
                    </w:rPr>
                  </w:pPr>
                </w:p>
              </w:tc>
            </w:tr>
            <w:tr w14:paraId="2EED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35" w:type="dxa"/>
                  <w:vMerge w:val="continue"/>
                  <w:vAlign w:val="center"/>
                </w:tcPr>
                <w:p w14:paraId="1E0499D3">
                  <w:pPr>
                    <w:jc w:val="center"/>
                    <w:rPr>
                      <w:rFonts w:cs="微软雅黑"/>
                      <w:color w:val="000000" w:themeColor="text1"/>
                      <w:szCs w:val="21"/>
                      <w14:textFill>
                        <w14:solidFill>
                          <w14:schemeClr w14:val="tx1"/>
                        </w14:solidFill>
                      </w14:textFill>
                    </w:rPr>
                  </w:pPr>
                </w:p>
              </w:tc>
              <w:tc>
                <w:tcPr>
                  <w:tcW w:w="6215" w:type="dxa"/>
                  <w:vMerge w:val="continue"/>
                  <w:vAlign w:val="center"/>
                </w:tcPr>
                <w:p w14:paraId="318DFB49">
                  <w:pPr>
                    <w:jc w:val="center"/>
                    <w:rPr>
                      <w:rFonts w:cs="微软雅黑"/>
                      <w:color w:val="000000" w:themeColor="text1"/>
                      <w:szCs w:val="21"/>
                      <w14:textFill>
                        <w14:solidFill>
                          <w14:schemeClr w14:val="tx1"/>
                        </w14:solidFill>
                      </w14:textFill>
                    </w:rPr>
                  </w:pPr>
                </w:p>
              </w:tc>
            </w:tr>
            <w:tr w14:paraId="30CE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35" w:type="dxa"/>
                  <w:vMerge w:val="continue"/>
                  <w:vAlign w:val="center"/>
                </w:tcPr>
                <w:p w14:paraId="787EA75F">
                  <w:pPr>
                    <w:jc w:val="center"/>
                    <w:rPr>
                      <w:rFonts w:cs="微软雅黑"/>
                      <w:color w:val="000000" w:themeColor="text1"/>
                      <w:szCs w:val="21"/>
                      <w14:textFill>
                        <w14:solidFill>
                          <w14:schemeClr w14:val="tx1"/>
                        </w14:solidFill>
                      </w14:textFill>
                    </w:rPr>
                  </w:pPr>
                </w:p>
              </w:tc>
              <w:tc>
                <w:tcPr>
                  <w:tcW w:w="6215" w:type="dxa"/>
                  <w:vMerge w:val="continue"/>
                  <w:vAlign w:val="center"/>
                </w:tcPr>
                <w:p w14:paraId="2DE7CDCA">
                  <w:pPr>
                    <w:jc w:val="center"/>
                    <w:rPr>
                      <w:rFonts w:cs="微软雅黑"/>
                      <w:color w:val="000000" w:themeColor="text1"/>
                      <w:szCs w:val="21"/>
                      <w14:textFill>
                        <w14:solidFill>
                          <w14:schemeClr w14:val="tx1"/>
                        </w14:solidFill>
                      </w14:textFill>
                    </w:rPr>
                  </w:pPr>
                </w:p>
              </w:tc>
            </w:tr>
            <w:tr w14:paraId="71B2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50" w:type="dxa"/>
                  <w:gridSpan w:val="2"/>
                  <w:vAlign w:val="center"/>
                </w:tcPr>
                <w:p w14:paraId="005C5843">
                  <w:pPr>
                    <w:widowControl/>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项目涉及风险物质为液氨和废机油，其最大存储量与规定临界量比值</w:t>
                  </w:r>
                  <w:r>
                    <w:rPr>
                      <w:color w:val="000000" w:themeColor="text1"/>
                      <w:kern w:val="0"/>
                      <w:szCs w:val="21"/>
                      <w:lang w:bidi="ar"/>
                      <w14:textFill>
                        <w14:solidFill>
                          <w14:schemeClr w14:val="tx1"/>
                        </w14:solidFill>
                      </w14:textFill>
                    </w:rPr>
                    <w:t>Q</w:t>
                  </w:r>
                  <w:r>
                    <w:rPr>
                      <w:rFonts w:hint="eastAsia" w:cs="宋体"/>
                      <w:color w:val="000000" w:themeColor="text1"/>
                      <w:kern w:val="0"/>
                      <w:szCs w:val="21"/>
                      <w:lang w:bidi="ar"/>
                      <w14:textFill>
                        <w14:solidFill>
                          <w14:schemeClr w14:val="tx1"/>
                        </w14:solidFill>
                      </w14:textFill>
                    </w:rPr>
                    <w:t>小于</w:t>
                  </w:r>
                  <w:r>
                    <w:rPr>
                      <w:color w:val="000000" w:themeColor="text1"/>
                      <w:kern w:val="0"/>
                      <w:szCs w:val="21"/>
                      <w:lang w:bidi="ar"/>
                      <w14:textFill>
                        <w14:solidFill>
                          <w14:schemeClr w14:val="tx1"/>
                        </w14:solidFill>
                      </w14:textFill>
                    </w:rPr>
                    <w:t>1</w:t>
                  </w:r>
                  <w:r>
                    <w:rPr>
                      <w:rFonts w:hint="eastAsia" w:cs="宋体"/>
                      <w:color w:val="000000" w:themeColor="text1"/>
                      <w:kern w:val="0"/>
                      <w:szCs w:val="21"/>
                      <w:lang w:bidi="ar"/>
                      <w14:textFill>
                        <w14:solidFill>
                          <w14:schemeClr w14:val="tx1"/>
                        </w14:solidFill>
                      </w14:textFill>
                    </w:rPr>
                    <w:t>，环境风险潜势为</w:t>
                  </w:r>
                  <w:r>
                    <w:rPr>
                      <w:rFonts w:asciiTheme="minorEastAsia" w:hAnsiTheme="minorEastAsia" w:eastAsiaTheme="minorEastAsia"/>
                      <w:color w:val="000000" w:themeColor="text1"/>
                      <w:kern w:val="0"/>
                      <w:szCs w:val="21"/>
                      <w:lang w:bidi="ar"/>
                      <w14:textFill>
                        <w14:solidFill>
                          <w14:schemeClr w14:val="tx1"/>
                        </w14:solidFill>
                      </w14:textFill>
                    </w:rPr>
                    <w:t>Ⅰ</w:t>
                  </w:r>
                  <w:r>
                    <w:rPr>
                      <w:rFonts w:hint="eastAsia" w:cs="宋体"/>
                      <w:color w:val="000000" w:themeColor="text1"/>
                      <w:kern w:val="0"/>
                      <w:szCs w:val="21"/>
                      <w:lang w:bidi="ar"/>
                      <w14:textFill>
                        <w14:solidFill>
                          <w14:schemeClr w14:val="tx1"/>
                        </w14:solidFill>
                      </w14:textFill>
                    </w:rPr>
                    <w:t>，进行简单分析。</w:t>
                  </w:r>
                  <w:r>
                    <w:rPr>
                      <w:rFonts w:hint="eastAsia"/>
                      <w:color w:val="000000" w:themeColor="text1"/>
                      <w14:textFill>
                        <w14:solidFill>
                          <w14:schemeClr w14:val="tx1"/>
                        </w14:solidFill>
                      </w14:textFill>
                    </w:rPr>
                    <w:t>在严格落实环评提出的环境风险防范对策措施，切实执行备案的项目突发环境事件应急预案基础上，项目环境风险发生的概率较小，环境风险影响可控。</w:t>
                  </w:r>
                </w:p>
              </w:tc>
            </w:tr>
          </w:tbl>
          <w:p w14:paraId="1774AF88">
            <w:pPr>
              <w:pStyle w:val="36"/>
              <w:spacing w:line="240" w:lineRule="auto"/>
              <w:ind w:firstLine="0" w:firstLineChars="0"/>
              <w:rPr>
                <w:color w:val="000000" w:themeColor="text1"/>
                <w:spacing w:val="0"/>
                <w:lang w:eastAsia="zh-CN"/>
                <w14:textFill>
                  <w14:solidFill>
                    <w14:schemeClr w14:val="tx1"/>
                  </w14:solidFill>
                </w14:textFill>
              </w:rPr>
            </w:pPr>
          </w:p>
          <w:p w14:paraId="42C1788C">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7、排污许可</w:t>
            </w:r>
          </w:p>
          <w:p w14:paraId="03FAACBD">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根据《固定污染源排污许可分类管理名录（2019版）》，</w:t>
            </w: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项目实行排污许可简化管理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扩建</w:t>
            </w:r>
            <w:r>
              <w:rPr>
                <w:color w:val="000000" w:themeColor="text1"/>
                <w:sz w:val="24"/>
                <w14:textFill>
                  <w14:solidFill>
                    <w14:schemeClr w14:val="tx1"/>
                  </w14:solidFill>
                </w14:textFill>
              </w:rPr>
              <w:t>后应根据《排污许可管理条例》</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《排污许可管理办法》</w:t>
            </w:r>
            <w:r>
              <w:rPr>
                <w:rFonts w:hint="eastAsia"/>
                <w:color w:val="000000" w:themeColor="text1"/>
                <w:sz w:val="24"/>
                <w14:textFill>
                  <w14:solidFill>
                    <w14:schemeClr w14:val="tx1"/>
                  </w14:solidFill>
                </w14:textFill>
              </w:rPr>
              <w:t>等</w:t>
            </w:r>
            <w:r>
              <w:rPr>
                <w:color w:val="000000" w:themeColor="text1"/>
                <w:sz w:val="24"/>
                <w14:textFill>
                  <w14:solidFill>
                    <w14:schemeClr w14:val="tx1"/>
                  </w14:solidFill>
                </w14:textFill>
              </w:rPr>
              <w:t>重新申请或变更排污许可证。</w:t>
            </w:r>
          </w:p>
          <w:p w14:paraId="552D49F2">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8、竣工环保验收</w:t>
            </w:r>
          </w:p>
          <w:p w14:paraId="2C9E7F33">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项目扩建后，应根据</w:t>
            </w:r>
            <w:r>
              <w:rPr>
                <w:rFonts w:cs="Times New Roman"/>
                <w:spacing w:val="0"/>
                <w:lang w:eastAsia="zh-CN"/>
              </w:rPr>
              <w:t>《建设项目竣工环境保护验收暂行办法》、《建设项目竣工环境保护验收技术指南</w:t>
            </w:r>
            <w:r>
              <w:rPr>
                <w:rFonts w:hint="eastAsia" w:cs="Times New Roman"/>
                <w:spacing w:val="0"/>
                <w:lang w:eastAsia="zh-CN"/>
              </w:rPr>
              <w:t xml:space="preserve"> </w:t>
            </w:r>
            <w:r>
              <w:rPr>
                <w:rFonts w:cs="Times New Roman"/>
                <w:spacing w:val="0"/>
                <w:lang w:eastAsia="zh-CN"/>
              </w:rPr>
              <w:t>污染影响类》</w:t>
            </w:r>
            <w:r>
              <w:rPr>
                <w:rFonts w:hint="eastAsia" w:cs="Times New Roman"/>
                <w:spacing w:val="0"/>
                <w:lang w:eastAsia="zh-CN"/>
              </w:rPr>
              <w:t>规定的程序和标准，由业主</w:t>
            </w:r>
            <w:r>
              <w:rPr>
                <w:rFonts w:cs="Times New Roman"/>
                <w:spacing w:val="0"/>
                <w:lang w:eastAsia="zh-CN"/>
              </w:rPr>
              <w:t>作为项目竣工环保验收责任主体，组织对配套建设的环保设施进行验收，编制验收监测表，公开相关信息，接受社会监督，确保配套建设的环保设施与主体工程同时投产或使用。</w:t>
            </w:r>
          </w:p>
          <w:p w14:paraId="32A33358">
            <w:pPr>
              <w:widowControl/>
              <w:jc w:val="center"/>
              <w:rPr>
                <w:rFonts w:cs="宋体"/>
                <w:b/>
                <w:bCs/>
                <w:color w:val="000000" w:themeColor="text1"/>
                <w:kern w:val="0"/>
                <w:szCs w:val="21"/>
                <w:lang w:bidi="ar"/>
                <w14:textFill>
                  <w14:solidFill>
                    <w14:schemeClr w14:val="tx1"/>
                  </w14:solidFill>
                </w14:textFill>
              </w:rPr>
            </w:pPr>
            <w:r>
              <w:rPr>
                <w:rFonts w:hint="eastAsia" w:cs="宋体"/>
                <w:b/>
                <w:bCs/>
                <w:color w:val="000000" w:themeColor="text1"/>
                <w:kern w:val="0"/>
                <w:szCs w:val="21"/>
                <w:lang w:bidi="ar"/>
                <w14:textFill>
                  <w14:solidFill>
                    <w14:schemeClr w14:val="tx1"/>
                  </w14:solidFill>
                </w14:textFill>
              </w:rPr>
              <w:t>表</w:t>
            </w:r>
            <w:r>
              <w:rPr>
                <w:rFonts w:cs="宋体"/>
                <w:b/>
                <w:bCs/>
                <w:color w:val="000000" w:themeColor="text1"/>
                <w:kern w:val="0"/>
                <w:szCs w:val="21"/>
                <w:lang w:bidi="ar"/>
                <w14:textFill>
                  <w14:solidFill>
                    <w14:schemeClr w14:val="tx1"/>
                  </w14:solidFill>
                </w14:textFill>
              </w:rPr>
              <w:t>4-</w:t>
            </w:r>
            <w:r>
              <w:rPr>
                <w:rFonts w:hint="eastAsia" w:cs="宋体"/>
                <w:b/>
                <w:bCs/>
                <w:color w:val="000000" w:themeColor="text1"/>
                <w:kern w:val="0"/>
                <w:szCs w:val="21"/>
                <w:lang w:bidi="ar"/>
                <w14:textFill>
                  <w14:solidFill>
                    <w14:schemeClr w14:val="tx1"/>
                  </w14:solidFill>
                </w14:textFill>
              </w:rPr>
              <w:t>17 项目竣工环保验收表</w:t>
            </w:r>
          </w:p>
          <w:tbl>
            <w:tblPr>
              <w:tblStyle w:val="22"/>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275"/>
              <w:gridCol w:w="3543"/>
              <w:gridCol w:w="2246"/>
            </w:tblGrid>
            <w:tr w14:paraId="6559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9" w:type="pct"/>
                  <w:vAlign w:val="center"/>
                </w:tcPr>
                <w:p w14:paraId="4256A25B">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治理项目</w:t>
                  </w:r>
                </w:p>
              </w:tc>
              <w:tc>
                <w:tcPr>
                  <w:tcW w:w="773" w:type="pct"/>
                  <w:vAlign w:val="center"/>
                </w:tcPr>
                <w:p w14:paraId="109F5D58">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治理对象</w:t>
                  </w:r>
                </w:p>
              </w:tc>
              <w:tc>
                <w:tcPr>
                  <w:tcW w:w="2147" w:type="pct"/>
                  <w:vAlign w:val="center"/>
                </w:tcPr>
                <w:p w14:paraId="5C52302C">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环保措施</w:t>
                  </w:r>
                </w:p>
              </w:tc>
              <w:tc>
                <w:tcPr>
                  <w:tcW w:w="1361" w:type="pct"/>
                  <w:vAlign w:val="center"/>
                </w:tcPr>
                <w:p w14:paraId="4CCCBC1B">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验收标准</w:t>
                  </w:r>
                </w:p>
              </w:tc>
            </w:tr>
            <w:tr w14:paraId="0873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9" w:type="pct"/>
                  <w:vMerge w:val="restart"/>
                  <w:vAlign w:val="center"/>
                </w:tcPr>
                <w:p w14:paraId="28628F8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废水</w:t>
                  </w:r>
                </w:p>
              </w:tc>
              <w:tc>
                <w:tcPr>
                  <w:tcW w:w="773" w:type="pct"/>
                  <w:vAlign w:val="center"/>
                </w:tcPr>
                <w:p w14:paraId="68292434">
                  <w:pPr>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生产废水</w:t>
                  </w:r>
                </w:p>
              </w:tc>
              <w:tc>
                <w:tcPr>
                  <w:tcW w:w="2147" w:type="pct"/>
                  <w:vAlign w:val="center"/>
                </w:tcPr>
                <w:p w14:paraId="7280B2D9">
                  <w:pPr>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收集后经</w:t>
                  </w:r>
                  <w:r>
                    <w:rPr>
                      <w:rFonts w:hint="eastAsia"/>
                      <w:color w:val="000000" w:themeColor="text1"/>
                      <w:kern w:val="0"/>
                      <w:szCs w:val="21"/>
                      <w:lang w:val="zh-CN"/>
                      <w14:textFill>
                        <w14:solidFill>
                          <w14:schemeClr w14:val="tx1"/>
                        </w14:solidFill>
                      </w14:textFill>
                    </w:rPr>
                    <w:t>生产废水</w:t>
                  </w:r>
                  <w:r>
                    <w:rPr>
                      <w:color w:val="000000" w:themeColor="text1"/>
                      <w:kern w:val="0"/>
                      <w:szCs w:val="21"/>
                      <w:lang w:val="zh-CN"/>
                      <w14:textFill>
                        <w14:solidFill>
                          <w14:schemeClr w14:val="tx1"/>
                        </w14:solidFill>
                      </w14:textFill>
                    </w:rPr>
                    <w:t>处理站处理达标后用于厂区绿化、洒水降尘</w:t>
                  </w:r>
                </w:p>
              </w:tc>
              <w:tc>
                <w:tcPr>
                  <w:tcW w:w="1361" w:type="pct"/>
                  <w:vAlign w:val="center"/>
                </w:tcPr>
                <w:p w14:paraId="0D5EC9E4">
                  <w:pPr>
                    <w:adjustRightInd w:val="0"/>
                    <w:snapToGrid w:val="0"/>
                    <w:jc w:val="center"/>
                    <w:rPr>
                      <w:color w:val="000000" w:themeColor="text1"/>
                      <w:kern w:val="0"/>
                      <w:szCs w:val="21"/>
                      <w:lang w:val="zh-CN"/>
                      <w14:textFill>
                        <w14:solidFill>
                          <w14:schemeClr w14:val="tx1"/>
                        </w14:solidFill>
                      </w14:textFill>
                    </w:rPr>
                  </w:pPr>
                  <w:r>
                    <w:rPr>
                      <w:szCs w:val="21"/>
                    </w:rPr>
                    <w:t>《城市污水再生利用 城市杂用水水质》（GB/T 18920-2020）</w:t>
                  </w:r>
                </w:p>
              </w:tc>
            </w:tr>
            <w:tr w14:paraId="1B4A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9" w:type="pct"/>
                  <w:vMerge w:val="continue"/>
                  <w:vAlign w:val="center"/>
                </w:tcPr>
                <w:p w14:paraId="63175FA8">
                  <w:pPr>
                    <w:adjustRightInd w:val="0"/>
                    <w:snapToGrid w:val="0"/>
                    <w:jc w:val="center"/>
                    <w:rPr>
                      <w:color w:val="000000" w:themeColor="text1"/>
                      <w:kern w:val="0"/>
                      <w:szCs w:val="21"/>
                      <w:lang w:val="zh-CN"/>
                      <w14:textFill>
                        <w14:solidFill>
                          <w14:schemeClr w14:val="tx1"/>
                        </w14:solidFill>
                      </w14:textFill>
                    </w:rPr>
                  </w:pPr>
                </w:p>
              </w:tc>
              <w:tc>
                <w:tcPr>
                  <w:tcW w:w="773" w:type="pct"/>
                  <w:vAlign w:val="center"/>
                </w:tcPr>
                <w:p w14:paraId="12BDADB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生活污水</w:t>
                  </w:r>
                </w:p>
              </w:tc>
              <w:tc>
                <w:tcPr>
                  <w:tcW w:w="2147" w:type="pct"/>
                  <w:vAlign w:val="center"/>
                </w:tcPr>
                <w:p w14:paraId="79D584B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收集后经隔油池、化粪池预处理后接入市政污水管网</w:t>
                  </w:r>
                </w:p>
              </w:tc>
              <w:tc>
                <w:tcPr>
                  <w:tcW w:w="1361" w:type="pct"/>
                  <w:vAlign w:val="center"/>
                </w:tcPr>
                <w:p w14:paraId="11BD03DE">
                  <w:pPr>
                    <w:adjustRightInd w:val="0"/>
                    <w:snapToGrid w:val="0"/>
                    <w:jc w:val="center"/>
                    <w:rPr>
                      <w:color w:val="000000" w:themeColor="text1"/>
                      <w:kern w:val="0"/>
                      <w:szCs w:val="21"/>
                      <w14:textFill>
                        <w14:solidFill>
                          <w14:schemeClr w14:val="tx1"/>
                        </w14:solidFill>
                      </w14:textFill>
                    </w:rPr>
                  </w:pPr>
                  <w:r>
                    <w:rPr>
                      <w:kern w:val="0"/>
                      <w:lang w:bidi="ar"/>
                    </w:rPr>
                    <w:t>《污水排入城镇下水道水质标准》（GB/T 31962-2015）</w:t>
                  </w:r>
                </w:p>
              </w:tc>
            </w:tr>
            <w:tr w14:paraId="0FB5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9" w:type="pct"/>
                  <w:vMerge w:val="restart"/>
                  <w:vAlign w:val="center"/>
                </w:tcPr>
                <w:p w14:paraId="53E4CA08">
                  <w:pPr>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废气</w:t>
                  </w:r>
                </w:p>
              </w:tc>
              <w:tc>
                <w:tcPr>
                  <w:tcW w:w="773" w:type="pct"/>
                  <w:vAlign w:val="center"/>
                </w:tcPr>
                <w:p w14:paraId="0B2785D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有组织排放</w:t>
                  </w:r>
                </w:p>
              </w:tc>
              <w:tc>
                <w:tcPr>
                  <w:tcW w:w="2147" w:type="pct"/>
                  <w:vAlign w:val="center"/>
                </w:tcPr>
                <w:p w14:paraId="0645BF3B">
                  <w:pPr>
                    <w:adjustRightInd w:val="0"/>
                    <w:snapToGrid w:val="0"/>
                    <w:jc w:val="center"/>
                    <w:rPr>
                      <w:color w:val="000000" w:themeColor="text1"/>
                      <w:kern w:val="0"/>
                      <w:szCs w:val="21"/>
                      <w14:textFill>
                        <w14:solidFill>
                          <w14:schemeClr w14:val="tx1"/>
                        </w14:solidFill>
                      </w14:textFill>
                    </w:rPr>
                  </w:pPr>
                  <w:r>
                    <w:rPr>
                      <w:szCs w:val="21"/>
                    </w:rPr>
                    <w:t>屠宰车间、</w:t>
                  </w:r>
                  <w:r>
                    <w:rPr>
                      <w:rFonts w:hint="eastAsia"/>
                      <w:szCs w:val="21"/>
                    </w:rPr>
                    <w:t>生产废水</w:t>
                  </w:r>
                  <w:r>
                    <w:rPr>
                      <w:szCs w:val="21"/>
                    </w:rPr>
                    <w:t>处理站恶臭污染物经集中收集，喷淋塔除臭、活性炭吸附等处理后由排气筒导排</w:t>
                  </w:r>
                </w:p>
              </w:tc>
              <w:tc>
                <w:tcPr>
                  <w:tcW w:w="1361" w:type="pct"/>
                  <w:vMerge w:val="restart"/>
                  <w:vAlign w:val="center"/>
                </w:tcPr>
                <w:p w14:paraId="3CC5EA2A">
                  <w:pPr>
                    <w:adjustRightInd w:val="0"/>
                    <w:snapToGrid w:val="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《恶臭污染物排放标准》（GB14554-93）</w:t>
                  </w:r>
                </w:p>
              </w:tc>
            </w:tr>
            <w:tr w14:paraId="53F6A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9" w:type="pct"/>
                  <w:vMerge w:val="continue"/>
                  <w:vAlign w:val="center"/>
                </w:tcPr>
                <w:p w14:paraId="28740C47">
                  <w:pPr>
                    <w:adjustRightInd w:val="0"/>
                    <w:snapToGrid w:val="0"/>
                    <w:jc w:val="center"/>
                    <w:rPr>
                      <w:color w:val="000000" w:themeColor="text1"/>
                      <w:kern w:val="0"/>
                      <w:szCs w:val="21"/>
                      <w:lang w:val="zh-CN"/>
                      <w14:textFill>
                        <w14:solidFill>
                          <w14:schemeClr w14:val="tx1"/>
                        </w14:solidFill>
                      </w14:textFill>
                    </w:rPr>
                  </w:pPr>
                </w:p>
              </w:tc>
              <w:tc>
                <w:tcPr>
                  <w:tcW w:w="773" w:type="pct"/>
                  <w:vAlign w:val="center"/>
                </w:tcPr>
                <w:p w14:paraId="0707D25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无组织排放</w:t>
                  </w:r>
                </w:p>
              </w:tc>
              <w:tc>
                <w:tcPr>
                  <w:tcW w:w="2147" w:type="pct"/>
                  <w:vAlign w:val="center"/>
                </w:tcPr>
                <w:p w14:paraId="521E1A11">
                  <w:pPr>
                    <w:adjustRightInd w:val="0"/>
                    <w:snapToGrid w:val="0"/>
                    <w:jc w:val="center"/>
                    <w:rPr>
                      <w:color w:val="000000" w:themeColor="text1"/>
                      <w:kern w:val="0"/>
                      <w:szCs w:val="21"/>
                      <w14:textFill>
                        <w14:solidFill>
                          <w14:schemeClr w14:val="tx1"/>
                        </w14:solidFill>
                      </w14:textFill>
                    </w:rPr>
                  </w:pPr>
                  <w:r>
                    <w:rPr>
                      <w:szCs w:val="21"/>
                    </w:rPr>
                    <w:t>待宰圈、屠宰车间、</w:t>
                  </w:r>
                  <w:r>
                    <w:rPr>
                      <w:rFonts w:hint="eastAsia"/>
                      <w:szCs w:val="21"/>
                    </w:rPr>
                    <w:t>生产废水</w:t>
                  </w:r>
                  <w:r>
                    <w:rPr>
                      <w:szCs w:val="21"/>
                    </w:rPr>
                    <w:t>处理站、粪便临时堆场喷洒生物除臭剂；</w:t>
                  </w:r>
                  <w:r>
                    <w:rPr>
                      <w:kern w:val="0"/>
                      <w:szCs w:val="21"/>
                      <w:lang w:bidi="ar"/>
                    </w:rPr>
                    <w:t>粪便临时堆场四面加装封闭围栏</w:t>
                  </w:r>
                </w:p>
              </w:tc>
              <w:tc>
                <w:tcPr>
                  <w:tcW w:w="1361" w:type="pct"/>
                  <w:vMerge w:val="continue"/>
                  <w:vAlign w:val="center"/>
                </w:tcPr>
                <w:p w14:paraId="67DAE7AC">
                  <w:pPr>
                    <w:adjustRightInd w:val="0"/>
                    <w:snapToGrid w:val="0"/>
                    <w:jc w:val="center"/>
                    <w:rPr>
                      <w:color w:val="000000" w:themeColor="text1"/>
                      <w:kern w:val="0"/>
                      <w:szCs w:val="21"/>
                      <w14:textFill>
                        <w14:solidFill>
                          <w14:schemeClr w14:val="tx1"/>
                        </w14:solidFill>
                      </w14:textFill>
                    </w:rPr>
                  </w:pPr>
                </w:p>
              </w:tc>
            </w:tr>
            <w:tr w14:paraId="4FBD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19" w:type="pct"/>
                  <w:vAlign w:val="center"/>
                </w:tcPr>
                <w:p w14:paraId="05BA40EC">
                  <w:pPr>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噪声</w:t>
                  </w:r>
                </w:p>
              </w:tc>
              <w:tc>
                <w:tcPr>
                  <w:tcW w:w="773" w:type="pct"/>
                  <w:vAlign w:val="center"/>
                </w:tcPr>
                <w:p w14:paraId="55594EA9">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车间噪声</w:t>
                  </w:r>
                </w:p>
              </w:tc>
              <w:tc>
                <w:tcPr>
                  <w:tcW w:w="2147" w:type="pct"/>
                  <w:vAlign w:val="center"/>
                </w:tcPr>
                <w:p w14:paraId="5E2B9AAF">
                  <w:pPr>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肉羊屠宰车间机械、设备加装减振垫，采用基础减振措施</w:t>
                  </w:r>
                </w:p>
              </w:tc>
              <w:tc>
                <w:tcPr>
                  <w:tcW w:w="1361" w:type="pct"/>
                  <w:vAlign w:val="center"/>
                </w:tcPr>
                <w:p w14:paraId="49DA1DFD">
                  <w:pPr>
                    <w:adjustRightInd w:val="0"/>
                    <w:snapToGrid w:val="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《工业企业厂界环境噪声排放标准》（GB12348-2008）</w:t>
                  </w:r>
                </w:p>
              </w:tc>
            </w:tr>
            <w:tr w14:paraId="6B33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19" w:type="pct"/>
                  <w:vAlign w:val="center"/>
                </w:tcPr>
                <w:p w14:paraId="0418131A">
                  <w:pPr>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固体废物</w:t>
                  </w:r>
                </w:p>
              </w:tc>
              <w:tc>
                <w:tcPr>
                  <w:tcW w:w="773" w:type="pct"/>
                  <w:vAlign w:val="center"/>
                </w:tcPr>
                <w:p w14:paraId="2AA1834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危废贮存间</w:t>
                  </w:r>
                </w:p>
              </w:tc>
              <w:tc>
                <w:tcPr>
                  <w:tcW w:w="2147" w:type="pct"/>
                  <w:vAlign w:val="center"/>
                </w:tcPr>
                <w:p w14:paraId="1136AC97">
                  <w:pPr>
                    <w:adjustRightInd w:val="0"/>
                    <w:snapToGrid w:val="0"/>
                    <w:jc w:val="center"/>
                    <w:rPr>
                      <w:color w:val="000000" w:themeColor="text1"/>
                      <w:kern w:val="0"/>
                      <w:szCs w:val="21"/>
                      <w14:textFill>
                        <w14:solidFill>
                          <w14:schemeClr w14:val="tx1"/>
                        </w14:solidFill>
                      </w14:textFill>
                    </w:rPr>
                  </w:pPr>
                  <w:r>
                    <w:rPr>
                      <w:kern w:val="0"/>
                      <w:szCs w:val="21"/>
                      <w:lang w:bidi="ar"/>
                    </w:rPr>
                    <w:t>危废贮存间地面与裙脚采取表面防渗措施</w:t>
                  </w:r>
                </w:p>
              </w:tc>
              <w:tc>
                <w:tcPr>
                  <w:tcW w:w="1361" w:type="pct"/>
                  <w:vAlign w:val="center"/>
                </w:tcPr>
                <w:p w14:paraId="7987D63F">
                  <w:pPr>
                    <w:adjustRightInd w:val="0"/>
                    <w:snapToGrid w:val="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《危险废物贮存污染控制标准》（GB18597-2023）</w:t>
                  </w:r>
                </w:p>
              </w:tc>
            </w:tr>
          </w:tbl>
          <w:p w14:paraId="1BE22507">
            <w:pPr>
              <w:pStyle w:val="36"/>
              <w:spacing w:line="240" w:lineRule="auto"/>
              <w:ind w:firstLine="0" w:firstLineChars="0"/>
              <w:rPr>
                <w:color w:val="000000" w:themeColor="text1"/>
                <w:spacing w:val="0"/>
                <w:lang w:eastAsia="zh-CN"/>
                <w14:textFill>
                  <w14:solidFill>
                    <w14:schemeClr w14:val="tx1"/>
                  </w14:solidFill>
                </w14:textFill>
              </w:rPr>
            </w:pPr>
          </w:p>
          <w:p w14:paraId="35520000">
            <w:pPr>
              <w:widowControl/>
              <w:spacing w:line="360" w:lineRule="auto"/>
              <w:jc w:val="left"/>
              <w:rPr>
                <w:b/>
                <w:bCs/>
                <w:color w:val="000000" w:themeColor="text1"/>
                <w:kern w:val="0"/>
                <w:sz w:val="28"/>
                <w:szCs w:val="28"/>
                <w:lang w:bidi="ar"/>
                <w14:textFill>
                  <w14:solidFill>
                    <w14:schemeClr w14:val="tx1"/>
                  </w14:solidFill>
                </w14:textFill>
              </w:rPr>
            </w:pPr>
            <w:r>
              <w:rPr>
                <w:rFonts w:hint="eastAsia"/>
                <w:b/>
                <w:bCs/>
                <w:color w:val="000000" w:themeColor="text1"/>
                <w:kern w:val="0"/>
                <w:sz w:val="28"/>
                <w:szCs w:val="28"/>
                <w:lang w:bidi="ar"/>
                <w14:textFill>
                  <w14:solidFill>
                    <w14:schemeClr w14:val="tx1"/>
                  </w14:solidFill>
                </w14:textFill>
              </w:rPr>
              <w:t>9、环保投资</w:t>
            </w:r>
          </w:p>
          <w:p w14:paraId="6617ACED">
            <w:pPr>
              <w:pStyle w:val="36"/>
              <w:ind w:firstLine="480"/>
              <w:rPr>
                <w:rFonts w:cs="Times New Roman"/>
                <w:color w:val="000000" w:themeColor="text1"/>
                <w:spacing w:val="0"/>
                <w:lang w:eastAsia="zh-CN"/>
                <w14:textFill>
                  <w14:solidFill>
                    <w14:schemeClr w14:val="tx1"/>
                  </w14:solidFill>
                </w14:textFill>
              </w:rPr>
            </w:pPr>
            <w:r>
              <w:rPr>
                <w:rFonts w:cs="Times New Roman"/>
                <w:color w:val="000000" w:themeColor="text1"/>
                <w:spacing w:val="0"/>
                <w:lang w:eastAsia="zh-CN"/>
                <w14:textFill>
                  <w14:solidFill>
                    <w14:schemeClr w14:val="tx1"/>
                  </w14:solidFill>
                </w14:textFill>
              </w:rPr>
              <w:t>项目总投资515.44万元，新增环保投资约6</w:t>
            </w:r>
            <w:r>
              <w:rPr>
                <w:rFonts w:hint="eastAsia" w:cs="Times New Roman"/>
                <w:color w:val="000000" w:themeColor="text1"/>
                <w:spacing w:val="0"/>
                <w:lang w:eastAsia="zh-CN"/>
                <w14:textFill>
                  <w14:solidFill>
                    <w14:schemeClr w14:val="tx1"/>
                  </w14:solidFill>
                </w14:textFill>
              </w:rPr>
              <w:t>6.4</w:t>
            </w:r>
            <w:r>
              <w:rPr>
                <w:rFonts w:cs="Times New Roman"/>
                <w:color w:val="000000" w:themeColor="text1"/>
                <w:spacing w:val="0"/>
                <w:lang w:eastAsia="zh-CN"/>
                <w14:textFill>
                  <w14:solidFill>
                    <w14:schemeClr w14:val="tx1"/>
                  </w14:solidFill>
                </w14:textFill>
              </w:rPr>
              <w:t>万元，占总投资的1</w:t>
            </w:r>
            <w:r>
              <w:rPr>
                <w:rFonts w:hint="eastAsia" w:cs="Times New Roman"/>
                <w:color w:val="000000" w:themeColor="text1"/>
                <w:spacing w:val="0"/>
                <w:lang w:eastAsia="zh-CN"/>
                <w14:textFill>
                  <w14:solidFill>
                    <w14:schemeClr w14:val="tx1"/>
                  </w14:solidFill>
                </w14:textFill>
              </w:rPr>
              <w:t>2.88</w:t>
            </w:r>
            <w:r>
              <w:rPr>
                <w:rFonts w:cs="Times New Roman"/>
                <w:color w:val="000000" w:themeColor="text1"/>
                <w:spacing w:val="0"/>
                <w:lang w:eastAsia="zh-CN"/>
                <w14:textFill>
                  <w14:solidFill>
                    <w14:schemeClr w14:val="tx1"/>
                  </w14:solidFill>
                </w14:textFill>
              </w:rPr>
              <w:t>%。</w:t>
            </w:r>
          </w:p>
          <w:p w14:paraId="0534CE46">
            <w:pPr>
              <w:widowControl/>
              <w:jc w:val="center"/>
              <w:rPr>
                <w:rFonts w:cs="宋体"/>
                <w:b/>
                <w:bCs/>
                <w:color w:val="000000" w:themeColor="text1"/>
                <w:kern w:val="0"/>
                <w:szCs w:val="21"/>
                <w:lang w:bidi="ar"/>
                <w14:textFill>
                  <w14:solidFill>
                    <w14:schemeClr w14:val="tx1"/>
                  </w14:solidFill>
                </w14:textFill>
              </w:rPr>
            </w:pPr>
            <w:r>
              <w:rPr>
                <w:rFonts w:hint="eastAsia" w:cs="宋体"/>
                <w:b/>
                <w:bCs/>
                <w:color w:val="000000" w:themeColor="text1"/>
                <w:kern w:val="0"/>
                <w:szCs w:val="21"/>
                <w:lang w:bidi="ar"/>
                <w14:textFill>
                  <w14:solidFill>
                    <w14:schemeClr w14:val="tx1"/>
                  </w14:solidFill>
                </w14:textFill>
              </w:rPr>
              <w:t>表</w:t>
            </w:r>
            <w:r>
              <w:rPr>
                <w:rFonts w:cs="宋体"/>
                <w:b/>
                <w:bCs/>
                <w:color w:val="000000" w:themeColor="text1"/>
                <w:kern w:val="0"/>
                <w:szCs w:val="21"/>
                <w:lang w:bidi="ar"/>
                <w14:textFill>
                  <w14:solidFill>
                    <w14:schemeClr w14:val="tx1"/>
                  </w14:solidFill>
                </w14:textFill>
              </w:rPr>
              <w:t>4-</w:t>
            </w:r>
            <w:r>
              <w:rPr>
                <w:rFonts w:hint="eastAsia" w:cs="宋体"/>
                <w:b/>
                <w:bCs/>
                <w:color w:val="000000" w:themeColor="text1"/>
                <w:kern w:val="0"/>
                <w:szCs w:val="21"/>
                <w:lang w:bidi="ar"/>
                <w14:textFill>
                  <w14:solidFill>
                    <w14:schemeClr w14:val="tx1"/>
                  </w14:solidFill>
                </w14:textFill>
              </w:rPr>
              <w:t>18 项目环保投资表</w:t>
            </w:r>
          </w:p>
          <w:tbl>
            <w:tblPr>
              <w:tblStyle w:val="22"/>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135"/>
              <w:gridCol w:w="4394"/>
              <w:gridCol w:w="1135"/>
              <w:gridCol w:w="828"/>
            </w:tblGrid>
            <w:tr w14:paraId="11C5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47" w:type="pct"/>
                  <w:gridSpan w:val="2"/>
                  <w:vAlign w:val="center"/>
                </w:tcPr>
                <w:p w14:paraId="52714217">
                  <w:pPr>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项目</w:t>
                  </w:r>
                </w:p>
              </w:tc>
              <w:tc>
                <w:tcPr>
                  <w:tcW w:w="2663" w:type="pct"/>
                  <w:vAlign w:val="center"/>
                </w:tcPr>
                <w:p w14:paraId="5E01418C">
                  <w:pPr>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环保措施</w:t>
                  </w:r>
                </w:p>
              </w:tc>
              <w:tc>
                <w:tcPr>
                  <w:tcW w:w="688" w:type="pct"/>
                  <w:vAlign w:val="center"/>
                </w:tcPr>
                <w:p w14:paraId="357E6BAD">
                  <w:pPr>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环保投资</w:t>
                  </w:r>
                </w:p>
                <w:p w14:paraId="713C85DA">
                  <w:pPr>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（万元）</w:t>
                  </w:r>
                </w:p>
              </w:tc>
              <w:tc>
                <w:tcPr>
                  <w:tcW w:w="502" w:type="pct"/>
                  <w:vAlign w:val="center"/>
                </w:tcPr>
                <w:p w14:paraId="39E7EEE9">
                  <w:pPr>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备注</w:t>
                  </w:r>
                </w:p>
              </w:tc>
            </w:tr>
            <w:tr w14:paraId="775A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459" w:type="pct"/>
                  <w:vMerge w:val="restart"/>
                  <w:vAlign w:val="center"/>
                </w:tcPr>
                <w:p w14:paraId="56EB7283">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施工期</w:t>
                  </w:r>
                </w:p>
              </w:tc>
              <w:tc>
                <w:tcPr>
                  <w:tcW w:w="688" w:type="pct"/>
                  <w:vAlign w:val="center"/>
                </w:tcPr>
                <w:p w14:paraId="2CB7A6FD">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废水</w:t>
                  </w:r>
                </w:p>
              </w:tc>
              <w:tc>
                <w:tcPr>
                  <w:tcW w:w="2663" w:type="pct"/>
                  <w:vAlign w:val="center"/>
                </w:tcPr>
                <w:p w14:paraId="2194DEFD">
                  <w:pPr>
                    <w:adjustRightInd w:val="0"/>
                    <w:snapToGrid w:val="0"/>
                    <w:jc w:val="center"/>
                    <w:rPr>
                      <w:color w:val="000000" w:themeColor="text1"/>
                      <w14:textFill>
                        <w14:solidFill>
                          <w14:schemeClr w14:val="tx1"/>
                        </w14:solidFill>
                      </w14:textFill>
                    </w:rPr>
                  </w:pPr>
                  <w:r>
                    <w:rPr>
                      <w:rFonts w:hint="eastAsia" w:cs="宋体"/>
                      <w:color w:val="000000" w:themeColor="text1"/>
                      <w:szCs w:val="21"/>
                      <w14:textFill>
                        <w14:solidFill>
                          <w14:schemeClr w14:val="tx1"/>
                        </w14:solidFill>
                      </w14:textFill>
                    </w:rPr>
                    <w:t>生产废水收集沉淀后用作场地洒水降尘，生活污水依托现有处理设施处理</w:t>
                  </w:r>
                </w:p>
              </w:tc>
              <w:tc>
                <w:tcPr>
                  <w:tcW w:w="688" w:type="pct"/>
                  <w:vAlign w:val="center"/>
                </w:tcPr>
                <w:p w14:paraId="673B49C1">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0.1</w:t>
                  </w:r>
                </w:p>
              </w:tc>
              <w:tc>
                <w:tcPr>
                  <w:tcW w:w="502" w:type="pct"/>
                  <w:vAlign w:val="center"/>
                </w:tcPr>
                <w:p w14:paraId="688953A4">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新增</w:t>
                  </w:r>
                </w:p>
              </w:tc>
            </w:tr>
            <w:tr w14:paraId="4237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vMerge w:val="continue"/>
                  <w:vAlign w:val="center"/>
                </w:tcPr>
                <w:p w14:paraId="6EBCD868">
                  <w:pPr>
                    <w:adjustRightInd w:val="0"/>
                    <w:snapToGrid w:val="0"/>
                    <w:jc w:val="center"/>
                    <w:rPr>
                      <w:color w:val="000000" w:themeColor="text1"/>
                      <w:kern w:val="0"/>
                      <w:szCs w:val="21"/>
                      <w14:textFill>
                        <w14:solidFill>
                          <w14:schemeClr w14:val="tx1"/>
                        </w14:solidFill>
                      </w14:textFill>
                    </w:rPr>
                  </w:pPr>
                </w:p>
              </w:tc>
              <w:tc>
                <w:tcPr>
                  <w:tcW w:w="688" w:type="pct"/>
                  <w:vAlign w:val="center"/>
                </w:tcPr>
                <w:p w14:paraId="5DC712A1">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废气</w:t>
                  </w:r>
                </w:p>
              </w:tc>
              <w:tc>
                <w:tcPr>
                  <w:tcW w:w="2663" w:type="pct"/>
                  <w:vAlign w:val="center"/>
                </w:tcPr>
                <w:p w14:paraId="39228647">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施工物料选择背风面堆放，并加盖篷布，施工区洒水降尘；施工作业尽量关闭门窗，室内装修选用环保材料</w:t>
                  </w:r>
                </w:p>
              </w:tc>
              <w:tc>
                <w:tcPr>
                  <w:tcW w:w="688" w:type="pct"/>
                  <w:vAlign w:val="center"/>
                </w:tcPr>
                <w:p w14:paraId="7C8618D2">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0.1</w:t>
                  </w:r>
                </w:p>
              </w:tc>
              <w:tc>
                <w:tcPr>
                  <w:tcW w:w="502" w:type="pct"/>
                  <w:vAlign w:val="center"/>
                </w:tcPr>
                <w:p w14:paraId="3F7337FC">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新增</w:t>
                  </w:r>
                </w:p>
              </w:tc>
            </w:tr>
            <w:tr w14:paraId="34D5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vMerge w:val="continue"/>
                  <w:vAlign w:val="center"/>
                </w:tcPr>
                <w:p w14:paraId="00314358">
                  <w:pPr>
                    <w:adjustRightInd w:val="0"/>
                    <w:snapToGrid w:val="0"/>
                    <w:jc w:val="center"/>
                    <w:rPr>
                      <w:color w:val="000000" w:themeColor="text1"/>
                      <w:kern w:val="0"/>
                      <w:szCs w:val="21"/>
                      <w14:textFill>
                        <w14:solidFill>
                          <w14:schemeClr w14:val="tx1"/>
                        </w14:solidFill>
                      </w14:textFill>
                    </w:rPr>
                  </w:pPr>
                </w:p>
              </w:tc>
              <w:tc>
                <w:tcPr>
                  <w:tcW w:w="688" w:type="pct"/>
                  <w:vAlign w:val="center"/>
                </w:tcPr>
                <w:p w14:paraId="7CF14229">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噪声</w:t>
                  </w:r>
                </w:p>
              </w:tc>
              <w:tc>
                <w:tcPr>
                  <w:tcW w:w="2663" w:type="pct"/>
                  <w:vAlign w:val="center"/>
                </w:tcPr>
                <w:p w14:paraId="4E840BC4">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合理安排施工作业和运输时间，物料运输安排在非休息时段，控制运输车辆车速；选用低噪声的机械、设备，加强机械、设备等养护</w:t>
                  </w:r>
                </w:p>
              </w:tc>
              <w:tc>
                <w:tcPr>
                  <w:tcW w:w="688" w:type="pct"/>
                  <w:vAlign w:val="center"/>
                </w:tcPr>
                <w:p w14:paraId="3AC44395">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w:t>
                  </w:r>
                </w:p>
              </w:tc>
              <w:tc>
                <w:tcPr>
                  <w:tcW w:w="502" w:type="pct"/>
                  <w:vAlign w:val="center"/>
                </w:tcPr>
                <w:p w14:paraId="16617BC1">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新增</w:t>
                  </w:r>
                </w:p>
              </w:tc>
            </w:tr>
            <w:tr w14:paraId="2129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vMerge w:val="continue"/>
                  <w:vAlign w:val="center"/>
                </w:tcPr>
                <w:p w14:paraId="0C1E6AED">
                  <w:pPr>
                    <w:adjustRightInd w:val="0"/>
                    <w:snapToGrid w:val="0"/>
                    <w:jc w:val="center"/>
                    <w:rPr>
                      <w:color w:val="000000" w:themeColor="text1"/>
                      <w:kern w:val="0"/>
                      <w:szCs w:val="21"/>
                      <w14:textFill>
                        <w14:solidFill>
                          <w14:schemeClr w14:val="tx1"/>
                        </w14:solidFill>
                      </w14:textFill>
                    </w:rPr>
                  </w:pPr>
                </w:p>
              </w:tc>
              <w:tc>
                <w:tcPr>
                  <w:tcW w:w="688" w:type="pct"/>
                  <w:vAlign w:val="center"/>
                </w:tcPr>
                <w:p w14:paraId="05F8C770">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固体废物</w:t>
                  </w:r>
                </w:p>
              </w:tc>
              <w:tc>
                <w:tcPr>
                  <w:tcW w:w="2663" w:type="pct"/>
                  <w:vAlign w:val="center"/>
                </w:tcPr>
                <w:p w14:paraId="3407D626">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14:textFill>
                        <w14:solidFill>
                          <w14:schemeClr w14:val="tx1"/>
                        </w14:solidFill>
                      </w14:textFill>
                    </w:rPr>
                    <w:t>建筑垃圾由施工单位回收处置，生活垃圾收集于厂区垃圾桶，交由环卫部门清运处置</w:t>
                  </w:r>
                </w:p>
              </w:tc>
              <w:tc>
                <w:tcPr>
                  <w:tcW w:w="688" w:type="pct"/>
                  <w:vAlign w:val="center"/>
                </w:tcPr>
                <w:p w14:paraId="2BAF4E11">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w:t>
                  </w:r>
                </w:p>
              </w:tc>
              <w:tc>
                <w:tcPr>
                  <w:tcW w:w="502" w:type="pct"/>
                  <w:vAlign w:val="center"/>
                </w:tcPr>
                <w:p w14:paraId="7F52A8FB">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依托</w:t>
                  </w:r>
                </w:p>
              </w:tc>
            </w:tr>
            <w:tr w14:paraId="05DF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vMerge w:val="restart"/>
                  <w:vAlign w:val="center"/>
                </w:tcPr>
                <w:p w14:paraId="6DEA85C4">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运营期</w:t>
                  </w:r>
                </w:p>
              </w:tc>
              <w:tc>
                <w:tcPr>
                  <w:tcW w:w="688" w:type="pct"/>
                  <w:vMerge w:val="restart"/>
                  <w:vAlign w:val="center"/>
                </w:tcPr>
                <w:p w14:paraId="533257DE">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废水</w:t>
                  </w:r>
                </w:p>
              </w:tc>
              <w:tc>
                <w:tcPr>
                  <w:tcW w:w="2663" w:type="pct"/>
                  <w:vAlign w:val="center"/>
                </w:tcPr>
                <w:p w14:paraId="591AA9F6">
                  <w:pPr>
                    <w:adjustRightInd w:val="0"/>
                    <w:snapToGrid w:val="0"/>
                    <w:jc w:val="center"/>
                    <w:rPr>
                      <w:color w:val="000000" w:themeColor="text1"/>
                      <w:kern w:val="0"/>
                      <w:szCs w:val="21"/>
                      <w14:textFill>
                        <w14:solidFill>
                          <w14:schemeClr w14:val="tx1"/>
                        </w14:solidFill>
                      </w14:textFill>
                    </w:rPr>
                  </w:pPr>
                  <w:r>
                    <w:rPr>
                      <w:rFonts w:hint="eastAsia" w:cs="宋体"/>
                      <w:color w:val="000000" w:themeColor="text1"/>
                      <w:szCs w:val="21"/>
                      <w14:textFill>
                        <w14:solidFill>
                          <w14:schemeClr w14:val="tx1"/>
                        </w14:solidFill>
                      </w14:textFill>
                    </w:rPr>
                    <w:t>生产废水由现有生产废水处理站处理，处理规模250m</w:t>
                  </w:r>
                  <w:r>
                    <w:rPr>
                      <w:rFonts w:hint="eastAsia" w:cs="宋体"/>
                      <w:color w:val="000000" w:themeColor="text1"/>
                      <w:szCs w:val="21"/>
                      <w:vertAlign w:val="superscript"/>
                      <w14:textFill>
                        <w14:solidFill>
                          <w14:schemeClr w14:val="tx1"/>
                        </w14:solidFill>
                      </w14:textFill>
                    </w:rPr>
                    <w:t>3</w:t>
                  </w:r>
                  <w:r>
                    <w:rPr>
                      <w:rFonts w:hint="eastAsia" w:cs="宋体"/>
                      <w:color w:val="000000" w:themeColor="text1"/>
                      <w:szCs w:val="21"/>
                      <w14:textFill>
                        <w14:solidFill>
                          <w14:schemeClr w14:val="tx1"/>
                        </w14:solidFill>
                      </w14:textFill>
                    </w:rPr>
                    <w:t>/d，处理工艺“</w:t>
                  </w:r>
                  <w:r>
                    <w:rPr>
                      <w:rFonts w:hint="eastAsia"/>
                      <w:bCs/>
                      <w:szCs w:val="21"/>
                    </w:rPr>
                    <w:t>机械格栅+微滤机+气浮+强化厌氧+接触氧化+过滤吸附+消毒</w:t>
                  </w:r>
                  <w:r>
                    <w:rPr>
                      <w:rFonts w:hint="eastAsia" w:cs="宋体"/>
                      <w:color w:val="000000" w:themeColor="text1"/>
                      <w:szCs w:val="21"/>
                      <w14:textFill>
                        <w14:solidFill>
                          <w14:schemeClr w14:val="tx1"/>
                        </w14:solidFill>
                      </w14:textFill>
                    </w:rPr>
                    <w:t>”，出水用于厂区绿化、洒水降尘，不外排</w:t>
                  </w:r>
                </w:p>
              </w:tc>
              <w:tc>
                <w:tcPr>
                  <w:tcW w:w="688" w:type="pct"/>
                  <w:vAlign w:val="center"/>
                </w:tcPr>
                <w:p w14:paraId="6EF722A6">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92.3</w:t>
                  </w:r>
                </w:p>
              </w:tc>
              <w:tc>
                <w:tcPr>
                  <w:tcW w:w="502" w:type="pct"/>
                  <w:vAlign w:val="center"/>
                </w:tcPr>
                <w:p w14:paraId="19F923CE">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依托</w:t>
                  </w:r>
                </w:p>
              </w:tc>
            </w:tr>
            <w:tr w14:paraId="3079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vMerge w:val="continue"/>
                  <w:vAlign w:val="center"/>
                </w:tcPr>
                <w:p w14:paraId="3B0B3664">
                  <w:pPr>
                    <w:adjustRightInd w:val="0"/>
                    <w:snapToGrid w:val="0"/>
                    <w:jc w:val="center"/>
                    <w:rPr>
                      <w:color w:val="000000" w:themeColor="text1"/>
                      <w:kern w:val="0"/>
                      <w:szCs w:val="21"/>
                      <w:lang w:val="zh-CN"/>
                      <w14:textFill>
                        <w14:solidFill>
                          <w14:schemeClr w14:val="tx1"/>
                        </w14:solidFill>
                      </w14:textFill>
                    </w:rPr>
                  </w:pPr>
                </w:p>
              </w:tc>
              <w:tc>
                <w:tcPr>
                  <w:tcW w:w="688" w:type="pct"/>
                  <w:vMerge w:val="continue"/>
                  <w:vAlign w:val="center"/>
                </w:tcPr>
                <w:p w14:paraId="38326DA6">
                  <w:pPr>
                    <w:adjustRightInd w:val="0"/>
                    <w:snapToGrid w:val="0"/>
                    <w:jc w:val="center"/>
                    <w:rPr>
                      <w:color w:val="000000" w:themeColor="text1"/>
                      <w:kern w:val="0"/>
                      <w:szCs w:val="21"/>
                      <w:lang w:val="zh-CN"/>
                      <w14:textFill>
                        <w14:solidFill>
                          <w14:schemeClr w14:val="tx1"/>
                        </w14:solidFill>
                      </w14:textFill>
                    </w:rPr>
                  </w:pPr>
                </w:p>
              </w:tc>
              <w:tc>
                <w:tcPr>
                  <w:tcW w:w="2663" w:type="pct"/>
                  <w:vAlign w:val="center"/>
                </w:tcPr>
                <w:p w14:paraId="01A5528C">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生活污水由隔油池、化粪池预处理后，出水接入市政污水管网，最终进入羊街镇污水处理站</w:t>
                  </w:r>
                </w:p>
              </w:tc>
              <w:tc>
                <w:tcPr>
                  <w:tcW w:w="688" w:type="pct"/>
                  <w:vAlign w:val="center"/>
                </w:tcPr>
                <w:p w14:paraId="3E5C8526">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8.2</w:t>
                  </w:r>
                </w:p>
              </w:tc>
              <w:tc>
                <w:tcPr>
                  <w:tcW w:w="502" w:type="pct"/>
                  <w:vAlign w:val="center"/>
                </w:tcPr>
                <w:p w14:paraId="7E6CD6CC">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依托</w:t>
                  </w:r>
                </w:p>
              </w:tc>
            </w:tr>
            <w:tr w14:paraId="6E11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vMerge w:val="continue"/>
                  <w:vAlign w:val="center"/>
                </w:tcPr>
                <w:p w14:paraId="559E9649">
                  <w:pPr>
                    <w:adjustRightInd w:val="0"/>
                    <w:snapToGrid w:val="0"/>
                    <w:jc w:val="center"/>
                    <w:rPr>
                      <w:color w:val="000000" w:themeColor="text1"/>
                      <w:kern w:val="0"/>
                      <w:szCs w:val="21"/>
                      <w:lang w:val="zh-CN"/>
                      <w14:textFill>
                        <w14:solidFill>
                          <w14:schemeClr w14:val="tx1"/>
                        </w14:solidFill>
                      </w14:textFill>
                    </w:rPr>
                  </w:pPr>
                </w:p>
              </w:tc>
              <w:tc>
                <w:tcPr>
                  <w:tcW w:w="688" w:type="pct"/>
                  <w:vMerge w:val="continue"/>
                  <w:vAlign w:val="center"/>
                </w:tcPr>
                <w:p w14:paraId="3FF857CB">
                  <w:pPr>
                    <w:adjustRightInd w:val="0"/>
                    <w:snapToGrid w:val="0"/>
                    <w:jc w:val="center"/>
                    <w:rPr>
                      <w:color w:val="000000" w:themeColor="text1"/>
                      <w:kern w:val="0"/>
                      <w:szCs w:val="21"/>
                      <w:lang w:val="zh-CN"/>
                      <w14:textFill>
                        <w14:solidFill>
                          <w14:schemeClr w14:val="tx1"/>
                        </w14:solidFill>
                      </w14:textFill>
                    </w:rPr>
                  </w:pPr>
                </w:p>
              </w:tc>
              <w:tc>
                <w:tcPr>
                  <w:tcW w:w="2663" w:type="pct"/>
                  <w:vAlign w:val="center"/>
                </w:tcPr>
                <w:p w14:paraId="354CE874">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初期雨水经雨水收集池收集暂存，</w:t>
                  </w:r>
                  <w:r>
                    <w:rPr>
                      <w:rFonts w:hint="eastAsia"/>
                    </w:rPr>
                    <w:t>后经生产废水处理站处理达标后用于厂区绿化、洒水降尘</w:t>
                  </w:r>
                </w:p>
              </w:tc>
              <w:tc>
                <w:tcPr>
                  <w:tcW w:w="688" w:type="pct"/>
                  <w:vAlign w:val="center"/>
                </w:tcPr>
                <w:p w14:paraId="627E7E95">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02" w:type="pct"/>
                  <w:vAlign w:val="center"/>
                </w:tcPr>
                <w:p w14:paraId="29CB0F2B">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依托</w:t>
                  </w:r>
                </w:p>
              </w:tc>
            </w:tr>
            <w:tr w14:paraId="0C6C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vMerge w:val="continue"/>
                  <w:vAlign w:val="center"/>
                </w:tcPr>
                <w:p w14:paraId="0C19EBD7">
                  <w:pPr>
                    <w:adjustRightInd w:val="0"/>
                    <w:snapToGrid w:val="0"/>
                    <w:jc w:val="center"/>
                    <w:rPr>
                      <w:color w:val="000000" w:themeColor="text1"/>
                      <w:kern w:val="0"/>
                      <w:szCs w:val="21"/>
                      <w:lang w:val="zh-CN"/>
                      <w14:textFill>
                        <w14:solidFill>
                          <w14:schemeClr w14:val="tx1"/>
                        </w14:solidFill>
                      </w14:textFill>
                    </w:rPr>
                  </w:pPr>
                </w:p>
              </w:tc>
              <w:tc>
                <w:tcPr>
                  <w:tcW w:w="688" w:type="pct"/>
                  <w:vMerge w:val="continue"/>
                  <w:vAlign w:val="center"/>
                </w:tcPr>
                <w:p w14:paraId="59794C01">
                  <w:pPr>
                    <w:adjustRightInd w:val="0"/>
                    <w:snapToGrid w:val="0"/>
                    <w:jc w:val="center"/>
                    <w:rPr>
                      <w:color w:val="000000" w:themeColor="text1"/>
                      <w:kern w:val="0"/>
                      <w:szCs w:val="21"/>
                      <w:lang w:val="zh-CN"/>
                      <w14:textFill>
                        <w14:solidFill>
                          <w14:schemeClr w14:val="tx1"/>
                        </w14:solidFill>
                      </w14:textFill>
                    </w:rPr>
                  </w:pPr>
                </w:p>
              </w:tc>
              <w:tc>
                <w:tcPr>
                  <w:tcW w:w="2663" w:type="pct"/>
                  <w:vAlign w:val="center"/>
                </w:tcPr>
                <w:p w14:paraId="1D65A559">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雨天情况下，处理达标后生产废水暂存于蓄水池，待晴天补充用于厂区绿化、洒水降尘</w:t>
                  </w:r>
                </w:p>
              </w:tc>
              <w:tc>
                <w:tcPr>
                  <w:tcW w:w="688" w:type="pct"/>
                  <w:vAlign w:val="center"/>
                </w:tcPr>
                <w:p w14:paraId="5F84F8C8">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02" w:type="pct"/>
                  <w:vAlign w:val="center"/>
                </w:tcPr>
                <w:p w14:paraId="0B490C5E">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依托</w:t>
                  </w:r>
                </w:p>
              </w:tc>
            </w:tr>
            <w:tr w14:paraId="6E99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vMerge w:val="continue"/>
                  <w:vAlign w:val="center"/>
                </w:tcPr>
                <w:p w14:paraId="6AB2BEC3">
                  <w:pPr>
                    <w:adjustRightInd w:val="0"/>
                    <w:snapToGrid w:val="0"/>
                    <w:jc w:val="center"/>
                    <w:rPr>
                      <w:color w:val="000000" w:themeColor="text1"/>
                      <w:kern w:val="0"/>
                      <w:szCs w:val="21"/>
                      <w:lang w:val="zh-CN"/>
                      <w14:textFill>
                        <w14:solidFill>
                          <w14:schemeClr w14:val="tx1"/>
                        </w14:solidFill>
                      </w14:textFill>
                    </w:rPr>
                  </w:pPr>
                </w:p>
              </w:tc>
              <w:tc>
                <w:tcPr>
                  <w:tcW w:w="688" w:type="pct"/>
                  <w:vMerge w:val="restart"/>
                  <w:vAlign w:val="center"/>
                </w:tcPr>
                <w:p w14:paraId="664D3899">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废气</w:t>
                  </w:r>
                </w:p>
              </w:tc>
              <w:tc>
                <w:tcPr>
                  <w:tcW w:w="2663" w:type="pct"/>
                  <w:vAlign w:val="center"/>
                </w:tcPr>
                <w:p w14:paraId="3B8125CA">
                  <w:pPr>
                    <w:adjustRightInd w:val="0"/>
                    <w:snapToGrid w:val="0"/>
                    <w:jc w:val="center"/>
                    <w:rPr>
                      <w:color w:val="000000" w:themeColor="text1"/>
                      <w:kern w:val="0"/>
                      <w:szCs w:val="21"/>
                      <w14:textFill>
                        <w14:solidFill>
                          <w14:schemeClr w14:val="tx1"/>
                        </w14:solidFill>
                      </w14:textFill>
                    </w:rPr>
                  </w:pPr>
                  <w:r>
                    <w:rPr>
                      <w:rFonts w:hint="eastAsia"/>
                    </w:rPr>
                    <w:t>待宰圈、屠宰车间、生产废水处理站、粪便临时堆场喷洒生物除臭剂</w:t>
                  </w:r>
                  <w:r>
                    <w:rPr>
                      <w:color w:val="000000" w:themeColor="text1"/>
                      <w:kern w:val="0"/>
                      <w:szCs w:val="21"/>
                      <w14:textFill>
                        <w14:solidFill>
                          <w14:schemeClr w14:val="tx1"/>
                        </w14:solidFill>
                      </w14:textFill>
                    </w:rPr>
                    <w:t xml:space="preserve"> </w:t>
                  </w:r>
                </w:p>
              </w:tc>
              <w:tc>
                <w:tcPr>
                  <w:tcW w:w="688" w:type="pct"/>
                  <w:vAlign w:val="center"/>
                </w:tcPr>
                <w:p w14:paraId="649398E9">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15.0</w:t>
                  </w:r>
                </w:p>
              </w:tc>
              <w:tc>
                <w:tcPr>
                  <w:tcW w:w="502" w:type="pct"/>
                  <w:vAlign w:val="center"/>
                </w:tcPr>
                <w:p w14:paraId="0D5E1D61">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新增</w:t>
                  </w:r>
                </w:p>
              </w:tc>
            </w:tr>
            <w:tr w14:paraId="07332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vMerge w:val="continue"/>
                  <w:vAlign w:val="center"/>
                </w:tcPr>
                <w:p w14:paraId="70C30738">
                  <w:pPr>
                    <w:adjustRightInd w:val="0"/>
                    <w:snapToGrid w:val="0"/>
                    <w:jc w:val="center"/>
                    <w:rPr>
                      <w:color w:val="000000" w:themeColor="text1"/>
                      <w:kern w:val="0"/>
                      <w:szCs w:val="21"/>
                      <w:lang w:val="zh-CN"/>
                      <w14:textFill>
                        <w14:solidFill>
                          <w14:schemeClr w14:val="tx1"/>
                        </w14:solidFill>
                      </w14:textFill>
                    </w:rPr>
                  </w:pPr>
                </w:p>
              </w:tc>
              <w:tc>
                <w:tcPr>
                  <w:tcW w:w="688" w:type="pct"/>
                  <w:vMerge w:val="continue"/>
                  <w:vAlign w:val="center"/>
                </w:tcPr>
                <w:p w14:paraId="04F8EAAE">
                  <w:pPr>
                    <w:adjustRightInd w:val="0"/>
                    <w:snapToGrid w:val="0"/>
                    <w:jc w:val="center"/>
                    <w:rPr>
                      <w:color w:val="000000" w:themeColor="text1"/>
                      <w:kern w:val="0"/>
                      <w:szCs w:val="21"/>
                      <w:lang w:val="zh-CN"/>
                      <w14:textFill>
                        <w14:solidFill>
                          <w14:schemeClr w14:val="tx1"/>
                        </w14:solidFill>
                      </w14:textFill>
                    </w:rPr>
                  </w:pPr>
                </w:p>
              </w:tc>
              <w:tc>
                <w:tcPr>
                  <w:tcW w:w="2663" w:type="pct"/>
                  <w:vAlign w:val="center"/>
                </w:tcPr>
                <w:p w14:paraId="5C4FC816">
                  <w:pPr>
                    <w:adjustRightInd w:val="0"/>
                    <w:snapToGrid w:val="0"/>
                    <w:jc w:val="center"/>
                    <w:rPr>
                      <w:color w:val="000000" w:themeColor="text1"/>
                      <w:kern w:val="0"/>
                      <w:szCs w:val="21"/>
                      <w14:textFill>
                        <w14:solidFill>
                          <w14:schemeClr w14:val="tx1"/>
                        </w14:solidFill>
                      </w14:textFill>
                    </w:rPr>
                  </w:pPr>
                  <w:r>
                    <w:rPr>
                      <w:rFonts w:hint="eastAsia"/>
                      <w:kern w:val="0"/>
                      <w:szCs w:val="21"/>
                      <w:lang w:bidi="ar"/>
                    </w:rPr>
                    <w:t>粪便临时堆场四面加装封闭围栏</w:t>
                  </w:r>
                  <w:r>
                    <w:rPr>
                      <w:color w:val="000000" w:themeColor="text1"/>
                      <w:kern w:val="0"/>
                      <w:szCs w:val="21"/>
                      <w14:textFill>
                        <w14:solidFill>
                          <w14:schemeClr w14:val="tx1"/>
                        </w14:solidFill>
                      </w14:textFill>
                    </w:rPr>
                    <w:t xml:space="preserve"> </w:t>
                  </w:r>
                </w:p>
              </w:tc>
              <w:tc>
                <w:tcPr>
                  <w:tcW w:w="688" w:type="pct"/>
                  <w:vAlign w:val="center"/>
                </w:tcPr>
                <w:p w14:paraId="7BBBDAA4">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w:t>
                  </w:r>
                </w:p>
              </w:tc>
              <w:tc>
                <w:tcPr>
                  <w:tcW w:w="502" w:type="pct"/>
                  <w:vAlign w:val="center"/>
                </w:tcPr>
                <w:p w14:paraId="70BFBFE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新增</w:t>
                  </w:r>
                </w:p>
              </w:tc>
            </w:tr>
            <w:tr w14:paraId="1A17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vMerge w:val="continue"/>
                  <w:vAlign w:val="center"/>
                </w:tcPr>
                <w:p w14:paraId="6F565B4D">
                  <w:pPr>
                    <w:adjustRightInd w:val="0"/>
                    <w:snapToGrid w:val="0"/>
                    <w:jc w:val="center"/>
                    <w:rPr>
                      <w:color w:val="000000" w:themeColor="text1"/>
                      <w:kern w:val="0"/>
                      <w:szCs w:val="21"/>
                      <w:lang w:val="zh-CN"/>
                      <w14:textFill>
                        <w14:solidFill>
                          <w14:schemeClr w14:val="tx1"/>
                        </w14:solidFill>
                      </w14:textFill>
                    </w:rPr>
                  </w:pPr>
                </w:p>
              </w:tc>
              <w:tc>
                <w:tcPr>
                  <w:tcW w:w="688" w:type="pct"/>
                  <w:vMerge w:val="continue"/>
                  <w:vAlign w:val="center"/>
                </w:tcPr>
                <w:p w14:paraId="5EF98C49">
                  <w:pPr>
                    <w:adjustRightInd w:val="0"/>
                    <w:snapToGrid w:val="0"/>
                    <w:jc w:val="center"/>
                    <w:rPr>
                      <w:color w:val="000000" w:themeColor="text1"/>
                      <w:kern w:val="0"/>
                      <w:szCs w:val="21"/>
                      <w:lang w:val="zh-CN"/>
                      <w14:textFill>
                        <w14:solidFill>
                          <w14:schemeClr w14:val="tx1"/>
                        </w14:solidFill>
                      </w14:textFill>
                    </w:rPr>
                  </w:pPr>
                </w:p>
              </w:tc>
              <w:tc>
                <w:tcPr>
                  <w:tcW w:w="2663" w:type="pct"/>
                  <w:vAlign w:val="center"/>
                </w:tcPr>
                <w:p w14:paraId="2687BB57">
                  <w:pPr>
                    <w:adjustRightInd w:val="0"/>
                    <w:snapToGrid w:val="0"/>
                    <w:jc w:val="center"/>
                    <w:rPr>
                      <w:kern w:val="0"/>
                      <w:szCs w:val="21"/>
                      <w:lang w:bidi="ar"/>
                    </w:rPr>
                  </w:pPr>
                  <w:r>
                    <w:rPr>
                      <w:rFonts w:hint="eastAsia"/>
                    </w:rPr>
                    <w:t>屠宰车间、生产废水处理站恶臭污染物监测</w:t>
                  </w:r>
                  <w:r>
                    <w:rPr>
                      <w:rFonts w:hint="eastAsia"/>
                      <w:kern w:val="0"/>
                      <w:szCs w:val="21"/>
                      <w:lang w:bidi="ar"/>
                    </w:rPr>
                    <w:t xml:space="preserve"> </w:t>
                  </w:r>
                </w:p>
              </w:tc>
              <w:tc>
                <w:tcPr>
                  <w:tcW w:w="688" w:type="pct"/>
                  <w:vAlign w:val="center"/>
                </w:tcPr>
                <w:p w14:paraId="402AC4E2">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c>
                <w:tcPr>
                  <w:tcW w:w="502" w:type="pct"/>
                  <w:vAlign w:val="center"/>
                </w:tcPr>
                <w:p w14:paraId="43CFE87E">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新增</w:t>
                  </w:r>
                </w:p>
              </w:tc>
            </w:tr>
            <w:tr w14:paraId="12B3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vMerge w:val="continue"/>
                  <w:vAlign w:val="center"/>
                </w:tcPr>
                <w:p w14:paraId="4FCD3B97">
                  <w:pPr>
                    <w:adjustRightInd w:val="0"/>
                    <w:snapToGrid w:val="0"/>
                    <w:jc w:val="center"/>
                    <w:rPr>
                      <w:color w:val="000000" w:themeColor="text1"/>
                      <w:kern w:val="0"/>
                      <w:szCs w:val="21"/>
                      <w:lang w:val="zh-CN"/>
                      <w14:textFill>
                        <w14:solidFill>
                          <w14:schemeClr w14:val="tx1"/>
                        </w14:solidFill>
                      </w14:textFill>
                    </w:rPr>
                  </w:pPr>
                </w:p>
              </w:tc>
              <w:tc>
                <w:tcPr>
                  <w:tcW w:w="688" w:type="pct"/>
                  <w:vMerge w:val="continue"/>
                  <w:vAlign w:val="center"/>
                </w:tcPr>
                <w:p w14:paraId="0F73FC5B">
                  <w:pPr>
                    <w:adjustRightInd w:val="0"/>
                    <w:snapToGrid w:val="0"/>
                    <w:jc w:val="center"/>
                    <w:rPr>
                      <w:color w:val="000000" w:themeColor="text1"/>
                      <w:kern w:val="0"/>
                      <w:szCs w:val="21"/>
                      <w:lang w:val="zh-CN"/>
                      <w14:textFill>
                        <w14:solidFill>
                          <w14:schemeClr w14:val="tx1"/>
                        </w14:solidFill>
                      </w14:textFill>
                    </w:rPr>
                  </w:pPr>
                </w:p>
              </w:tc>
              <w:tc>
                <w:tcPr>
                  <w:tcW w:w="2663" w:type="pct"/>
                  <w:vAlign w:val="center"/>
                </w:tcPr>
                <w:p w14:paraId="6FA4E322">
                  <w:pPr>
                    <w:adjustRightInd w:val="0"/>
                    <w:snapToGrid w:val="0"/>
                    <w:jc w:val="center"/>
                    <w:rPr>
                      <w:color w:val="000000" w:themeColor="text1"/>
                      <w:kern w:val="0"/>
                      <w:szCs w:val="21"/>
                      <w14:textFill>
                        <w14:solidFill>
                          <w14:schemeClr w14:val="tx1"/>
                        </w14:solidFill>
                      </w14:textFill>
                    </w:rPr>
                  </w:pPr>
                  <w:r>
                    <w:rPr>
                      <w:rFonts w:hint="eastAsia"/>
                    </w:rPr>
                    <w:t>屠宰车间、生产废水处理站恶臭污染物集中收集、处理（喷淋塔除臭、活性炭吸附等）、导排</w:t>
                  </w:r>
                </w:p>
              </w:tc>
              <w:tc>
                <w:tcPr>
                  <w:tcW w:w="688" w:type="pct"/>
                  <w:vAlign w:val="center"/>
                </w:tcPr>
                <w:p w14:paraId="23AA7269">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35.0</w:t>
                  </w:r>
                </w:p>
              </w:tc>
              <w:tc>
                <w:tcPr>
                  <w:tcW w:w="502" w:type="pct"/>
                  <w:vAlign w:val="center"/>
                </w:tcPr>
                <w:p w14:paraId="5CF3DEB7">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预留</w:t>
                  </w:r>
                </w:p>
              </w:tc>
            </w:tr>
            <w:tr w14:paraId="2CBF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vMerge w:val="continue"/>
                  <w:vAlign w:val="center"/>
                </w:tcPr>
                <w:p w14:paraId="4A313084">
                  <w:pPr>
                    <w:adjustRightInd w:val="0"/>
                    <w:snapToGrid w:val="0"/>
                    <w:jc w:val="center"/>
                    <w:rPr>
                      <w:color w:val="000000" w:themeColor="text1"/>
                      <w:kern w:val="0"/>
                      <w:szCs w:val="21"/>
                      <w:lang w:val="zh-CN"/>
                      <w14:textFill>
                        <w14:solidFill>
                          <w14:schemeClr w14:val="tx1"/>
                        </w14:solidFill>
                      </w14:textFill>
                    </w:rPr>
                  </w:pPr>
                </w:p>
              </w:tc>
              <w:tc>
                <w:tcPr>
                  <w:tcW w:w="688" w:type="pct"/>
                  <w:vAlign w:val="center"/>
                </w:tcPr>
                <w:p w14:paraId="5C1F0C8C">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噪声</w:t>
                  </w:r>
                </w:p>
              </w:tc>
              <w:tc>
                <w:tcPr>
                  <w:tcW w:w="2663" w:type="pct"/>
                  <w:vAlign w:val="center"/>
                </w:tcPr>
                <w:p w14:paraId="2E313379">
                  <w:pPr>
                    <w:adjustRightInd w:val="0"/>
                    <w:snapToGrid w:val="0"/>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屠宰车间机械、设备加装减振垫，采用基础减振措施</w:t>
                  </w:r>
                </w:p>
              </w:tc>
              <w:tc>
                <w:tcPr>
                  <w:tcW w:w="688" w:type="pct"/>
                  <w:vAlign w:val="center"/>
                </w:tcPr>
                <w:p w14:paraId="30906FEA">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c>
                <w:tcPr>
                  <w:tcW w:w="502" w:type="pct"/>
                  <w:vAlign w:val="center"/>
                </w:tcPr>
                <w:p w14:paraId="30223E5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新增</w:t>
                  </w:r>
                </w:p>
              </w:tc>
            </w:tr>
            <w:tr w14:paraId="2A8C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vMerge w:val="continue"/>
                  <w:vAlign w:val="center"/>
                </w:tcPr>
                <w:p w14:paraId="18C2F1AC">
                  <w:pPr>
                    <w:adjustRightInd w:val="0"/>
                    <w:snapToGrid w:val="0"/>
                    <w:jc w:val="center"/>
                    <w:rPr>
                      <w:color w:val="000000" w:themeColor="text1"/>
                      <w:kern w:val="0"/>
                      <w:szCs w:val="21"/>
                      <w:lang w:val="zh-CN"/>
                      <w14:textFill>
                        <w14:solidFill>
                          <w14:schemeClr w14:val="tx1"/>
                        </w14:solidFill>
                      </w14:textFill>
                    </w:rPr>
                  </w:pPr>
                </w:p>
              </w:tc>
              <w:tc>
                <w:tcPr>
                  <w:tcW w:w="688" w:type="pct"/>
                  <w:vAlign w:val="center"/>
                </w:tcPr>
                <w:p w14:paraId="09BE0A7C">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固体废物</w:t>
                  </w:r>
                </w:p>
              </w:tc>
              <w:tc>
                <w:tcPr>
                  <w:tcW w:w="2663" w:type="pct"/>
                  <w:vAlign w:val="center"/>
                </w:tcPr>
                <w:p w14:paraId="5AA4F6F6">
                  <w:pPr>
                    <w:adjustRightInd w:val="0"/>
                    <w:snapToGrid w:val="0"/>
                    <w:jc w:val="center"/>
                    <w:rPr>
                      <w:color w:val="000000" w:themeColor="text1"/>
                      <w:kern w:val="0"/>
                      <w:szCs w:val="21"/>
                      <w14:textFill>
                        <w14:solidFill>
                          <w14:schemeClr w14:val="tx1"/>
                        </w14:solidFill>
                      </w14:textFill>
                    </w:rPr>
                  </w:pPr>
                  <w:r>
                    <w:rPr>
                      <w:rFonts w:hint="eastAsia"/>
                      <w:kern w:val="0"/>
                      <w:szCs w:val="21"/>
                      <w:lang w:bidi="ar"/>
                    </w:rPr>
                    <w:t>危废贮存间地面与裙脚表面防渗措施</w:t>
                  </w:r>
                </w:p>
              </w:tc>
              <w:tc>
                <w:tcPr>
                  <w:tcW w:w="688" w:type="pct"/>
                  <w:vAlign w:val="center"/>
                </w:tcPr>
                <w:p w14:paraId="05A312E3">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c>
                <w:tcPr>
                  <w:tcW w:w="502" w:type="pct"/>
                  <w:vAlign w:val="center"/>
                </w:tcPr>
                <w:p w14:paraId="5C1847E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新增</w:t>
                  </w:r>
                </w:p>
              </w:tc>
            </w:tr>
            <w:tr w14:paraId="42FD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459" w:type="pct"/>
                  <w:vAlign w:val="center"/>
                </w:tcPr>
                <w:p w14:paraId="6D653A21">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独立费用</w:t>
                  </w:r>
                </w:p>
              </w:tc>
              <w:tc>
                <w:tcPr>
                  <w:tcW w:w="688" w:type="pct"/>
                  <w:vAlign w:val="center"/>
                </w:tcPr>
                <w:p w14:paraId="5F73EF5C">
                  <w:pPr>
                    <w:adjustRightInd w:val="0"/>
                    <w:snapToGrid w:val="0"/>
                    <w:jc w:val="center"/>
                    <w:rPr>
                      <w:color w:val="000000" w:themeColor="text1"/>
                      <w:kern w:val="0"/>
                      <w:szCs w:val="21"/>
                      <w:lang w:val="zh-CN"/>
                      <w14:textFill>
                        <w14:solidFill>
                          <w14:schemeClr w14:val="tx1"/>
                        </w14:solidFill>
                      </w14:textFill>
                    </w:rPr>
                  </w:pPr>
                  <w:r>
                    <w:rPr>
                      <w:rFonts w:hint="eastAsia"/>
                      <w:color w:val="000000" w:themeColor="text1"/>
                      <w:kern w:val="0"/>
                      <w:szCs w:val="21"/>
                      <w:lang w:val="zh-CN"/>
                      <w14:textFill>
                        <w14:solidFill>
                          <w14:schemeClr w14:val="tx1"/>
                        </w14:solidFill>
                      </w14:textFill>
                    </w:rPr>
                    <w:t>咨询服务</w:t>
                  </w:r>
                </w:p>
              </w:tc>
              <w:tc>
                <w:tcPr>
                  <w:tcW w:w="2663" w:type="pct"/>
                  <w:vAlign w:val="center"/>
                </w:tcPr>
                <w:p w14:paraId="7DB2817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环评编制费</w:t>
                  </w:r>
                </w:p>
              </w:tc>
              <w:tc>
                <w:tcPr>
                  <w:tcW w:w="688" w:type="pct"/>
                  <w:vAlign w:val="center"/>
                </w:tcPr>
                <w:p w14:paraId="441EE69D">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5.2</w:t>
                  </w:r>
                </w:p>
              </w:tc>
              <w:tc>
                <w:tcPr>
                  <w:tcW w:w="502" w:type="pct"/>
                  <w:vAlign w:val="center"/>
                </w:tcPr>
                <w:p w14:paraId="7081EA13">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新增</w:t>
                  </w:r>
                </w:p>
              </w:tc>
            </w:tr>
            <w:tr w14:paraId="1762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810" w:type="pct"/>
                  <w:gridSpan w:val="3"/>
                  <w:vAlign w:val="center"/>
                </w:tcPr>
                <w:p w14:paraId="15B16D7C">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合计</w:t>
                  </w:r>
                </w:p>
              </w:tc>
              <w:tc>
                <w:tcPr>
                  <w:tcW w:w="688" w:type="pct"/>
                  <w:vAlign w:val="center"/>
                </w:tcPr>
                <w:p w14:paraId="52C1E591">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66.4</w:t>
                  </w:r>
                </w:p>
              </w:tc>
              <w:tc>
                <w:tcPr>
                  <w:tcW w:w="502" w:type="pct"/>
                  <w:vAlign w:val="center"/>
                </w:tcPr>
                <w:p w14:paraId="7390DC5D">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新增</w:t>
                  </w:r>
                </w:p>
              </w:tc>
            </w:tr>
          </w:tbl>
          <w:p w14:paraId="03100933">
            <w:pPr>
              <w:pStyle w:val="36"/>
              <w:widowControl/>
              <w:spacing w:line="240" w:lineRule="auto"/>
              <w:ind w:firstLine="0" w:firstLineChars="0"/>
              <w:rPr>
                <w:color w:val="000000" w:themeColor="text1"/>
                <w:spacing w:val="0"/>
                <w:lang w:eastAsia="zh-CN"/>
                <w14:textFill>
                  <w14:solidFill>
                    <w14:schemeClr w14:val="tx1"/>
                  </w14:solidFill>
                </w14:textFill>
              </w:rPr>
            </w:pPr>
          </w:p>
          <w:p w14:paraId="6BC88085">
            <w:pPr>
              <w:pStyle w:val="36"/>
              <w:widowControl/>
              <w:spacing w:line="240" w:lineRule="auto"/>
              <w:ind w:firstLine="0" w:firstLineChars="0"/>
              <w:rPr>
                <w:color w:val="000000" w:themeColor="text1"/>
                <w:spacing w:val="0"/>
                <w:lang w:eastAsia="zh-CN"/>
                <w14:textFill>
                  <w14:solidFill>
                    <w14:schemeClr w14:val="tx1"/>
                  </w14:solidFill>
                </w14:textFill>
              </w:rPr>
            </w:pPr>
          </w:p>
          <w:p w14:paraId="7B80CDB9">
            <w:pPr>
              <w:pStyle w:val="36"/>
              <w:widowControl/>
              <w:spacing w:line="240" w:lineRule="auto"/>
              <w:ind w:firstLine="0" w:firstLineChars="0"/>
              <w:rPr>
                <w:color w:val="000000" w:themeColor="text1"/>
                <w:spacing w:val="0"/>
                <w:lang w:eastAsia="zh-CN"/>
                <w14:textFill>
                  <w14:solidFill>
                    <w14:schemeClr w14:val="tx1"/>
                  </w14:solidFill>
                </w14:textFill>
              </w:rPr>
            </w:pPr>
          </w:p>
          <w:p w14:paraId="087E44F6">
            <w:pPr>
              <w:pStyle w:val="36"/>
              <w:widowControl/>
              <w:spacing w:line="240" w:lineRule="auto"/>
              <w:ind w:firstLine="0" w:firstLineChars="0"/>
              <w:rPr>
                <w:color w:val="000000" w:themeColor="text1"/>
                <w:spacing w:val="0"/>
                <w:lang w:eastAsia="zh-CN"/>
                <w14:textFill>
                  <w14:solidFill>
                    <w14:schemeClr w14:val="tx1"/>
                  </w14:solidFill>
                </w14:textFill>
              </w:rPr>
            </w:pPr>
          </w:p>
          <w:p w14:paraId="745F213C">
            <w:pPr>
              <w:pStyle w:val="36"/>
              <w:widowControl/>
              <w:spacing w:line="240" w:lineRule="auto"/>
              <w:ind w:firstLine="0" w:firstLineChars="0"/>
              <w:rPr>
                <w:color w:val="000000" w:themeColor="text1"/>
                <w:spacing w:val="0"/>
                <w:lang w:eastAsia="zh-CN"/>
                <w14:textFill>
                  <w14:solidFill>
                    <w14:schemeClr w14:val="tx1"/>
                  </w14:solidFill>
                </w14:textFill>
              </w:rPr>
            </w:pPr>
          </w:p>
          <w:p w14:paraId="6FB7B624">
            <w:pPr>
              <w:pStyle w:val="36"/>
              <w:widowControl/>
              <w:spacing w:line="240" w:lineRule="auto"/>
              <w:ind w:firstLine="0" w:firstLineChars="0"/>
              <w:rPr>
                <w:color w:val="000000" w:themeColor="text1"/>
                <w:spacing w:val="0"/>
                <w:lang w:eastAsia="zh-CN"/>
                <w14:textFill>
                  <w14:solidFill>
                    <w14:schemeClr w14:val="tx1"/>
                  </w14:solidFill>
                </w14:textFill>
              </w:rPr>
            </w:pPr>
          </w:p>
          <w:p w14:paraId="4AB448A8">
            <w:pPr>
              <w:pStyle w:val="36"/>
              <w:widowControl/>
              <w:spacing w:line="240" w:lineRule="auto"/>
              <w:ind w:firstLine="0" w:firstLineChars="0"/>
              <w:rPr>
                <w:color w:val="000000" w:themeColor="text1"/>
                <w:spacing w:val="0"/>
                <w:lang w:eastAsia="zh-CN"/>
                <w14:textFill>
                  <w14:solidFill>
                    <w14:schemeClr w14:val="tx1"/>
                  </w14:solidFill>
                </w14:textFill>
              </w:rPr>
            </w:pPr>
          </w:p>
          <w:p w14:paraId="161B2CBD">
            <w:pPr>
              <w:pStyle w:val="36"/>
              <w:widowControl/>
              <w:spacing w:line="240" w:lineRule="auto"/>
              <w:ind w:firstLine="0" w:firstLineChars="0"/>
              <w:rPr>
                <w:color w:val="000000" w:themeColor="text1"/>
                <w:spacing w:val="0"/>
                <w:lang w:eastAsia="zh-CN"/>
                <w14:textFill>
                  <w14:solidFill>
                    <w14:schemeClr w14:val="tx1"/>
                  </w14:solidFill>
                </w14:textFill>
              </w:rPr>
            </w:pPr>
          </w:p>
          <w:p w14:paraId="4EF3D2C9">
            <w:pPr>
              <w:pStyle w:val="36"/>
              <w:widowControl/>
              <w:spacing w:line="240" w:lineRule="auto"/>
              <w:ind w:firstLine="0" w:firstLineChars="0"/>
              <w:rPr>
                <w:color w:val="000000" w:themeColor="text1"/>
                <w:spacing w:val="0"/>
                <w:lang w:eastAsia="zh-CN"/>
                <w14:textFill>
                  <w14:solidFill>
                    <w14:schemeClr w14:val="tx1"/>
                  </w14:solidFill>
                </w14:textFill>
              </w:rPr>
            </w:pPr>
          </w:p>
          <w:p w14:paraId="06E1A169">
            <w:pPr>
              <w:pStyle w:val="36"/>
              <w:widowControl/>
              <w:spacing w:line="240" w:lineRule="auto"/>
              <w:ind w:firstLine="0" w:firstLineChars="0"/>
              <w:rPr>
                <w:color w:val="000000" w:themeColor="text1"/>
                <w:spacing w:val="0"/>
                <w:lang w:eastAsia="zh-CN"/>
                <w14:textFill>
                  <w14:solidFill>
                    <w14:schemeClr w14:val="tx1"/>
                  </w14:solidFill>
                </w14:textFill>
              </w:rPr>
            </w:pPr>
          </w:p>
          <w:p w14:paraId="443A00FD">
            <w:pPr>
              <w:pStyle w:val="36"/>
              <w:widowControl/>
              <w:spacing w:line="240" w:lineRule="auto"/>
              <w:ind w:firstLine="0" w:firstLineChars="0"/>
              <w:rPr>
                <w:color w:val="000000" w:themeColor="text1"/>
                <w:spacing w:val="0"/>
                <w:lang w:eastAsia="zh-CN"/>
                <w14:textFill>
                  <w14:solidFill>
                    <w14:schemeClr w14:val="tx1"/>
                  </w14:solidFill>
                </w14:textFill>
              </w:rPr>
            </w:pPr>
          </w:p>
          <w:p w14:paraId="6A3BA13A">
            <w:pPr>
              <w:pStyle w:val="36"/>
              <w:widowControl/>
              <w:spacing w:line="240" w:lineRule="auto"/>
              <w:ind w:firstLine="0" w:firstLineChars="0"/>
              <w:rPr>
                <w:color w:val="000000" w:themeColor="text1"/>
                <w:spacing w:val="0"/>
                <w:lang w:eastAsia="zh-CN"/>
                <w14:textFill>
                  <w14:solidFill>
                    <w14:schemeClr w14:val="tx1"/>
                  </w14:solidFill>
                </w14:textFill>
              </w:rPr>
            </w:pPr>
          </w:p>
          <w:p w14:paraId="381B116B">
            <w:pPr>
              <w:pStyle w:val="36"/>
              <w:widowControl/>
              <w:spacing w:line="240" w:lineRule="auto"/>
              <w:ind w:firstLine="0" w:firstLineChars="0"/>
              <w:rPr>
                <w:color w:val="000000" w:themeColor="text1"/>
                <w:spacing w:val="0"/>
                <w:lang w:eastAsia="zh-CN"/>
                <w14:textFill>
                  <w14:solidFill>
                    <w14:schemeClr w14:val="tx1"/>
                  </w14:solidFill>
                </w14:textFill>
              </w:rPr>
            </w:pPr>
          </w:p>
          <w:p w14:paraId="76D44137">
            <w:pPr>
              <w:pStyle w:val="36"/>
              <w:widowControl/>
              <w:spacing w:line="240" w:lineRule="auto"/>
              <w:ind w:firstLine="0" w:firstLineChars="0"/>
              <w:rPr>
                <w:color w:val="000000" w:themeColor="text1"/>
                <w:spacing w:val="0"/>
                <w:lang w:eastAsia="zh-CN"/>
                <w14:textFill>
                  <w14:solidFill>
                    <w14:schemeClr w14:val="tx1"/>
                  </w14:solidFill>
                </w14:textFill>
              </w:rPr>
            </w:pPr>
          </w:p>
          <w:p w14:paraId="18DCF4C7">
            <w:pPr>
              <w:pStyle w:val="36"/>
              <w:widowControl/>
              <w:spacing w:line="240" w:lineRule="auto"/>
              <w:ind w:firstLine="0" w:firstLineChars="0"/>
              <w:rPr>
                <w:color w:val="000000" w:themeColor="text1"/>
                <w:spacing w:val="0"/>
                <w:lang w:eastAsia="zh-CN"/>
                <w14:textFill>
                  <w14:solidFill>
                    <w14:schemeClr w14:val="tx1"/>
                  </w14:solidFill>
                </w14:textFill>
              </w:rPr>
            </w:pPr>
          </w:p>
          <w:p w14:paraId="7AF19C9F">
            <w:pPr>
              <w:pStyle w:val="36"/>
              <w:widowControl/>
              <w:spacing w:line="240" w:lineRule="auto"/>
              <w:ind w:firstLine="0" w:firstLineChars="0"/>
              <w:rPr>
                <w:color w:val="000000" w:themeColor="text1"/>
                <w:spacing w:val="0"/>
                <w:lang w:eastAsia="zh-CN"/>
                <w14:textFill>
                  <w14:solidFill>
                    <w14:schemeClr w14:val="tx1"/>
                  </w14:solidFill>
                </w14:textFill>
              </w:rPr>
            </w:pPr>
          </w:p>
          <w:p w14:paraId="3C8FE3C9">
            <w:pPr>
              <w:pStyle w:val="36"/>
              <w:widowControl/>
              <w:spacing w:line="240" w:lineRule="auto"/>
              <w:ind w:firstLine="0" w:firstLineChars="0"/>
              <w:rPr>
                <w:color w:val="000000" w:themeColor="text1"/>
                <w:spacing w:val="0"/>
                <w:lang w:eastAsia="zh-CN"/>
                <w14:textFill>
                  <w14:solidFill>
                    <w14:schemeClr w14:val="tx1"/>
                  </w14:solidFill>
                </w14:textFill>
              </w:rPr>
            </w:pPr>
          </w:p>
          <w:p w14:paraId="7F103DC1">
            <w:pPr>
              <w:pStyle w:val="36"/>
              <w:widowControl/>
              <w:spacing w:line="240" w:lineRule="auto"/>
              <w:ind w:firstLine="0" w:firstLineChars="0"/>
              <w:rPr>
                <w:color w:val="000000" w:themeColor="text1"/>
                <w:spacing w:val="0"/>
                <w:lang w:eastAsia="zh-CN"/>
                <w14:textFill>
                  <w14:solidFill>
                    <w14:schemeClr w14:val="tx1"/>
                  </w14:solidFill>
                </w14:textFill>
              </w:rPr>
            </w:pPr>
          </w:p>
          <w:p w14:paraId="75E55904">
            <w:pPr>
              <w:pStyle w:val="36"/>
              <w:widowControl/>
              <w:spacing w:line="240" w:lineRule="auto"/>
              <w:ind w:firstLine="0" w:firstLineChars="0"/>
              <w:rPr>
                <w:color w:val="000000" w:themeColor="text1"/>
                <w:spacing w:val="0"/>
                <w:lang w:eastAsia="zh-CN"/>
                <w14:textFill>
                  <w14:solidFill>
                    <w14:schemeClr w14:val="tx1"/>
                  </w14:solidFill>
                </w14:textFill>
              </w:rPr>
            </w:pPr>
          </w:p>
          <w:p w14:paraId="3BE5739D">
            <w:pPr>
              <w:pStyle w:val="36"/>
              <w:widowControl/>
              <w:spacing w:line="240" w:lineRule="auto"/>
              <w:ind w:firstLine="0" w:firstLineChars="0"/>
              <w:rPr>
                <w:color w:val="000000" w:themeColor="text1"/>
                <w:spacing w:val="0"/>
                <w:lang w:eastAsia="zh-CN"/>
                <w14:textFill>
                  <w14:solidFill>
                    <w14:schemeClr w14:val="tx1"/>
                  </w14:solidFill>
                </w14:textFill>
              </w:rPr>
            </w:pPr>
          </w:p>
          <w:p w14:paraId="15C5244B">
            <w:pPr>
              <w:pStyle w:val="36"/>
              <w:widowControl/>
              <w:spacing w:line="240" w:lineRule="auto"/>
              <w:ind w:firstLine="0" w:firstLineChars="0"/>
              <w:rPr>
                <w:color w:val="000000" w:themeColor="text1"/>
                <w:spacing w:val="0"/>
                <w:lang w:eastAsia="zh-CN"/>
                <w14:textFill>
                  <w14:solidFill>
                    <w14:schemeClr w14:val="tx1"/>
                  </w14:solidFill>
                </w14:textFill>
              </w:rPr>
            </w:pPr>
          </w:p>
          <w:p w14:paraId="0289DFD8">
            <w:pPr>
              <w:pStyle w:val="36"/>
              <w:widowControl/>
              <w:spacing w:line="240" w:lineRule="auto"/>
              <w:ind w:firstLine="0" w:firstLineChars="0"/>
              <w:rPr>
                <w:color w:val="000000" w:themeColor="text1"/>
                <w:spacing w:val="0"/>
                <w:lang w:eastAsia="zh-CN"/>
                <w14:textFill>
                  <w14:solidFill>
                    <w14:schemeClr w14:val="tx1"/>
                  </w14:solidFill>
                </w14:textFill>
              </w:rPr>
            </w:pPr>
          </w:p>
          <w:p w14:paraId="552A0BE1">
            <w:pPr>
              <w:pStyle w:val="36"/>
              <w:widowControl/>
              <w:spacing w:line="240" w:lineRule="auto"/>
              <w:ind w:firstLine="0" w:firstLineChars="0"/>
              <w:rPr>
                <w:color w:val="000000" w:themeColor="text1"/>
                <w:spacing w:val="0"/>
                <w:lang w:eastAsia="zh-CN"/>
                <w14:textFill>
                  <w14:solidFill>
                    <w14:schemeClr w14:val="tx1"/>
                  </w14:solidFill>
                </w14:textFill>
              </w:rPr>
            </w:pPr>
          </w:p>
          <w:p w14:paraId="02E041FE">
            <w:pPr>
              <w:pStyle w:val="36"/>
              <w:widowControl/>
              <w:spacing w:line="240" w:lineRule="auto"/>
              <w:ind w:firstLine="0" w:firstLineChars="0"/>
              <w:rPr>
                <w:color w:val="000000" w:themeColor="text1"/>
                <w:spacing w:val="0"/>
                <w:lang w:eastAsia="zh-CN"/>
                <w14:textFill>
                  <w14:solidFill>
                    <w14:schemeClr w14:val="tx1"/>
                  </w14:solidFill>
                </w14:textFill>
              </w:rPr>
            </w:pPr>
          </w:p>
          <w:p w14:paraId="558E4394">
            <w:pPr>
              <w:pStyle w:val="36"/>
              <w:widowControl/>
              <w:spacing w:line="240" w:lineRule="auto"/>
              <w:ind w:firstLine="0" w:firstLineChars="0"/>
              <w:rPr>
                <w:color w:val="000000" w:themeColor="text1"/>
                <w:spacing w:val="0"/>
                <w:lang w:eastAsia="zh-CN"/>
                <w14:textFill>
                  <w14:solidFill>
                    <w14:schemeClr w14:val="tx1"/>
                  </w14:solidFill>
                </w14:textFill>
              </w:rPr>
            </w:pPr>
          </w:p>
          <w:p w14:paraId="5F050475">
            <w:pPr>
              <w:pStyle w:val="36"/>
              <w:widowControl/>
              <w:spacing w:line="240" w:lineRule="auto"/>
              <w:ind w:firstLine="0" w:firstLineChars="0"/>
              <w:rPr>
                <w:color w:val="000000" w:themeColor="text1"/>
                <w:spacing w:val="0"/>
                <w:lang w:eastAsia="zh-CN"/>
                <w14:textFill>
                  <w14:solidFill>
                    <w14:schemeClr w14:val="tx1"/>
                  </w14:solidFill>
                </w14:textFill>
              </w:rPr>
            </w:pPr>
          </w:p>
          <w:p w14:paraId="43967400">
            <w:pPr>
              <w:pStyle w:val="36"/>
              <w:widowControl/>
              <w:spacing w:line="240" w:lineRule="auto"/>
              <w:ind w:firstLine="0" w:firstLineChars="0"/>
              <w:rPr>
                <w:color w:val="000000" w:themeColor="text1"/>
                <w:spacing w:val="0"/>
                <w:lang w:eastAsia="zh-CN"/>
                <w14:textFill>
                  <w14:solidFill>
                    <w14:schemeClr w14:val="tx1"/>
                  </w14:solidFill>
                </w14:textFill>
              </w:rPr>
            </w:pPr>
          </w:p>
          <w:p w14:paraId="09AA5D92">
            <w:pPr>
              <w:pStyle w:val="36"/>
              <w:widowControl/>
              <w:spacing w:line="240" w:lineRule="auto"/>
              <w:ind w:firstLine="0" w:firstLineChars="0"/>
              <w:rPr>
                <w:color w:val="000000" w:themeColor="text1"/>
                <w:spacing w:val="0"/>
                <w:lang w:eastAsia="zh-CN"/>
                <w14:textFill>
                  <w14:solidFill>
                    <w14:schemeClr w14:val="tx1"/>
                  </w14:solidFill>
                </w14:textFill>
              </w:rPr>
            </w:pPr>
          </w:p>
          <w:p w14:paraId="5B3C49CB">
            <w:pPr>
              <w:pStyle w:val="36"/>
              <w:widowControl/>
              <w:spacing w:line="240" w:lineRule="auto"/>
              <w:ind w:firstLine="0" w:firstLineChars="0"/>
              <w:rPr>
                <w:color w:val="000000" w:themeColor="text1"/>
                <w:spacing w:val="0"/>
                <w:lang w:eastAsia="zh-CN"/>
                <w14:textFill>
                  <w14:solidFill>
                    <w14:schemeClr w14:val="tx1"/>
                  </w14:solidFill>
                </w14:textFill>
              </w:rPr>
            </w:pPr>
          </w:p>
          <w:p w14:paraId="036A561D">
            <w:pPr>
              <w:pStyle w:val="36"/>
              <w:widowControl/>
              <w:spacing w:line="240" w:lineRule="auto"/>
              <w:ind w:firstLine="0" w:firstLineChars="0"/>
              <w:rPr>
                <w:color w:val="000000" w:themeColor="text1"/>
                <w:spacing w:val="0"/>
                <w:lang w:eastAsia="zh-CN"/>
                <w14:textFill>
                  <w14:solidFill>
                    <w14:schemeClr w14:val="tx1"/>
                  </w14:solidFill>
                </w14:textFill>
              </w:rPr>
            </w:pPr>
          </w:p>
          <w:p w14:paraId="520DA63E">
            <w:pPr>
              <w:pStyle w:val="36"/>
              <w:widowControl/>
              <w:spacing w:line="240" w:lineRule="auto"/>
              <w:ind w:firstLine="0" w:firstLineChars="0"/>
              <w:rPr>
                <w:color w:val="000000" w:themeColor="text1"/>
                <w:spacing w:val="0"/>
                <w:lang w:eastAsia="zh-CN"/>
                <w14:textFill>
                  <w14:solidFill>
                    <w14:schemeClr w14:val="tx1"/>
                  </w14:solidFill>
                </w14:textFill>
              </w:rPr>
            </w:pPr>
          </w:p>
          <w:p w14:paraId="18F94679">
            <w:pPr>
              <w:pStyle w:val="36"/>
              <w:widowControl/>
              <w:spacing w:line="240" w:lineRule="auto"/>
              <w:ind w:firstLine="0" w:firstLineChars="0"/>
              <w:rPr>
                <w:color w:val="000000" w:themeColor="text1"/>
                <w:spacing w:val="0"/>
                <w:lang w:eastAsia="zh-CN"/>
                <w14:textFill>
                  <w14:solidFill>
                    <w14:schemeClr w14:val="tx1"/>
                  </w14:solidFill>
                </w14:textFill>
              </w:rPr>
            </w:pPr>
          </w:p>
          <w:p w14:paraId="68DBB968">
            <w:pPr>
              <w:pStyle w:val="36"/>
              <w:widowControl/>
              <w:spacing w:line="240" w:lineRule="auto"/>
              <w:ind w:firstLine="0" w:firstLineChars="0"/>
              <w:rPr>
                <w:color w:val="000000" w:themeColor="text1"/>
                <w:spacing w:val="0"/>
                <w:lang w:eastAsia="zh-CN"/>
                <w14:textFill>
                  <w14:solidFill>
                    <w14:schemeClr w14:val="tx1"/>
                  </w14:solidFill>
                </w14:textFill>
              </w:rPr>
            </w:pPr>
          </w:p>
          <w:p w14:paraId="4239E058">
            <w:pPr>
              <w:pStyle w:val="36"/>
              <w:widowControl/>
              <w:spacing w:line="240" w:lineRule="auto"/>
              <w:ind w:firstLine="0" w:firstLineChars="0"/>
              <w:rPr>
                <w:color w:val="000000" w:themeColor="text1"/>
                <w:spacing w:val="0"/>
                <w:lang w:eastAsia="zh-CN"/>
                <w14:textFill>
                  <w14:solidFill>
                    <w14:schemeClr w14:val="tx1"/>
                  </w14:solidFill>
                </w14:textFill>
              </w:rPr>
            </w:pPr>
          </w:p>
          <w:p w14:paraId="2BA2720B">
            <w:pPr>
              <w:pStyle w:val="36"/>
              <w:widowControl/>
              <w:spacing w:line="240" w:lineRule="auto"/>
              <w:ind w:firstLine="0" w:firstLineChars="0"/>
              <w:rPr>
                <w:color w:val="000000" w:themeColor="text1"/>
                <w:spacing w:val="0"/>
                <w:lang w:eastAsia="zh-CN"/>
                <w14:textFill>
                  <w14:solidFill>
                    <w14:schemeClr w14:val="tx1"/>
                  </w14:solidFill>
                </w14:textFill>
              </w:rPr>
            </w:pPr>
          </w:p>
          <w:p w14:paraId="53FDD40D">
            <w:pPr>
              <w:pStyle w:val="36"/>
              <w:widowControl/>
              <w:spacing w:line="240" w:lineRule="auto"/>
              <w:ind w:firstLine="0" w:firstLineChars="0"/>
              <w:rPr>
                <w:color w:val="000000" w:themeColor="text1"/>
                <w:spacing w:val="0"/>
                <w:lang w:eastAsia="zh-CN"/>
                <w14:textFill>
                  <w14:solidFill>
                    <w14:schemeClr w14:val="tx1"/>
                  </w14:solidFill>
                </w14:textFill>
              </w:rPr>
            </w:pPr>
          </w:p>
          <w:p w14:paraId="295FCA88">
            <w:pPr>
              <w:pStyle w:val="36"/>
              <w:widowControl/>
              <w:spacing w:line="240" w:lineRule="auto"/>
              <w:ind w:firstLine="0" w:firstLineChars="0"/>
              <w:rPr>
                <w:color w:val="000000" w:themeColor="text1"/>
                <w:spacing w:val="0"/>
                <w:lang w:eastAsia="zh-CN"/>
                <w14:textFill>
                  <w14:solidFill>
                    <w14:schemeClr w14:val="tx1"/>
                  </w14:solidFill>
                </w14:textFill>
              </w:rPr>
            </w:pPr>
          </w:p>
          <w:p w14:paraId="4EA7128B">
            <w:pPr>
              <w:pStyle w:val="36"/>
              <w:widowControl/>
              <w:spacing w:line="240" w:lineRule="auto"/>
              <w:ind w:firstLine="0" w:firstLineChars="0"/>
              <w:rPr>
                <w:color w:val="000000" w:themeColor="text1"/>
                <w:spacing w:val="0"/>
                <w:lang w:eastAsia="zh-CN"/>
                <w14:textFill>
                  <w14:solidFill>
                    <w14:schemeClr w14:val="tx1"/>
                  </w14:solidFill>
                </w14:textFill>
              </w:rPr>
            </w:pPr>
          </w:p>
          <w:p w14:paraId="7C6A9AE1">
            <w:pPr>
              <w:pStyle w:val="36"/>
              <w:widowControl/>
              <w:spacing w:line="240" w:lineRule="auto"/>
              <w:ind w:firstLine="0" w:firstLineChars="0"/>
              <w:rPr>
                <w:color w:val="000000" w:themeColor="text1"/>
                <w:spacing w:val="0"/>
                <w:lang w:eastAsia="zh-CN"/>
                <w14:textFill>
                  <w14:solidFill>
                    <w14:schemeClr w14:val="tx1"/>
                  </w14:solidFill>
                </w14:textFill>
              </w:rPr>
            </w:pPr>
          </w:p>
          <w:p w14:paraId="31626F33">
            <w:pPr>
              <w:pStyle w:val="36"/>
              <w:widowControl/>
              <w:spacing w:line="240" w:lineRule="auto"/>
              <w:ind w:firstLine="0" w:firstLineChars="0"/>
              <w:rPr>
                <w:color w:val="000000" w:themeColor="text1"/>
                <w:spacing w:val="0"/>
                <w:lang w:eastAsia="zh-CN"/>
                <w14:textFill>
                  <w14:solidFill>
                    <w14:schemeClr w14:val="tx1"/>
                  </w14:solidFill>
                </w14:textFill>
              </w:rPr>
            </w:pPr>
          </w:p>
          <w:p w14:paraId="3CB11506">
            <w:pPr>
              <w:pStyle w:val="36"/>
              <w:widowControl/>
              <w:spacing w:line="240" w:lineRule="auto"/>
              <w:ind w:firstLine="0" w:firstLineChars="0"/>
              <w:rPr>
                <w:color w:val="000000" w:themeColor="text1"/>
                <w:spacing w:val="0"/>
                <w:lang w:eastAsia="zh-CN"/>
                <w14:textFill>
                  <w14:solidFill>
                    <w14:schemeClr w14:val="tx1"/>
                  </w14:solidFill>
                </w14:textFill>
              </w:rPr>
            </w:pPr>
          </w:p>
          <w:p w14:paraId="70F64E52">
            <w:pPr>
              <w:pStyle w:val="36"/>
              <w:widowControl/>
              <w:spacing w:line="240" w:lineRule="auto"/>
              <w:ind w:firstLine="0" w:firstLineChars="0"/>
              <w:rPr>
                <w:color w:val="000000" w:themeColor="text1"/>
                <w:spacing w:val="0"/>
                <w:lang w:eastAsia="zh-CN"/>
                <w14:textFill>
                  <w14:solidFill>
                    <w14:schemeClr w14:val="tx1"/>
                  </w14:solidFill>
                </w14:textFill>
              </w:rPr>
            </w:pPr>
          </w:p>
        </w:tc>
      </w:tr>
    </w:tbl>
    <w:p w14:paraId="6DCA5542">
      <w:pPr>
        <w:pStyle w:val="18"/>
        <w:jc w:val="center"/>
        <w:rPr>
          <w:rFonts w:ascii="Times New Roman" w:hAnsi="Times New Roman"/>
          <w:snapToGrid w:val="0"/>
          <w:color w:val="000000" w:themeColor="text1"/>
          <w:sz w:val="30"/>
          <w:szCs w:val="30"/>
          <w14:textFill>
            <w14:solidFill>
              <w14:schemeClr w14:val="tx1"/>
            </w14:solidFill>
          </w14:textFill>
        </w:rPr>
        <w:sectPr>
          <w:headerReference r:id="rId14" w:type="default"/>
          <w:footerReference r:id="rId15" w:type="default"/>
          <w:pgSz w:w="11906" w:h="16838"/>
          <w:pgMar w:top="1701" w:right="1531" w:bottom="1701" w:left="1531" w:header="1474" w:footer="1474" w:gutter="0"/>
          <w:cols w:space="720" w:num="1"/>
          <w:docGrid w:linePitch="312" w:charSpace="0"/>
        </w:sectPr>
      </w:pPr>
    </w:p>
    <w:p w14:paraId="0635BCB7">
      <w:pPr>
        <w:pStyle w:val="18"/>
        <w:spacing w:before="0" w:beforeAutospacing="0" w:after="0" w:afterAutospacing="0"/>
        <w:jc w:val="center"/>
        <w:outlineLvl w:val="0"/>
        <w:rPr>
          <w:rFonts w:ascii="Times New Roman" w:hAnsi="Times New Roman"/>
          <w:snapToGrid w:val="0"/>
          <w:color w:val="000000" w:themeColor="text1"/>
          <w:sz w:val="36"/>
          <w:szCs w:val="36"/>
          <w:highlight w:val="yellow"/>
          <w14:textFill>
            <w14:solidFill>
              <w14:schemeClr w14:val="tx1"/>
            </w14:solidFill>
          </w14:textFill>
        </w:rPr>
      </w:pPr>
      <w:bookmarkStart w:id="19" w:name="_Toc9910"/>
      <w:bookmarkStart w:id="20" w:name="_Toc218862109"/>
      <w:r>
        <w:rPr>
          <w:rFonts w:hint="eastAsia" w:ascii="Times New Roman" w:hAnsi="Times New Roman"/>
          <w:snapToGrid w:val="0"/>
          <w:color w:val="000000" w:themeColor="text1"/>
          <w:sz w:val="36"/>
          <w:szCs w:val="36"/>
          <w14:textFill>
            <w14:solidFill>
              <w14:schemeClr w14:val="tx1"/>
            </w14:solidFill>
          </w14:textFill>
        </w:rPr>
        <w:t>五、</w:t>
      </w:r>
      <w:bookmarkStart w:id="21" w:name="_Hlk54167917"/>
      <w:r>
        <w:rPr>
          <w:rFonts w:hint="eastAsia" w:ascii="Times New Roman" w:hAnsi="Times New Roman"/>
          <w:snapToGrid w:val="0"/>
          <w:color w:val="000000" w:themeColor="text1"/>
          <w:sz w:val="36"/>
          <w:szCs w:val="36"/>
          <w14:textFill>
            <w14:solidFill>
              <w14:schemeClr w14:val="tx1"/>
            </w14:solidFill>
          </w14:textFill>
        </w:rPr>
        <w:t>环境保护措施监督检查清单</w:t>
      </w:r>
      <w:bookmarkEnd w:id="19"/>
      <w:bookmarkEnd w:id="20"/>
      <w:bookmarkEnd w:id="21"/>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504"/>
        <w:gridCol w:w="1280"/>
        <w:gridCol w:w="3228"/>
        <w:gridCol w:w="1608"/>
      </w:tblGrid>
      <w:tr w14:paraId="3D739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tcBorders>
              <w:tl2br w:val="single" w:color="auto" w:sz="4" w:space="0"/>
            </w:tcBorders>
            <w:vAlign w:val="center"/>
          </w:tcPr>
          <w:p w14:paraId="56957625">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   内容</w:t>
            </w:r>
          </w:p>
          <w:p w14:paraId="3EE25616">
            <w:pPr>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要素</w:t>
            </w:r>
          </w:p>
        </w:tc>
        <w:tc>
          <w:tcPr>
            <w:tcW w:w="1504" w:type="dxa"/>
            <w:vAlign w:val="center"/>
          </w:tcPr>
          <w:p w14:paraId="0C0D725F">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排放口（编号、名称）/污染源</w:t>
            </w:r>
          </w:p>
        </w:tc>
        <w:tc>
          <w:tcPr>
            <w:tcW w:w="1280" w:type="dxa"/>
            <w:vAlign w:val="center"/>
          </w:tcPr>
          <w:p w14:paraId="7AE95AF5">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污染物项目</w:t>
            </w:r>
          </w:p>
        </w:tc>
        <w:tc>
          <w:tcPr>
            <w:tcW w:w="3228" w:type="dxa"/>
            <w:vAlign w:val="center"/>
          </w:tcPr>
          <w:p w14:paraId="65536EE6">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环境保护措施</w:t>
            </w:r>
          </w:p>
        </w:tc>
        <w:tc>
          <w:tcPr>
            <w:tcW w:w="1608" w:type="dxa"/>
            <w:vAlign w:val="center"/>
          </w:tcPr>
          <w:p w14:paraId="4CD25E2C">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r>
      <w:tr w14:paraId="0D558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vMerge w:val="restart"/>
            <w:vAlign w:val="center"/>
          </w:tcPr>
          <w:p w14:paraId="169CEAF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1504" w:type="dxa"/>
            <w:vAlign w:val="center"/>
          </w:tcPr>
          <w:p w14:paraId="1CEDC637">
            <w:pPr>
              <w:adjustRightInd w:val="0"/>
              <w:snapToGrid w:val="0"/>
              <w:jc w:val="center"/>
              <w:rPr>
                <w:color w:val="000000" w:themeColor="text1"/>
                <w:szCs w:val="21"/>
                <w14:textFill>
                  <w14:solidFill>
                    <w14:schemeClr w14:val="tx1"/>
                  </w14:solidFill>
                </w14:textFill>
              </w:rPr>
            </w:pPr>
            <w:r>
              <w:rPr>
                <w:szCs w:val="21"/>
              </w:rPr>
              <w:t>无组织排放（待宰圈、屠宰车间）</w:t>
            </w:r>
          </w:p>
        </w:tc>
        <w:tc>
          <w:tcPr>
            <w:tcW w:w="1280" w:type="dxa"/>
            <w:vAlign w:val="center"/>
          </w:tcPr>
          <w:p w14:paraId="68D9FB5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S、臭气浓度</w:t>
            </w:r>
          </w:p>
        </w:tc>
        <w:tc>
          <w:tcPr>
            <w:tcW w:w="3228" w:type="dxa"/>
            <w:vAlign w:val="center"/>
          </w:tcPr>
          <w:p w14:paraId="0D8BAD12">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及时清理粪便，定时冲洗地面，加强机械通风，喷洒生物除臭剂，恶臭污染物监测，预留恶臭污染物集中收集、处理、导排设施</w:t>
            </w:r>
            <w:r>
              <w:rPr>
                <w:rFonts w:hint="eastAsia"/>
                <w:color w:val="000000" w:themeColor="text1"/>
                <w:kern w:val="0"/>
                <w:szCs w:val="21"/>
                <w:lang w:bidi="ar"/>
                <w14:textFill>
                  <w14:solidFill>
                    <w14:schemeClr w14:val="tx1"/>
                  </w14:solidFill>
                </w14:textFill>
              </w:rPr>
              <w:t>费</w:t>
            </w:r>
          </w:p>
        </w:tc>
        <w:tc>
          <w:tcPr>
            <w:tcW w:w="1608" w:type="dxa"/>
            <w:vMerge w:val="restart"/>
            <w:vAlign w:val="center"/>
          </w:tcPr>
          <w:p w14:paraId="427B4010">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《恶臭污染物排放标准》（GB14554-93）表1</w:t>
            </w:r>
            <w:r>
              <w:rPr>
                <w:rFonts w:hint="eastAsia"/>
                <w:color w:val="000000" w:themeColor="text1"/>
                <w:szCs w:val="21"/>
                <w14:textFill>
                  <w14:solidFill>
                    <w14:schemeClr w14:val="tx1"/>
                  </w14:solidFill>
                </w14:textFill>
              </w:rPr>
              <w:t>、表2</w:t>
            </w:r>
            <w:r>
              <w:rPr>
                <w:color w:val="000000" w:themeColor="text1"/>
                <w:szCs w:val="21"/>
                <w14:textFill>
                  <w14:solidFill>
                    <w14:schemeClr w14:val="tx1"/>
                  </w14:solidFill>
                </w14:textFill>
              </w:rPr>
              <w:t>标准</w:t>
            </w:r>
          </w:p>
        </w:tc>
      </w:tr>
      <w:tr w14:paraId="07095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vMerge w:val="continue"/>
            <w:vAlign w:val="center"/>
          </w:tcPr>
          <w:p w14:paraId="7E005F84">
            <w:pPr>
              <w:adjustRightInd w:val="0"/>
              <w:snapToGrid w:val="0"/>
              <w:jc w:val="center"/>
              <w:rPr>
                <w:color w:val="000000" w:themeColor="text1"/>
                <w:szCs w:val="21"/>
                <w14:textFill>
                  <w14:solidFill>
                    <w14:schemeClr w14:val="tx1"/>
                  </w14:solidFill>
                </w14:textFill>
              </w:rPr>
            </w:pPr>
          </w:p>
        </w:tc>
        <w:tc>
          <w:tcPr>
            <w:tcW w:w="1504" w:type="dxa"/>
            <w:vAlign w:val="center"/>
          </w:tcPr>
          <w:p w14:paraId="6F5D5618">
            <w:pPr>
              <w:adjustRightInd w:val="0"/>
              <w:snapToGrid w:val="0"/>
              <w:jc w:val="center"/>
              <w:rPr>
                <w:szCs w:val="21"/>
              </w:rPr>
            </w:pPr>
            <w:r>
              <w:rPr>
                <w:szCs w:val="21"/>
              </w:rPr>
              <w:t>无组织排放（粪便临时堆场）</w:t>
            </w:r>
          </w:p>
        </w:tc>
        <w:tc>
          <w:tcPr>
            <w:tcW w:w="1280" w:type="dxa"/>
            <w:vAlign w:val="center"/>
          </w:tcPr>
          <w:p w14:paraId="6ABCBC6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S、臭气浓度</w:t>
            </w:r>
          </w:p>
        </w:tc>
        <w:tc>
          <w:tcPr>
            <w:tcW w:w="3228" w:type="dxa"/>
            <w:vAlign w:val="center"/>
          </w:tcPr>
          <w:p w14:paraId="65945B43">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加装封闭围栏，喷洒生物除臭剂</w:t>
            </w:r>
          </w:p>
        </w:tc>
        <w:tc>
          <w:tcPr>
            <w:tcW w:w="1608" w:type="dxa"/>
            <w:vMerge w:val="continue"/>
            <w:vAlign w:val="center"/>
          </w:tcPr>
          <w:p w14:paraId="077DFAC0">
            <w:pPr>
              <w:widowControl/>
              <w:jc w:val="center"/>
              <w:rPr>
                <w:color w:val="000000" w:themeColor="text1"/>
                <w:szCs w:val="21"/>
                <w14:textFill>
                  <w14:solidFill>
                    <w14:schemeClr w14:val="tx1"/>
                  </w14:solidFill>
                </w14:textFill>
              </w:rPr>
            </w:pPr>
          </w:p>
        </w:tc>
      </w:tr>
      <w:tr w14:paraId="175A0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vMerge w:val="continue"/>
            <w:vAlign w:val="center"/>
          </w:tcPr>
          <w:p w14:paraId="25F4C57C">
            <w:pPr>
              <w:adjustRightInd w:val="0"/>
              <w:snapToGrid w:val="0"/>
              <w:jc w:val="center"/>
              <w:rPr>
                <w:color w:val="000000" w:themeColor="text1"/>
                <w:szCs w:val="21"/>
                <w14:textFill>
                  <w14:solidFill>
                    <w14:schemeClr w14:val="tx1"/>
                  </w14:solidFill>
                </w14:textFill>
              </w:rPr>
            </w:pPr>
          </w:p>
        </w:tc>
        <w:tc>
          <w:tcPr>
            <w:tcW w:w="1504" w:type="dxa"/>
            <w:vAlign w:val="center"/>
          </w:tcPr>
          <w:p w14:paraId="3A48F985">
            <w:pPr>
              <w:adjustRightInd w:val="0"/>
              <w:snapToGrid w:val="0"/>
              <w:jc w:val="center"/>
              <w:rPr>
                <w:color w:val="000000" w:themeColor="text1"/>
                <w:szCs w:val="21"/>
                <w14:textFill>
                  <w14:solidFill>
                    <w14:schemeClr w14:val="tx1"/>
                  </w14:solidFill>
                </w14:textFill>
              </w:rPr>
            </w:pPr>
            <w:r>
              <w:rPr>
                <w:szCs w:val="21"/>
              </w:rPr>
              <w:t>无组织排放（</w:t>
            </w:r>
            <w:r>
              <w:rPr>
                <w:rFonts w:hint="eastAsia"/>
                <w:szCs w:val="21"/>
              </w:rPr>
              <w:t>生产废水</w:t>
            </w:r>
            <w:r>
              <w:rPr>
                <w:szCs w:val="21"/>
              </w:rPr>
              <w:t>处理站）</w:t>
            </w:r>
          </w:p>
        </w:tc>
        <w:tc>
          <w:tcPr>
            <w:tcW w:w="1280" w:type="dxa"/>
            <w:vAlign w:val="center"/>
          </w:tcPr>
          <w:p w14:paraId="1C99242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S、臭气浓度</w:t>
            </w:r>
          </w:p>
        </w:tc>
        <w:tc>
          <w:tcPr>
            <w:tcW w:w="3228" w:type="dxa"/>
            <w:vAlign w:val="center"/>
          </w:tcPr>
          <w:p w14:paraId="3A0BE466">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处理单元加盖、加罩，臭氧催化氧化塔内密闭处理，喷洒生物除臭剂，恶臭污染物监测，预留恶臭污染物集中收集、处理、导排设施</w:t>
            </w:r>
            <w:r>
              <w:rPr>
                <w:rFonts w:hint="eastAsia"/>
                <w:color w:val="000000" w:themeColor="text1"/>
                <w:kern w:val="0"/>
                <w:szCs w:val="21"/>
                <w:lang w:bidi="ar"/>
                <w14:textFill>
                  <w14:solidFill>
                    <w14:schemeClr w14:val="tx1"/>
                  </w14:solidFill>
                </w14:textFill>
              </w:rPr>
              <w:t>费</w:t>
            </w:r>
          </w:p>
        </w:tc>
        <w:tc>
          <w:tcPr>
            <w:tcW w:w="1608" w:type="dxa"/>
            <w:vMerge w:val="continue"/>
            <w:vAlign w:val="center"/>
          </w:tcPr>
          <w:p w14:paraId="7545F1CC">
            <w:pPr>
              <w:widowControl/>
              <w:jc w:val="center"/>
              <w:rPr>
                <w:color w:val="000000" w:themeColor="text1"/>
                <w:kern w:val="0"/>
                <w:szCs w:val="21"/>
                <w:lang w:bidi="ar"/>
                <w14:textFill>
                  <w14:solidFill>
                    <w14:schemeClr w14:val="tx1"/>
                  </w14:solidFill>
                </w14:textFill>
              </w:rPr>
            </w:pPr>
          </w:p>
        </w:tc>
      </w:tr>
      <w:tr w14:paraId="61006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vMerge w:val="continue"/>
            <w:vAlign w:val="center"/>
          </w:tcPr>
          <w:p w14:paraId="74315742">
            <w:pPr>
              <w:adjustRightInd w:val="0"/>
              <w:snapToGrid w:val="0"/>
              <w:jc w:val="center"/>
              <w:rPr>
                <w:color w:val="000000" w:themeColor="text1"/>
                <w:szCs w:val="21"/>
                <w14:textFill>
                  <w14:solidFill>
                    <w14:schemeClr w14:val="tx1"/>
                  </w14:solidFill>
                </w14:textFill>
              </w:rPr>
            </w:pPr>
          </w:p>
        </w:tc>
        <w:tc>
          <w:tcPr>
            <w:tcW w:w="1504" w:type="dxa"/>
            <w:vAlign w:val="center"/>
          </w:tcPr>
          <w:p w14:paraId="23ED6807">
            <w:pPr>
              <w:adjustRightInd w:val="0"/>
              <w:snapToGrid w:val="0"/>
              <w:jc w:val="center"/>
              <w:rPr>
                <w:szCs w:val="21"/>
              </w:rPr>
            </w:pPr>
            <w:r>
              <w:rPr>
                <w:szCs w:val="21"/>
              </w:rPr>
              <w:t>DA001（职工食堂排放口）</w:t>
            </w:r>
          </w:p>
        </w:tc>
        <w:tc>
          <w:tcPr>
            <w:tcW w:w="1280" w:type="dxa"/>
            <w:vAlign w:val="center"/>
          </w:tcPr>
          <w:p w14:paraId="65BCA17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油烟</w:t>
            </w:r>
          </w:p>
        </w:tc>
        <w:tc>
          <w:tcPr>
            <w:tcW w:w="3228" w:type="dxa"/>
            <w:vAlign w:val="center"/>
          </w:tcPr>
          <w:p w14:paraId="108C4D85">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加装</w:t>
            </w:r>
            <w:r>
              <w:rPr>
                <w:color w:val="000000" w:themeColor="text1"/>
                <w:kern w:val="0"/>
                <w:szCs w:val="21"/>
                <w:lang w:bidi="ar"/>
                <w14:textFill>
                  <w14:solidFill>
                    <w14:schemeClr w14:val="tx1"/>
                  </w14:solidFill>
                </w14:textFill>
              </w:rPr>
              <w:t>油烟净化器</w:t>
            </w:r>
          </w:p>
        </w:tc>
        <w:tc>
          <w:tcPr>
            <w:tcW w:w="1608" w:type="dxa"/>
            <w:vAlign w:val="center"/>
          </w:tcPr>
          <w:p w14:paraId="52B7673D">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《饮食业油烟排放标准（试行）》（GB 18483-2001）小型标准</w:t>
            </w:r>
          </w:p>
        </w:tc>
      </w:tr>
      <w:tr w14:paraId="290C3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vMerge w:val="restart"/>
            <w:vAlign w:val="center"/>
          </w:tcPr>
          <w:p w14:paraId="2BB7700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w:t>
            </w:r>
          </w:p>
          <w:p w14:paraId="67E8953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c>
          <w:tcPr>
            <w:tcW w:w="1504" w:type="dxa"/>
            <w:vAlign w:val="center"/>
          </w:tcPr>
          <w:p w14:paraId="60B28AA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生产废水</w:t>
            </w:r>
          </w:p>
        </w:tc>
        <w:tc>
          <w:tcPr>
            <w:tcW w:w="1280" w:type="dxa"/>
            <w:vAlign w:val="center"/>
          </w:tcPr>
          <w:p w14:paraId="3C7EBAD5">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、TP、TN、SS 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-N、动植物油等</w:t>
            </w:r>
          </w:p>
        </w:tc>
        <w:tc>
          <w:tcPr>
            <w:tcW w:w="3228" w:type="dxa"/>
            <w:vAlign w:val="center"/>
          </w:tcPr>
          <w:p w14:paraId="64D248C1">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生产废水</w:t>
            </w:r>
            <w:r>
              <w:rPr>
                <w:color w:val="000000" w:themeColor="text1"/>
                <w:szCs w:val="21"/>
                <w14:textFill>
                  <w14:solidFill>
                    <w14:schemeClr w14:val="tx1"/>
                  </w14:solidFill>
                </w14:textFill>
              </w:rPr>
              <w:t>处理站处理，处理规模250m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/d，处理工艺</w:t>
            </w:r>
            <w:r>
              <w:rPr>
                <w:rFonts w:hint="eastAsia"/>
                <w:color w:val="000000" w:themeColor="text1"/>
                <w:szCs w:val="21"/>
                <w14:textFill>
                  <w14:solidFill>
                    <w14:schemeClr w14:val="tx1"/>
                  </w14:solidFill>
                </w14:textFill>
              </w:rPr>
              <w:t>“</w:t>
            </w:r>
            <w:r>
              <w:rPr>
                <w:bCs/>
                <w:szCs w:val="21"/>
              </w:rPr>
              <w:t>机械格栅+微滤机+气浮+强化厌氧+接触氧化+过滤吸附+消毒</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，出水用于厂区绿化、洒水降尘，不外排</w:t>
            </w:r>
          </w:p>
        </w:tc>
        <w:tc>
          <w:tcPr>
            <w:tcW w:w="1608" w:type="dxa"/>
            <w:vAlign w:val="center"/>
          </w:tcPr>
          <w:p w14:paraId="51118AF2">
            <w:pPr>
              <w:widowControl/>
              <w:jc w:val="center"/>
              <w:rPr>
                <w:color w:val="000000" w:themeColor="text1"/>
                <w:szCs w:val="21"/>
                <w14:textFill>
                  <w14:solidFill>
                    <w14:schemeClr w14:val="tx1"/>
                  </w14:solidFill>
                </w14:textFill>
              </w:rPr>
            </w:pPr>
            <w:r>
              <w:rPr>
                <w:szCs w:val="21"/>
              </w:rPr>
              <w:t>《城市污水再生利用 城市杂用水水质》（GB/T 18920-2020）</w:t>
            </w:r>
          </w:p>
        </w:tc>
      </w:tr>
      <w:tr w14:paraId="654F0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vMerge w:val="continue"/>
            <w:vAlign w:val="center"/>
          </w:tcPr>
          <w:p w14:paraId="54E2AD33">
            <w:pPr>
              <w:adjustRightInd w:val="0"/>
              <w:snapToGrid w:val="0"/>
              <w:jc w:val="center"/>
              <w:rPr>
                <w:color w:val="000000" w:themeColor="text1"/>
                <w:szCs w:val="21"/>
                <w14:textFill>
                  <w14:solidFill>
                    <w14:schemeClr w14:val="tx1"/>
                  </w14:solidFill>
                </w14:textFill>
              </w:rPr>
            </w:pPr>
          </w:p>
        </w:tc>
        <w:tc>
          <w:tcPr>
            <w:tcW w:w="1504" w:type="dxa"/>
            <w:vAlign w:val="center"/>
          </w:tcPr>
          <w:p w14:paraId="171B62E8">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生活污水</w:t>
            </w:r>
          </w:p>
        </w:tc>
        <w:tc>
          <w:tcPr>
            <w:tcW w:w="1280" w:type="dxa"/>
            <w:vAlign w:val="center"/>
          </w:tcPr>
          <w:p w14:paraId="10AE2EE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、TP、TN、SS 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-N、动植物油、磷酸盐等</w:t>
            </w:r>
          </w:p>
        </w:tc>
        <w:tc>
          <w:tcPr>
            <w:tcW w:w="3228" w:type="dxa"/>
            <w:vAlign w:val="center"/>
          </w:tcPr>
          <w:p w14:paraId="054A3ED8">
            <w:pPr>
              <w:adjustRightInd w:val="0"/>
              <w:snapToGrid w:val="0"/>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生活污水经100m</w:t>
            </w:r>
            <w:r>
              <w:rPr>
                <w:rFonts w:hint="eastAsia"/>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隔油池、</w:t>
            </w:r>
            <w:r>
              <w:rPr>
                <w:rFonts w:hint="eastAsia"/>
                <w:color w:val="000000" w:themeColor="text1"/>
                <w:kern w:val="0"/>
                <w:szCs w:val="21"/>
                <w14:textFill>
                  <w14:solidFill>
                    <w14:schemeClr w14:val="tx1"/>
                  </w14:solidFill>
                </w14:textFill>
              </w:rPr>
              <w:t>300m</w:t>
            </w:r>
            <w:r>
              <w:rPr>
                <w:rFonts w:hint="eastAsia"/>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化粪池预处理后接入市政污水管网，</w:t>
            </w:r>
            <w:r>
              <w:rPr>
                <w:szCs w:val="21"/>
              </w:rPr>
              <w:t>最终进入羊街镇污水处理站</w:t>
            </w:r>
            <w:r>
              <w:rPr>
                <w:rFonts w:hint="eastAsia"/>
                <w:szCs w:val="21"/>
              </w:rPr>
              <w:t>处理</w:t>
            </w:r>
          </w:p>
        </w:tc>
        <w:tc>
          <w:tcPr>
            <w:tcW w:w="1608" w:type="dxa"/>
            <w:vAlign w:val="center"/>
          </w:tcPr>
          <w:p w14:paraId="0C599FAA">
            <w:pPr>
              <w:widowControl/>
              <w:jc w:val="center"/>
              <w:rPr>
                <w:color w:val="000000" w:themeColor="text1"/>
                <w:szCs w:val="21"/>
                <w14:textFill>
                  <w14:solidFill>
                    <w14:schemeClr w14:val="tx1"/>
                  </w14:solidFill>
                </w14:textFill>
              </w:rPr>
            </w:pPr>
            <w:r>
              <w:rPr>
                <w:kern w:val="0"/>
                <w:szCs w:val="21"/>
                <w:lang w:bidi="ar"/>
              </w:rPr>
              <w:t>《污水排入城镇下水道水质标准》（GB/T 31962-2015）表1 B级标准</w:t>
            </w:r>
          </w:p>
        </w:tc>
      </w:tr>
      <w:tr w14:paraId="367FC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vMerge w:val="continue"/>
            <w:vAlign w:val="center"/>
          </w:tcPr>
          <w:p w14:paraId="0394DF91">
            <w:pPr>
              <w:adjustRightInd w:val="0"/>
              <w:snapToGrid w:val="0"/>
              <w:jc w:val="center"/>
              <w:rPr>
                <w:color w:val="000000" w:themeColor="text1"/>
                <w:szCs w:val="21"/>
                <w14:textFill>
                  <w14:solidFill>
                    <w14:schemeClr w14:val="tx1"/>
                  </w14:solidFill>
                </w14:textFill>
              </w:rPr>
            </w:pPr>
          </w:p>
        </w:tc>
        <w:tc>
          <w:tcPr>
            <w:tcW w:w="1504" w:type="dxa"/>
            <w:vAlign w:val="center"/>
          </w:tcPr>
          <w:p w14:paraId="015180AA">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初期雨水</w:t>
            </w:r>
          </w:p>
        </w:tc>
        <w:tc>
          <w:tcPr>
            <w:tcW w:w="1280" w:type="dxa"/>
            <w:vAlign w:val="center"/>
          </w:tcPr>
          <w:p w14:paraId="2EC1BC1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、TP、TN、SS 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-N、动植物油等</w:t>
            </w:r>
          </w:p>
        </w:tc>
        <w:tc>
          <w:tcPr>
            <w:tcW w:w="3228" w:type="dxa"/>
            <w:vAlign w:val="center"/>
          </w:tcPr>
          <w:p w14:paraId="5958CEDD">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初期雨水经雨水收集池收集暂存，</w:t>
            </w:r>
            <w:r>
              <w:rPr>
                <w:rFonts w:hint="eastAsia"/>
              </w:rPr>
              <w:t>后经生产废水处理站处理达标后用于厂区绿化、洒水降尘，不外排</w:t>
            </w:r>
          </w:p>
        </w:tc>
        <w:tc>
          <w:tcPr>
            <w:tcW w:w="1608" w:type="dxa"/>
            <w:vAlign w:val="center"/>
          </w:tcPr>
          <w:p w14:paraId="3F04CED6">
            <w:pPr>
              <w:widowControl/>
              <w:jc w:val="center"/>
              <w:rPr>
                <w:kern w:val="0"/>
                <w:szCs w:val="21"/>
                <w:lang w:bidi="ar"/>
              </w:rPr>
            </w:pPr>
            <w:r>
              <w:rPr>
                <w:szCs w:val="21"/>
              </w:rPr>
              <w:t>《城市污水再生利用 城市杂用水水质》（GB/T 18920-2020）</w:t>
            </w:r>
          </w:p>
        </w:tc>
      </w:tr>
      <w:tr w14:paraId="4E08B9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1213" w:type="dxa"/>
            <w:vAlign w:val="center"/>
          </w:tcPr>
          <w:p w14:paraId="233D1E9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504" w:type="dxa"/>
            <w:vAlign w:val="center"/>
          </w:tcPr>
          <w:p w14:paraId="7ACC8835">
            <w:pPr>
              <w:widowControl/>
              <w:jc w:val="center"/>
              <w:rPr>
                <w:color w:val="000000" w:themeColor="text1"/>
                <w:kern w:val="0"/>
                <w:szCs w:val="21"/>
                <w:lang w:bidi="ar"/>
                <w14:textFill>
                  <w14:solidFill>
                    <w14:schemeClr w14:val="tx1"/>
                  </w14:solidFill>
                </w14:textFill>
              </w:rPr>
            </w:pPr>
            <w:r>
              <w:rPr>
                <w:szCs w:val="21"/>
              </w:rPr>
              <w:t>机械、设备、车辆、风机等</w:t>
            </w:r>
          </w:p>
        </w:tc>
        <w:tc>
          <w:tcPr>
            <w:tcW w:w="1280" w:type="dxa"/>
            <w:vAlign w:val="center"/>
          </w:tcPr>
          <w:p w14:paraId="13926047">
            <w:pPr>
              <w:widowControl/>
              <w:jc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Leq（A）</w:t>
            </w:r>
          </w:p>
        </w:tc>
        <w:tc>
          <w:tcPr>
            <w:tcW w:w="3228" w:type="dxa"/>
            <w:vAlign w:val="center"/>
          </w:tcPr>
          <w:p w14:paraId="7184438E">
            <w:pPr>
              <w:widowControl/>
              <w:jc w:val="center"/>
              <w:rPr>
                <w:color w:val="000000" w:themeColor="text1"/>
                <w:kern w:val="0"/>
                <w:szCs w:val="21"/>
                <w:lang w:bidi="ar"/>
                <w14:textFill>
                  <w14:solidFill>
                    <w14:schemeClr w14:val="tx1"/>
                  </w14:solidFill>
                </w14:textFill>
              </w:rPr>
            </w:pPr>
            <w:r>
              <w:rPr>
                <w:szCs w:val="21"/>
              </w:rPr>
              <w:t>选用低噪机械、设备，加装基础减振、合理布局，夜间不生产</w:t>
            </w:r>
          </w:p>
        </w:tc>
        <w:tc>
          <w:tcPr>
            <w:tcW w:w="1608" w:type="dxa"/>
            <w:vAlign w:val="center"/>
          </w:tcPr>
          <w:p w14:paraId="7A208E87">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《工业企业厂界环境噪声排放标准》（GB12348-2008）2类标准</w:t>
            </w:r>
          </w:p>
        </w:tc>
      </w:tr>
      <w:tr w14:paraId="79A1B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213" w:type="dxa"/>
            <w:vAlign w:val="center"/>
          </w:tcPr>
          <w:p w14:paraId="3FB8590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电磁辐射</w:t>
            </w:r>
          </w:p>
        </w:tc>
        <w:tc>
          <w:tcPr>
            <w:tcW w:w="7620" w:type="dxa"/>
            <w:gridSpan w:val="4"/>
            <w:vAlign w:val="center"/>
          </w:tcPr>
          <w:p w14:paraId="1E3BDD3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r>
      <w:tr w14:paraId="4CE3B8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213" w:type="dxa"/>
            <w:vAlign w:val="center"/>
          </w:tcPr>
          <w:p w14:paraId="4B56964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7620" w:type="dxa"/>
            <w:gridSpan w:val="4"/>
            <w:vAlign w:val="center"/>
          </w:tcPr>
          <w:p w14:paraId="3A75FA3C">
            <w:pPr>
              <w:widowControl/>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一般固体废物：待宰圈、屠宰车间粪便，</w:t>
            </w:r>
            <w:r>
              <w:rPr>
                <w:rFonts w:hint="eastAsia"/>
                <w:color w:val="000000" w:themeColor="text1"/>
                <w:kern w:val="0"/>
                <w:szCs w:val="21"/>
                <w:lang w:bidi="ar"/>
                <w14:textFill>
                  <w14:solidFill>
                    <w14:schemeClr w14:val="tx1"/>
                  </w14:solidFill>
                </w14:textFill>
              </w:rPr>
              <w:t>生产废水</w:t>
            </w:r>
            <w:r>
              <w:rPr>
                <w:color w:val="000000" w:themeColor="text1"/>
                <w:kern w:val="0"/>
                <w:szCs w:val="21"/>
                <w:lang w:bidi="ar"/>
                <w14:textFill>
                  <w14:solidFill>
                    <w14:schemeClr w14:val="tx1"/>
                  </w14:solidFill>
                </w14:textFill>
              </w:rPr>
              <w:t>处理站污泥收集至粪便临时堆场，清运用作农肥；屠宰废弃生物组织、病死牲畜收集暂存于冷库，委托</w:t>
            </w:r>
            <w:r>
              <w:rPr>
                <w:kern w:val="0"/>
                <w:szCs w:val="21"/>
                <w:lang w:bidi="ar"/>
              </w:rPr>
              <w:t>石林</w:t>
            </w:r>
            <w:r>
              <w:rPr>
                <w:rFonts w:hint="eastAsia"/>
                <w:kern w:val="0"/>
                <w:szCs w:val="21"/>
                <w:lang w:bidi="ar"/>
              </w:rPr>
              <w:t>鑫欣</w:t>
            </w:r>
            <w:r>
              <w:rPr>
                <w:kern w:val="0"/>
                <w:szCs w:val="21"/>
                <w:lang w:bidi="ar"/>
              </w:rPr>
              <w:t>桥环保科技有限公司无害化处置；生活垃圾由环卫部门清运处置</w:t>
            </w:r>
            <w:r>
              <w:rPr>
                <w:rFonts w:hint="eastAsia"/>
                <w:kern w:val="0"/>
                <w:szCs w:val="21"/>
                <w:lang w:bidi="ar"/>
              </w:rPr>
              <w:t>。</w:t>
            </w:r>
          </w:p>
          <w:p w14:paraId="53CF25A3">
            <w:pPr>
              <w:widowControl/>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危险废物：废机油收集暂存于危废贮存间，委托</w:t>
            </w:r>
            <w:r>
              <w:rPr>
                <w:color w:val="000000" w:themeColor="text1"/>
                <w:szCs w:val="21"/>
                <w:lang w:val="zh-CN"/>
                <w14:textFill>
                  <w14:solidFill>
                    <w14:schemeClr w14:val="tx1"/>
                  </w14:solidFill>
                </w14:textFill>
              </w:rPr>
              <w:t>云南达济再生资源回收利用有限公司处置</w:t>
            </w:r>
            <w:r>
              <w:rPr>
                <w:rFonts w:hint="eastAsia"/>
                <w:color w:val="000000" w:themeColor="text1"/>
                <w:szCs w:val="21"/>
                <w:lang w:val="zh-CN"/>
                <w14:textFill>
                  <w14:solidFill>
                    <w14:schemeClr w14:val="tx1"/>
                  </w14:solidFill>
                </w14:textFill>
              </w:rPr>
              <w:t>。</w:t>
            </w:r>
          </w:p>
        </w:tc>
      </w:tr>
      <w:tr w14:paraId="26F47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vAlign w:val="center"/>
          </w:tcPr>
          <w:p w14:paraId="5738615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土壤及地下水污染防治措施</w:t>
            </w:r>
          </w:p>
        </w:tc>
        <w:tc>
          <w:tcPr>
            <w:tcW w:w="7620" w:type="dxa"/>
            <w:gridSpan w:val="4"/>
            <w:vAlign w:val="center"/>
          </w:tcPr>
          <w:p w14:paraId="3E3C361B">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厂区地面已进行硬化处理，各功能区采取不同防渗技术要求进行防渗措施</w:t>
            </w:r>
          </w:p>
        </w:tc>
      </w:tr>
      <w:tr w14:paraId="6D170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vAlign w:val="center"/>
          </w:tcPr>
          <w:p w14:paraId="0B4081F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7620" w:type="dxa"/>
            <w:gridSpan w:val="4"/>
            <w:vAlign w:val="center"/>
          </w:tcPr>
          <w:p w14:paraId="44C5A35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r>
      <w:tr w14:paraId="38001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vAlign w:val="center"/>
          </w:tcPr>
          <w:p w14:paraId="734AD92E">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w:t>
            </w:r>
          </w:p>
          <w:p w14:paraId="27693502">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防范措施</w:t>
            </w:r>
          </w:p>
        </w:tc>
        <w:tc>
          <w:tcPr>
            <w:tcW w:w="7620" w:type="dxa"/>
            <w:gridSpan w:val="4"/>
            <w:vAlign w:val="center"/>
          </w:tcPr>
          <w:p w14:paraId="1396E34D">
            <w:pPr>
              <w:pStyle w:val="36"/>
              <w:spacing w:line="240" w:lineRule="auto"/>
              <w:ind w:firstLine="0" w:firstLineChars="0"/>
              <w:rPr>
                <w:rFonts w:cs="Times New Roman"/>
                <w:color w:val="000000" w:themeColor="text1"/>
                <w:spacing w:val="0"/>
                <w:sz w:val="21"/>
                <w:szCs w:val="21"/>
                <w:lang w:eastAsia="zh-CN"/>
                <w14:textFill>
                  <w14:solidFill>
                    <w14:schemeClr w14:val="tx1"/>
                  </w14:solidFill>
                </w14:textFill>
              </w:rPr>
            </w:pPr>
            <w:r>
              <w:rPr>
                <w:rFonts w:cs="Times New Roman"/>
                <w:color w:val="000000" w:themeColor="text1"/>
                <w:spacing w:val="0"/>
                <w:sz w:val="21"/>
                <w:szCs w:val="21"/>
                <w:lang w:eastAsia="zh-CN"/>
                <w14:textFill>
                  <w14:solidFill>
                    <w14:schemeClr w14:val="tx1"/>
                  </w14:solidFill>
                </w14:textFill>
              </w:rPr>
              <w:t>危险物质泄漏风险防范：加强人员环保宣传教育，规范安全液氨操作。液氨储罐区设置围堰，配备泄漏检测报警仪、喷淋吸收装置及应急防护器材；严格执行危废管理制度，规范危废收集、暂存、转移流程，</w:t>
            </w:r>
            <w:r>
              <w:rPr>
                <w:rFonts w:cs="Times New Roman"/>
                <w:spacing w:val="0"/>
                <w:kern w:val="0"/>
                <w:sz w:val="21"/>
                <w:szCs w:val="21"/>
                <w:lang w:eastAsia="zh-CN" w:bidi="ar"/>
              </w:rPr>
              <w:t>做好危废台账管理。</w:t>
            </w:r>
            <w:r>
              <w:rPr>
                <w:rFonts w:cs="Times New Roman"/>
                <w:color w:val="000000" w:themeColor="text1"/>
                <w:spacing w:val="0"/>
                <w:sz w:val="21"/>
                <w:szCs w:val="21"/>
                <w:lang w:eastAsia="zh-CN"/>
                <w14:textFill>
                  <w14:solidFill>
                    <w14:schemeClr w14:val="tx1"/>
                  </w14:solidFill>
                </w14:textFill>
              </w:rPr>
              <w:t>按照《危险废物贮存污染控制标准》（GB18597-2023），做好危废贮存间防渗、防风、防雨、防晒措施，规范设置危废警示标识</w:t>
            </w:r>
            <w:r>
              <w:rPr>
                <w:rFonts w:hint="eastAsia" w:cs="Times New Roman"/>
                <w:color w:val="000000" w:themeColor="text1"/>
                <w:spacing w:val="0"/>
                <w:sz w:val="21"/>
                <w:szCs w:val="21"/>
                <w:lang w:eastAsia="zh-CN"/>
                <w14:textFill>
                  <w14:solidFill>
                    <w14:schemeClr w14:val="tx1"/>
                  </w14:solidFill>
                </w14:textFill>
              </w:rPr>
              <w:t>。</w:t>
            </w:r>
          </w:p>
          <w:p w14:paraId="1E9ABEDE">
            <w:pPr>
              <w:pStyle w:val="36"/>
              <w:spacing w:line="240" w:lineRule="auto"/>
              <w:ind w:firstLine="0" w:firstLineChars="0"/>
              <w:rPr>
                <w:rFonts w:cs="Times New Roman"/>
                <w:color w:val="000000" w:themeColor="text1"/>
                <w:spacing w:val="0"/>
                <w:sz w:val="21"/>
                <w:szCs w:val="21"/>
                <w:lang w:eastAsia="zh-CN"/>
                <w14:textFill>
                  <w14:solidFill>
                    <w14:schemeClr w14:val="tx1"/>
                  </w14:solidFill>
                </w14:textFill>
              </w:rPr>
            </w:pPr>
            <w:r>
              <w:rPr>
                <w:rFonts w:cs="Times New Roman"/>
                <w:color w:val="000000" w:themeColor="text1"/>
                <w:spacing w:val="0"/>
                <w:sz w:val="21"/>
                <w:szCs w:val="21"/>
                <w:lang w:eastAsia="zh-CN"/>
                <w14:textFill>
                  <w14:solidFill>
                    <w14:schemeClr w14:val="tx1"/>
                  </w14:solidFill>
                </w14:textFill>
              </w:rPr>
              <w:t>水环境风险防范：</w:t>
            </w:r>
            <w:r>
              <w:rPr>
                <w:rFonts w:cs="Times New Roman"/>
                <w:spacing w:val="0"/>
                <w:kern w:val="0"/>
                <w:sz w:val="21"/>
                <w:szCs w:val="21"/>
                <w:lang w:eastAsia="zh-CN" w:bidi="ar"/>
              </w:rPr>
              <w:t>加强</w:t>
            </w:r>
            <w:r>
              <w:rPr>
                <w:rFonts w:hint="eastAsia" w:cs="Times New Roman"/>
                <w:spacing w:val="0"/>
                <w:kern w:val="0"/>
                <w:sz w:val="21"/>
                <w:szCs w:val="21"/>
                <w:lang w:eastAsia="zh-CN" w:bidi="ar"/>
              </w:rPr>
              <w:t>生产废水</w:t>
            </w:r>
            <w:r>
              <w:rPr>
                <w:rFonts w:cs="Times New Roman"/>
                <w:spacing w:val="0"/>
                <w:kern w:val="0"/>
                <w:sz w:val="21"/>
                <w:szCs w:val="21"/>
                <w:lang w:eastAsia="zh-CN" w:bidi="ar"/>
              </w:rPr>
              <w:t>处理站的巡检、维护和水质监测，做好运行台账管理，保障各项设备、工艺单元稳定正常运行，确保处理后出水满足绿化、洒水降尘标准</w:t>
            </w:r>
            <w:r>
              <w:rPr>
                <w:rFonts w:cs="Times New Roman"/>
                <w:spacing w:val="0"/>
                <w:sz w:val="21"/>
                <w:szCs w:val="21"/>
                <w:lang w:eastAsia="zh-CN"/>
              </w:rPr>
              <w:t>；</w:t>
            </w:r>
            <w:r>
              <w:rPr>
                <w:rFonts w:cs="Times New Roman"/>
                <w:spacing w:val="0"/>
                <w:kern w:val="0"/>
                <w:sz w:val="21"/>
                <w:szCs w:val="21"/>
                <w:lang w:eastAsia="zh-CN" w:bidi="ar"/>
              </w:rPr>
              <w:t>加强</w:t>
            </w:r>
            <w:r>
              <w:rPr>
                <w:rFonts w:hint="eastAsia" w:cs="Times New Roman"/>
                <w:spacing w:val="0"/>
                <w:kern w:val="0"/>
                <w:sz w:val="21"/>
                <w:szCs w:val="21"/>
                <w:lang w:eastAsia="zh-CN" w:bidi="ar"/>
              </w:rPr>
              <w:t>生产废水</w:t>
            </w:r>
            <w:r>
              <w:rPr>
                <w:rFonts w:cs="Times New Roman"/>
                <w:spacing w:val="0"/>
                <w:kern w:val="0"/>
                <w:sz w:val="21"/>
                <w:szCs w:val="21"/>
                <w:lang w:eastAsia="zh-CN" w:bidi="ar"/>
              </w:rPr>
              <w:t>处理站事故应急池，厂区蓄水池、雨水收集池的巡检、管护，确保</w:t>
            </w:r>
            <w:r>
              <w:rPr>
                <w:rFonts w:hint="eastAsia" w:cs="Times New Roman"/>
                <w:spacing w:val="0"/>
                <w:kern w:val="0"/>
                <w:sz w:val="21"/>
                <w:szCs w:val="21"/>
                <w:lang w:eastAsia="zh-CN" w:bidi="ar"/>
              </w:rPr>
              <w:t>生产废水</w:t>
            </w:r>
            <w:r>
              <w:rPr>
                <w:rFonts w:cs="Times New Roman"/>
                <w:spacing w:val="0"/>
                <w:kern w:val="0"/>
                <w:sz w:val="21"/>
                <w:szCs w:val="21"/>
                <w:lang w:eastAsia="zh-CN" w:bidi="ar"/>
              </w:rPr>
              <w:t>处理站事故废水，</w:t>
            </w:r>
            <w:r>
              <w:rPr>
                <w:rFonts w:hint="eastAsia" w:cs="Times New Roman"/>
                <w:spacing w:val="0"/>
                <w:kern w:val="0"/>
                <w:sz w:val="21"/>
                <w:szCs w:val="21"/>
                <w:lang w:eastAsia="zh-CN" w:bidi="ar"/>
              </w:rPr>
              <w:t>生产废水</w:t>
            </w:r>
            <w:r>
              <w:rPr>
                <w:rFonts w:cs="Times New Roman"/>
                <w:spacing w:val="0"/>
                <w:kern w:val="0"/>
                <w:sz w:val="21"/>
                <w:szCs w:val="21"/>
                <w:lang w:eastAsia="zh-CN" w:bidi="ar"/>
              </w:rPr>
              <w:t>处理站、初期雨水处理后回用水得到有效暂存；</w:t>
            </w:r>
            <w:r>
              <w:rPr>
                <w:rFonts w:cs="Times New Roman"/>
                <w:spacing w:val="0"/>
                <w:sz w:val="21"/>
                <w:szCs w:val="21"/>
                <w:lang w:eastAsia="zh-CN"/>
              </w:rPr>
              <w:t>若事故应急池、蓄水池、雨水收集池已满，生产废水、处理后回用水不能得到暂存，须立即停止生产</w:t>
            </w:r>
            <w:r>
              <w:rPr>
                <w:rFonts w:hint="eastAsia" w:cs="Times New Roman"/>
                <w:spacing w:val="0"/>
                <w:sz w:val="21"/>
                <w:szCs w:val="21"/>
                <w:lang w:eastAsia="zh-CN"/>
              </w:rPr>
              <w:t>。</w:t>
            </w:r>
          </w:p>
          <w:p w14:paraId="5929D4BD">
            <w:pPr>
              <w:widowControl/>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次生风险防范：厂区设置消防废水导流沟和收集系统，确保火灾时消防废水能被引入事故应急池，避免直接外排。加强火灾、消防演练，定期检查消防设施和应急物资完好性</w:t>
            </w:r>
            <w:r>
              <w:rPr>
                <w:rFonts w:hint="eastAsia"/>
                <w:color w:val="000000" w:themeColor="text1"/>
                <w:szCs w:val="21"/>
                <w14:textFill>
                  <w14:solidFill>
                    <w14:schemeClr w14:val="tx1"/>
                  </w14:solidFill>
                </w14:textFill>
              </w:rPr>
              <w:t>。</w:t>
            </w:r>
          </w:p>
          <w:p w14:paraId="279BF1C8">
            <w:pPr>
              <w:widowControl/>
              <w:jc w:val="left"/>
              <w:rPr>
                <w:color w:val="000000" w:themeColor="text1"/>
                <w:szCs w:val="21"/>
                <w14:textFill>
                  <w14:solidFill>
                    <w14:schemeClr w14:val="tx1"/>
                  </w14:solidFill>
                </w14:textFill>
              </w:rPr>
            </w:pPr>
          </w:p>
          <w:p w14:paraId="5CBECDC0">
            <w:pPr>
              <w:widowControl/>
              <w:jc w:val="left"/>
              <w:rPr>
                <w:color w:val="000000" w:themeColor="text1"/>
                <w:szCs w:val="21"/>
                <w14:textFill>
                  <w14:solidFill>
                    <w14:schemeClr w14:val="tx1"/>
                  </w14:solidFill>
                </w14:textFill>
              </w:rPr>
            </w:pPr>
          </w:p>
          <w:p w14:paraId="495D4685">
            <w:pPr>
              <w:widowControl/>
              <w:jc w:val="left"/>
              <w:rPr>
                <w:color w:val="000000" w:themeColor="text1"/>
                <w:szCs w:val="21"/>
                <w14:textFill>
                  <w14:solidFill>
                    <w14:schemeClr w14:val="tx1"/>
                  </w14:solidFill>
                </w14:textFill>
              </w:rPr>
            </w:pPr>
          </w:p>
          <w:p w14:paraId="029E64D7">
            <w:pPr>
              <w:widowControl/>
              <w:jc w:val="left"/>
              <w:rPr>
                <w:color w:val="000000" w:themeColor="text1"/>
                <w:szCs w:val="21"/>
                <w14:textFill>
                  <w14:solidFill>
                    <w14:schemeClr w14:val="tx1"/>
                  </w14:solidFill>
                </w14:textFill>
              </w:rPr>
            </w:pPr>
          </w:p>
          <w:p w14:paraId="3E4DB6E6">
            <w:pPr>
              <w:widowControl/>
              <w:jc w:val="left"/>
              <w:rPr>
                <w:color w:val="000000" w:themeColor="text1"/>
                <w:szCs w:val="21"/>
                <w14:textFill>
                  <w14:solidFill>
                    <w14:schemeClr w14:val="tx1"/>
                  </w14:solidFill>
                </w14:textFill>
              </w:rPr>
            </w:pPr>
          </w:p>
          <w:p w14:paraId="176933B5">
            <w:pPr>
              <w:widowControl/>
              <w:jc w:val="left"/>
              <w:rPr>
                <w:color w:val="000000" w:themeColor="text1"/>
                <w:szCs w:val="21"/>
                <w14:textFill>
                  <w14:solidFill>
                    <w14:schemeClr w14:val="tx1"/>
                  </w14:solidFill>
                </w14:textFill>
              </w:rPr>
            </w:pPr>
          </w:p>
          <w:p w14:paraId="7EEAEF64">
            <w:pPr>
              <w:widowControl/>
              <w:jc w:val="left"/>
              <w:rPr>
                <w:color w:val="000000" w:themeColor="text1"/>
                <w:szCs w:val="21"/>
                <w14:textFill>
                  <w14:solidFill>
                    <w14:schemeClr w14:val="tx1"/>
                  </w14:solidFill>
                </w14:textFill>
              </w:rPr>
            </w:pPr>
          </w:p>
          <w:p w14:paraId="03C4FB5E">
            <w:pPr>
              <w:widowControl/>
              <w:jc w:val="left"/>
              <w:rPr>
                <w:color w:val="000000" w:themeColor="text1"/>
                <w:szCs w:val="21"/>
                <w14:textFill>
                  <w14:solidFill>
                    <w14:schemeClr w14:val="tx1"/>
                  </w14:solidFill>
                </w14:textFill>
              </w:rPr>
            </w:pPr>
          </w:p>
          <w:p w14:paraId="147491E5">
            <w:pPr>
              <w:widowControl/>
              <w:jc w:val="left"/>
              <w:rPr>
                <w:color w:val="000000" w:themeColor="text1"/>
                <w:szCs w:val="21"/>
                <w14:textFill>
                  <w14:solidFill>
                    <w14:schemeClr w14:val="tx1"/>
                  </w14:solidFill>
                </w14:textFill>
              </w:rPr>
            </w:pPr>
          </w:p>
          <w:p w14:paraId="4767F0A0">
            <w:pPr>
              <w:widowControl/>
              <w:jc w:val="left"/>
              <w:rPr>
                <w:color w:val="000000" w:themeColor="text1"/>
                <w:szCs w:val="21"/>
                <w14:textFill>
                  <w14:solidFill>
                    <w14:schemeClr w14:val="tx1"/>
                  </w14:solidFill>
                </w14:textFill>
              </w:rPr>
            </w:pPr>
          </w:p>
          <w:p w14:paraId="499C2454">
            <w:pPr>
              <w:widowControl/>
              <w:jc w:val="left"/>
              <w:rPr>
                <w:color w:val="000000" w:themeColor="text1"/>
                <w:szCs w:val="21"/>
                <w14:textFill>
                  <w14:solidFill>
                    <w14:schemeClr w14:val="tx1"/>
                  </w14:solidFill>
                </w14:textFill>
              </w:rPr>
            </w:pPr>
          </w:p>
          <w:p w14:paraId="275B31C9">
            <w:pPr>
              <w:widowControl/>
              <w:jc w:val="left"/>
              <w:rPr>
                <w:color w:val="000000" w:themeColor="text1"/>
                <w:szCs w:val="21"/>
                <w14:textFill>
                  <w14:solidFill>
                    <w14:schemeClr w14:val="tx1"/>
                  </w14:solidFill>
                </w14:textFill>
              </w:rPr>
            </w:pPr>
          </w:p>
          <w:p w14:paraId="12728D26">
            <w:pPr>
              <w:widowControl/>
              <w:jc w:val="left"/>
              <w:rPr>
                <w:color w:val="000000" w:themeColor="text1"/>
                <w:szCs w:val="21"/>
                <w14:textFill>
                  <w14:solidFill>
                    <w14:schemeClr w14:val="tx1"/>
                  </w14:solidFill>
                </w14:textFill>
              </w:rPr>
            </w:pPr>
          </w:p>
          <w:p w14:paraId="700F9C52">
            <w:pPr>
              <w:widowControl/>
              <w:jc w:val="left"/>
              <w:rPr>
                <w:color w:val="000000" w:themeColor="text1"/>
                <w:szCs w:val="21"/>
                <w14:textFill>
                  <w14:solidFill>
                    <w14:schemeClr w14:val="tx1"/>
                  </w14:solidFill>
                </w14:textFill>
              </w:rPr>
            </w:pPr>
          </w:p>
          <w:p w14:paraId="19B46DE3">
            <w:pPr>
              <w:widowControl/>
              <w:jc w:val="left"/>
              <w:rPr>
                <w:color w:val="000000" w:themeColor="text1"/>
                <w:szCs w:val="21"/>
                <w14:textFill>
                  <w14:solidFill>
                    <w14:schemeClr w14:val="tx1"/>
                  </w14:solidFill>
                </w14:textFill>
              </w:rPr>
            </w:pPr>
          </w:p>
          <w:p w14:paraId="2192926C">
            <w:pPr>
              <w:widowControl/>
              <w:jc w:val="left"/>
              <w:rPr>
                <w:color w:val="000000" w:themeColor="text1"/>
                <w:szCs w:val="21"/>
                <w14:textFill>
                  <w14:solidFill>
                    <w14:schemeClr w14:val="tx1"/>
                  </w14:solidFill>
                </w14:textFill>
              </w:rPr>
            </w:pPr>
          </w:p>
          <w:p w14:paraId="40191C62">
            <w:pPr>
              <w:widowControl/>
              <w:jc w:val="left"/>
              <w:rPr>
                <w:color w:val="000000" w:themeColor="text1"/>
                <w:szCs w:val="21"/>
                <w14:textFill>
                  <w14:solidFill>
                    <w14:schemeClr w14:val="tx1"/>
                  </w14:solidFill>
                </w14:textFill>
              </w:rPr>
            </w:pPr>
          </w:p>
          <w:p w14:paraId="4939BFDB">
            <w:pPr>
              <w:widowControl/>
              <w:jc w:val="left"/>
              <w:rPr>
                <w:color w:val="000000" w:themeColor="text1"/>
                <w:szCs w:val="21"/>
                <w14:textFill>
                  <w14:solidFill>
                    <w14:schemeClr w14:val="tx1"/>
                  </w14:solidFill>
                </w14:textFill>
              </w:rPr>
            </w:pPr>
          </w:p>
          <w:p w14:paraId="63890F90">
            <w:pPr>
              <w:widowControl/>
              <w:jc w:val="left"/>
              <w:rPr>
                <w:color w:val="000000" w:themeColor="text1"/>
                <w:szCs w:val="21"/>
                <w14:textFill>
                  <w14:solidFill>
                    <w14:schemeClr w14:val="tx1"/>
                  </w14:solidFill>
                </w14:textFill>
              </w:rPr>
            </w:pPr>
          </w:p>
          <w:p w14:paraId="1AB8056B">
            <w:pPr>
              <w:widowControl/>
              <w:jc w:val="left"/>
              <w:rPr>
                <w:color w:val="000000" w:themeColor="text1"/>
                <w:szCs w:val="21"/>
                <w14:textFill>
                  <w14:solidFill>
                    <w14:schemeClr w14:val="tx1"/>
                  </w14:solidFill>
                </w14:textFill>
              </w:rPr>
            </w:pPr>
          </w:p>
          <w:p w14:paraId="4E428B97">
            <w:pPr>
              <w:widowControl/>
              <w:jc w:val="left"/>
              <w:rPr>
                <w:color w:val="000000" w:themeColor="text1"/>
                <w:szCs w:val="21"/>
                <w14:textFill>
                  <w14:solidFill>
                    <w14:schemeClr w14:val="tx1"/>
                  </w14:solidFill>
                </w14:textFill>
              </w:rPr>
            </w:pPr>
          </w:p>
          <w:p w14:paraId="0699EA16">
            <w:pPr>
              <w:widowControl/>
              <w:jc w:val="left"/>
              <w:rPr>
                <w:color w:val="000000" w:themeColor="text1"/>
                <w:szCs w:val="21"/>
                <w14:textFill>
                  <w14:solidFill>
                    <w14:schemeClr w14:val="tx1"/>
                  </w14:solidFill>
                </w14:textFill>
              </w:rPr>
            </w:pPr>
          </w:p>
          <w:p w14:paraId="34C81CC3">
            <w:pPr>
              <w:widowControl/>
              <w:jc w:val="left"/>
              <w:rPr>
                <w:color w:val="000000" w:themeColor="text1"/>
                <w:szCs w:val="21"/>
                <w14:textFill>
                  <w14:solidFill>
                    <w14:schemeClr w14:val="tx1"/>
                  </w14:solidFill>
                </w14:textFill>
              </w:rPr>
            </w:pPr>
          </w:p>
          <w:p w14:paraId="1A62F15A">
            <w:pPr>
              <w:widowControl/>
              <w:jc w:val="left"/>
              <w:rPr>
                <w:color w:val="000000" w:themeColor="text1"/>
                <w:szCs w:val="21"/>
                <w14:textFill>
                  <w14:solidFill>
                    <w14:schemeClr w14:val="tx1"/>
                  </w14:solidFill>
                </w14:textFill>
              </w:rPr>
            </w:pPr>
          </w:p>
          <w:p w14:paraId="69DD0C72">
            <w:pPr>
              <w:widowControl/>
              <w:jc w:val="left"/>
              <w:rPr>
                <w:color w:val="000000" w:themeColor="text1"/>
                <w:szCs w:val="21"/>
                <w14:textFill>
                  <w14:solidFill>
                    <w14:schemeClr w14:val="tx1"/>
                  </w14:solidFill>
                </w14:textFill>
              </w:rPr>
            </w:pPr>
          </w:p>
          <w:p w14:paraId="2FA35732">
            <w:pPr>
              <w:widowControl/>
              <w:jc w:val="left"/>
              <w:rPr>
                <w:color w:val="000000" w:themeColor="text1"/>
                <w:szCs w:val="21"/>
                <w14:textFill>
                  <w14:solidFill>
                    <w14:schemeClr w14:val="tx1"/>
                  </w14:solidFill>
                </w14:textFill>
              </w:rPr>
            </w:pPr>
          </w:p>
          <w:p w14:paraId="5988F23F">
            <w:pPr>
              <w:widowControl/>
              <w:jc w:val="left"/>
              <w:rPr>
                <w:color w:val="000000" w:themeColor="text1"/>
                <w:szCs w:val="21"/>
                <w14:textFill>
                  <w14:solidFill>
                    <w14:schemeClr w14:val="tx1"/>
                  </w14:solidFill>
                </w14:textFill>
              </w:rPr>
            </w:pPr>
          </w:p>
          <w:p w14:paraId="3975B253">
            <w:pPr>
              <w:widowControl/>
              <w:jc w:val="left"/>
              <w:rPr>
                <w:color w:val="000000" w:themeColor="text1"/>
                <w:szCs w:val="21"/>
                <w14:textFill>
                  <w14:solidFill>
                    <w14:schemeClr w14:val="tx1"/>
                  </w14:solidFill>
                </w14:textFill>
              </w:rPr>
            </w:pPr>
          </w:p>
          <w:p w14:paraId="03F429FC">
            <w:pPr>
              <w:widowControl/>
              <w:jc w:val="left"/>
              <w:rPr>
                <w:color w:val="000000" w:themeColor="text1"/>
                <w:szCs w:val="21"/>
                <w14:textFill>
                  <w14:solidFill>
                    <w14:schemeClr w14:val="tx1"/>
                  </w14:solidFill>
                </w14:textFill>
              </w:rPr>
            </w:pPr>
          </w:p>
          <w:p w14:paraId="6D2BADAE">
            <w:pPr>
              <w:widowControl/>
              <w:jc w:val="left"/>
              <w:rPr>
                <w:color w:val="000000" w:themeColor="text1"/>
                <w:szCs w:val="21"/>
                <w14:textFill>
                  <w14:solidFill>
                    <w14:schemeClr w14:val="tx1"/>
                  </w14:solidFill>
                </w14:textFill>
              </w:rPr>
            </w:pPr>
          </w:p>
          <w:p w14:paraId="4944E862">
            <w:pPr>
              <w:widowControl/>
              <w:jc w:val="left"/>
              <w:rPr>
                <w:color w:val="000000" w:themeColor="text1"/>
                <w:szCs w:val="21"/>
                <w14:textFill>
                  <w14:solidFill>
                    <w14:schemeClr w14:val="tx1"/>
                  </w14:solidFill>
                </w14:textFill>
              </w:rPr>
            </w:pPr>
          </w:p>
          <w:p w14:paraId="07A31B90">
            <w:pPr>
              <w:widowControl/>
              <w:jc w:val="left"/>
              <w:rPr>
                <w:color w:val="000000" w:themeColor="text1"/>
                <w:szCs w:val="21"/>
                <w14:textFill>
                  <w14:solidFill>
                    <w14:schemeClr w14:val="tx1"/>
                  </w14:solidFill>
                </w14:textFill>
              </w:rPr>
            </w:pPr>
          </w:p>
          <w:p w14:paraId="0378451D">
            <w:pPr>
              <w:widowControl/>
              <w:jc w:val="left"/>
              <w:rPr>
                <w:color w:val="000000" w:themeColor="text1"/>
                <w:szCs w:val="21"/>
                <w14:textFill>
                  <w14:solidFill>
                    <w14:schemeClr w14:val="tx1"/>
                  </w14:solidFill>
                </w14:textFill>
              </w:rPr>
            </w:pPr>
          </w:p>
        </w:tc>
      </w:tr>
    </w:tbl>
    <w:p w14:paraId="077F5F01">
      <w:pPr>
        <w:pStyle w:val="18"/>
        <w:spacing w:before="0" w:beforeAutospacing="0" w:after="0" w:afterAutospacing="0"/>
        <w:jc w:val="center"/>
        <w:outlineLvl w:val="0"/>
        <w:rPr>
          <w:rFonts w:ascii="Times New Roman" w:hAnsi="Times New Roman"/>
          <w:snapToGrid w:val="0"/>
          <w:color w:val="000000" w:themeColor="text1"/>
          <w:sz w:val="36"/>
          <w:szCs w:val="36"/>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bookmarkStart w:id="22" w:name="_Toc14905"/>
      <w:bookmarkStart w:id="23" w:name="_Toc218862110"/>
      <w:r>
        <w:rPr>
          <w:rFonts w:hint="eastAsia" w:ascii="Times New Roman" w:hAnsi="Times New Roman"/>
          <w:snapToGrid w:val="0"/>
          <w:color w:val="000000" w:themeColor="text1"/>
          <w:sz w:val="36"/>
          <w:szCs w:val="36"/>
          <w14:textFill>
            <w14:solidFill>
              <w14:schemeClr w14:val="tx1"/>
            </w14:solidFill>
          </w14:textFill>
        </w:rPr>
        <w:t>六、结论</w:t>
      </w:r>
      <w:bookmarkEnd w:id="22"/>
      <w:bookmarkEnd w:id="23"/>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D3DA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2" w:hRule="atLeast"/>
          <w:jc w:val="center"/>
        </w:trPr>
        <w:tc>
          <w:tcPr>
            <w:tcW w:w="8865" w:type="dxa"/>
          </w:tcPr>
          <w:p w14:paraId="186025A8">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本项目</w:t>
            </w:r>
            <w:r>
              <w:rPr>
                <w:spacing w:val="0"/>
                <w:lang w:eastAsia="zh-CN"/>
              </w:rPr>
              <w:t>在</w:t>
            </w:r>
            <w:r>
              <w:rPr>
                <w:rFonts w:hint="eastAsia"/>
                <w:color w:val="000000" w:themeColor="text1"/>
                <w:spacing w:val="0"/>
                <w:lang w:eastAsia="zh-CN"/>
                <w14:textFill>
                  <w14:solidFill>
                    <w14:schemeClr w14:val="tx1"/>
                  </w14:solidFill>
                </w14:textFill>
              </w:rPr>
              <w:t>云南海潮集团听牧肉牛产业股份有限公司</w:t>
            </w:r>
            <w:r>
              <w:rPr>
                <w:rFonts w:hint="eastAsia"/>
                <w:spacing w:val="0"/>
                <w:lang w:eastAsia="zh-CN"/>
              </w:rPr>
              <w:t>30000头/年</w:t>
            </w:r>
            <w:r>
              <w:rPr>
                <w:spacing w:val="0"/>
                <w:lang w:eastAsia="zh-CN"/>
              </w:rPr>
              <w:t>肉牛屠宰</w:t>
            </w:r>
            <w:r>
              <w:rPr>
                <w:rFonts w:hint="eastAsia"/>
                <w:spacing w:val="0"/>
                <w:lang w:eastAsia="zh-CN"/>
              </w:rPr>
              <w:t>、10000吨/年</w:t>
            </w:r>
            <w:r>
              <w:rPr>
                <w:spacing w:val="0"/>
                <w:lang w:eastAsia="zh-CN"/>
              </w:rPr>
              <w:t>优质</w:t>
            </w:r>
            <w:r>
              <w:rPr>
                <w:rFonts w:hint="eastAsia"/>
                <w:spacing w:val="0"/>
                <w:lang w:eastAsia="zh-CN"/>
              </w:rPr>
              <w:t>牛肉</w:t>
            </w:r>
            <w:r>
              <w:rPr>
                <w:spacing w:val="0"/>
                <w:lang w:eastAsia="zh-CN"/>
              </w:rPr>
              <w:t>精深加工厂区</w:t>
            </w:r>
            <w:r>
              <w:rPr>
                <w:rFonts w:hint="eastAsia"/>
                <w:spacing w:val="0"/>
                <w:lang w:eastAsia="zh-CN"/>
              </w:rPr>
              <w:t>用地范围</w:t>
            </w:r>
            <w:r>
              <w:rPr>
                <w:spacing w:val="0"/>
                <w:lang w:eastAsia="zh-CN"/>
              </w:rPr>
              <w:t>内，</w:t>
            </w:r>
            <w:r>
              <w:rPr>
                <w:rFonts w:hint="eastAsia"/>
                <w:spacing w:val="0"/>
                <w:lang w:eastAsia="zh-CN"/>
              </w:rPr>
              <w:t>依托现有厂房，</w:t>
            </w:r>
            <w:r>
              <w:rPr>
                <w:spacing w:val="0"/>
                <w:lang w:eastAsia="zh-CN"/>
              </w:rPr>
              <w:t>新</w:t>
            </w:r>
            <w:r>
              <w:rPr>
                <w:rFonts w:hint="eastAsia"/>
                <w:spacing w:val="0"/>
                <w:lang w:eastAsia="zh-CN"/>
              </w:rPr>
              <w:t>建</w:t>
            </w:r>
            <w:r>
              <w:rPr>
                <w:spacing w:val="0"/>
                <w:lang w:eastAsia="zh-CN"/>
              </w:rPr>
              <w:t>一条50000只/年</w:t>
            </w:r>
            <w:r>
              <w:rPr>
                <w:color w:val="000000" w:themeColor="text1"/>
                <w:spacing w:val="0"/>
                <w:lang w:eastAsia="zh-CN"/>
                <w14:textFill>
                  <w14:solidFill>
                    <w14:schemeClr w14:val="tx1"/>
                  </w14:solidFill>
                </w14:textFill>
              </w:rPr>
              <w:t>肉羊屠宰加工及配送系统</w:t>
            </w:r>
            <w:r>
              <w:rPr>
                <w:rFonts w:hint="eastAsia"/>
                <w:color w:val="000000" w:themeColor="text1"/>
                <w:spacing w:val="0"/>
                <w:lang w:eastAsia="zh-CN"/>
                <w14:textFill>
                  <w14:solidFill>
                    <w14:schemeClr w14:val="tx1"/>
                  </w14:solidFill>
                </w14:textFill>
              </w:rPr>
              <w:t>生产线，无新增占地。项目建设符合国家产业政策、生态环境分区管控要求，与主体功能区规划、生态环境保护及相关规划相协调，无明显环境制约因素，选址、平面布置环境可行。</w:t>
            </w:r>
          </w:p>
          <w:p w14:paraId="21DC90AE">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项目扩建完成全厂达产后，通过落实本次环评提出的“以新带老”环保措施，生产废水、生活污水实现“</w:t>
            </w:r>
            <w:r>
              <w:rPr>
                <w:rFonts w:hint="eastAsia"/>
                <w:spacing w:val="0"/>
                <w:lang w:eastAsia="zh-CN"/>
              </w:rPr>
              <w:t>浓污分流、分质处理</w:t>
            </w:r>
            <w:r>
              <w:rPr>
                <w:rFonts w:hint="eastAsia"/>
                <w:color w:val="000000" w:themeColor="text1"/>
                <w:spacing w:val="0"/>
                <w:lang w:eastAsia="zh-CN"/>
                <w14:textFill>
                  <w14:solidFill>
                    <w14:schemeClr w14:val="tx1"/>
                  </w14:solidFill>
                </w14:textFill>
              </w:rPr>
              <w:t>”，处理达标后生产废水用于厂区绿化、洒水降尘，不外排。生活污水预处理后接入市政污水管网进入羊街镇污水处理站处理后达标排放，满足</w:t>
            </w:r>
            <w:r>
              <w:rPr>
                <w:rFonts w:hint="eastAsia"/>
                <w:color w:val="000000" w:themeColor="text1"/>
                <w:spacing w:val="0"/>
                <w:kern w:val="0"/>
                <w:szCs w:val="21"/>
                <w:lang w:eastAsia="zh-CN" w:bidi="ar"/>
                <w14:textFill>
                  <w14:solidFill>
                    <w14:schemeClr w14:val="tx1"/>
                  </w14:solidFill>
                </w14:textFill>
              </w:rPr>
              <w:t>《云南省牛栏江保护条例》对水环境的分区管控要求；</w:t>
            </w:r>
            <w:r>
              <w:rPr>
                <w:rFonts w:hint="eastAsia"/>
                <w:color w:val="000000" w:themeColor="text1"/>
                <w:spacing w:val="0"/>
                <w:lang w:eastAsia="zh-CN"/>
                <w14:textFill>
                  <w14:solidFill>
                    <w14:schemeClr w14:val="tx1"/>
                  </w14:solidFill>
                </w14:textFill>
              </w:rPr>
              <w:t>废气、噪声处理后满足达标排放要求，固体废物得到妥善处置。</w:t>
            </w:r>
          </w:p>
          <w:p w14:paraId="25A7236D">
            <w:pPr>
              <w:pStyle w:val="36"/>
              <w:ind w:firstLine="480"/>
              <w:rPr>
                <w:color w:val="000000" w:themeColor="text1"/>
                <w:spacing w:val="0"/>
                <w:lang w:eastAsia="zh-CN"/>
                <w14:textFill>
                  <w14:solidFill>
                    <w14:schemeClr w14:val="tx1"/>
                  </w14:solidFill>
                </w14:textFill>
              </w:rPr>
            </w:pPr>
            <w:r>
              <w:rPr>
                <w:rFonts w:hint="eastAsia"/>
                <w:color w:val="000000" w:themeColor="text1"/>
                <w:spacing w:val="0"/>
                <w:lang w:eastAsia="zh-CN"/>
                <w14:textFill>
                  <w14:solidFill>
                    <w14:schemeClr w14:val="tx1"/>
                  </w14:solidFill>
                </w14:textFill>
              </w:rPr>
              <w:t>综上所述，在加强环境管理，严格落实本次评价提出的各项污染防治、环境风险防范对策措施基础上，项目建设对环境的影响较小，不会改变区域环境质量功能，环境风险可控。从环境保护角度分析，项目建设可行。</w:t>
            </w:r>
          </w:p>
          <w:p w14:paraId="2CADA91E">
            <w:pPr>
              <w:spacing w:line="360" w:lineRule="auto"/>
              <w:rPr>
                <w:rFonts w:cs="宋体"/>
                <w:color w:val="000000" w:themeColor="text1"/>
                <w:sz w:val="24"/>
                <w14:textFill>
                  <w14:solidFill>
                    <w14:schemeClr w14:val="tx1"/>
                  </w14:solidFill>
                </w14:textFill>
              </w:rPr>
            </w:pPr>
          </w:p>
        </w:tc>
      </w:tr>
    </w:tbl>
    <w:p w14:paraId="60CAD9B0">
      <w:pPr>
        <w:rPr>
          <w:color w:val="000000" w:themeColor="text1"/>
          <w14:textFill>
            <w14:solidFill>
              <w14:schemeClr w14:val="tx1"/>
            </w14:solidFill>
          </w14:textFill>
        </w:rPr>
        <w:sectPr>
          <w:headerReference r:id="rId16" w:type="default"/>
          <w:footerReference r:id="rId17" w:type="default"/>
          <w:pgSz w:w="11906" w:h="16838"/>
          <w:pgMar w:top="1701" w:right="1531" w:bottom="1701" w:left="1531" w:header="1474" w:footer="1474" w:gutter="0"/>
          <w:cols w:space="720" w:num="1"/>
          <w:docGrid w:linePitch="312" w:charSpace="0"/>
        </w:sectPr>
      </w:pPr>
    </w:p>
    <w:p w14:paraId="3F51C5F0">
      <w:pPr>
        <w:pStyle w:val="18"/>
        <w:spacing w:before="0" w:beforeAutospacing="0" w:after="0" w:afterAutospacing="0"/>
        <w:rPr>
          <w:rFonts w:ascii="Times New Roman" w:hAnsi="Times New Roman"/>
          <w:b/>
          <w:bCs/>
          <w:snapToGrid w:val="0"/>
          <w:color w:val="000000" w:themeColor="text1"/>
          <w:sz w:val="36"/>
          <w:szCs w:val="36"/>
          <w14:textFill>
            <w14:solidFill>
              <w14:schemeClr w14:val="tx1"/>
            </w14:solidFill>
          </w14:textFill>
        </w:rPr>
      </w:pPr>
      <w:bookmarkStart w:id="24" w:name="_Toc19740"/>
    </w:p>
    <w:p w14:paraId="782522BD">
      <w:pPr>
        <w:pStyle w:val="18"/>
        <w:spacing w:before="0" w:beforeAutospacing="0" w:after="0" w:afterAutospacing="0"/>
        <w:jc w:val="center"/>
        <w:rPr>
          <w:rFonts w:ascii="Times New Roman" w:hAnsi="Times New Roman"/>
          <w:b/>
          <w:bCs/>
          <w:snapToGrid w:val="0"/>
          <w:color w:val="000000" w:themeColor="text1"/>
          <w:sz w:val="36"/>
          <w:szCs w:val="36"/>
          <w:highlight w:val="yellow"/>
          <w14:textFill>
            <w14:solidFill>
              <w14:schemeClr w14:val="tx1"/>
            </w14:solidFill>
          </w14:textFill>
        </w:rPr>
      </w:pPr>
      <w:r>
        <w:rPr>
          <w:rFonts w:hint="eastAsia" w:ascii="Times New Roman" w:hAnsi="Times New Roman"/>
          <w:b/>
          <w:bCs/>
          <w:snapToGrid w:val="0"/>
          <w:color w:val="000000" w:themeColor="text1"/>
          <w:sz w:val="36"/>
          <w:szCs w:val="36"/>
          <w14:textFill>
            <w14:solidFill>
              <w14:schemeClr w14:val="tx1"/>
            </w14:solidFill>
          </w14:textFill>
        </w:rPr>
        <w:t>建设项目污染物排放量汇总表</w:t>
      </w:r>
      <w:bookmarkEnd w:id="24"/>
    </w:p>
    <w:tbl>
      <w:tblPr>
        <w:tblStyle w:val="22"/>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723"/>
        <w:gridCol w:w="1630"/>
        <w:gridCol w:w="1630"/>
        <w:gridCol w:w="1630"/>
        <w:gridCol w:w="1630"/>
        <w:gridCol w:w="1630"/>
        <w:gridCol w:w="1631"/>
        <w:gridCol w:w="1279"/>
      </w:tblGrid>
      <w:tr w14:paraId="0BD9B3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tcBorders>
              <w:tl2br w:val="single" w:color="auto" w:sz="4" w:space="0"/>
            </w:tcBorders>
            <w:tcMar>
              <w:left w:w="28" w:type="dxa"/>
              <w:right w:w="28" w:type="dxa"/>
            </w:tcMar>
            <w:vAlign w:val="center"/>
          </w:tcPr>
          <w:p w14:paraId="43B2B16F">
            <w:pPr>
              <w:pStyle w:val="31"/>
              <w:jc w:val="right"/>
              <w:rPr>
                <w:b/>
                <w:bCs/>
                <w:snapToGrid w:val="0"/>
                <w:color w:val="000000" w:themeColor="text1"/>
                <w:spacing w:val="-6"/>
                <w:kern w:val="21"/>
                <w14:textFill>
                  <w14:solidFill>
                    <w14:schemeClr w14:val="tx1"/>
                  </w14:solidFill>
                </w14:textFill>
              </w:rPr>
            </w:pPr>
            <w:r>
              <w:rPr>
                <w:b/>
                <w:bCs/>
                <w:snapToGrid w:val="0"/>
                <w:color w:val="000000" w:themeColor="text1"/>
                <w:spacing w:val="-6"/>
                <w:kern w:val="21"/>
                <w14:textFill>
                  <w14:solidFill>
                    <w14:schemeClr w14:val="tx1"/>
                  </w14:solidFill>
                </w14:textFill>
              </w:rPr>
              <w:t>项目</w:t>
            </w:r>
          </w:p>
          <w:p w14:paraId="394DC412">
            <w:pPr>
              <w:pStyle w:val="31"/>
              <w:jc w:val="left"/>
              <w:rPr>
                <w:b/>
                <w:bCs/>
                <w:snapToGrid w:val="0"/>
                <w:color w:val="000000" w:themeColor="text1"/>
                <w:spacing w:val="-6"/>
                <w:kern w:val="21"/>
                <w14:textFill>
                  <w14:solidFill>
                    <w14:schemeClr w14:val="tx1"/>
                  </w14:solidFill>
                </w14:textFill>
              </w:rPr>
            </w:pPr>
            <w:r>
              <w:rPr>
                <w:b/>
                <w:bCs/>
                <w:snapToGrid w:val="0"/>
                <w:color w:val="000000" w:themeColor="text1"/>
                <w:spacing w:val="-6"/>
                <w:kern w:val="21"/>
                <w14:textFill>
                  <w14:solidFill>
                    <w14:schemeClr w14:val="tx1"/>
                  </w14:solidFill>
                </w14:textFill>
              </w:rPr>
              <w:t>分类</w:t>
            </w:r>
          </w:p>
        </w:tc>
        <w:tc>
          <w:tcPr>
            <w:tcW w:w="1723" w:type="dxa"/>
            <w:tcMar>
              <w:left w:w="28" w:type="dxa"/>
              <w:right w:w="28" w:type="dxa"/>
            </w:tcMar>
            <w:vAlign w:val="center"/>
          </w:tcPr>
          <w:p w14:paraId="7767AAB9">
            <w:pPr>
              <w:pStyle w:val="31"/>
              <w:rPr>
                <w:b/>
                <w:bCs/>
                <w:snapToGrid w:val="0"/>
                <w:color w:val="000000" w:themeColor="text1"/>
                <w:spacing w:val="-6"/>
                <w:kern w:val="21"/>
                <w14:textFill>
                  <w14:solidFill>
                    <w14:schemeClr w14:val="tx1"/>
                  </w14:solidFill>
                </w14:textFill>
              </w:rPr>
            </w:pPr>
            <w:r>
              <w:rPr>
                <w:b/>
                <w:bCs/>
                <w:snapToGrid w:val="0"/>
                <w:color w:val="000000" w:themeColor="text1"/>
                <w:spacing w:val="-6"/>
                <w:kern w:val="21"/>
                <w14:textFill>
                  <w14:solidFill>
                    <w14:schemeClr w14:val="tx1"/>
                  </w14:solidFill>
                </w14:textFill>
              </w:rPr>
              <w:t>污染物名称</w:t>
            </w:r>
          </w:p>
        </w:tc>
        <w:tc>
          <w:tcPr>
            <w:tcW w:w="1630" w:type="dxa"/>
            <w:tcMar>
              <w:left w:w="28" w:type="dxa"/>
              <w:right w:w="28" w:type="dxa"/>
            </w:tcMar>
            <w:vAlign w:val="center"/>
          </w:tcPr>
          <w:p w14:paraId="5EC62AA0">
            <w:pPr>
              <w:pStyle w:val="31"/>
              <w:rPr>
                <w:b/>
                <w:bCs/>
                <w:snapToGrid w:val="0"/>
                <w:color w:val="000000" w:themeColor="text1"/>
                <w:spacing w:val="-6"/>
                <w:kern w:val="21"/>
                <w14:textFill>
                  <w14:solidFill>
                    <w14:schemeClr w14:val="tx1"/>
                  </w14:solidFill>
                </w14:textFill>
              </w:rPr>
            </w:pPr>
            <w:r>
              <w:rPr>
                <w:b/>
                <w:bCs/>
                <w:snapToGrid w:val="0"/>
                <w:color w:val="000000" w:themeColor="text1"/>
                <w:spacing w:val="-6"/>
                <w:kern w:val="21"/>
                <w14:textFill>
                  <w14:solidFill>
                    <w14:schemeClr w14:val="tx1"/>
                  </w14:solidFill>
                </w14:textFill>
              </w:rPr>
              <w:t>现有工程排放量</w:t>
            </w:r>
          </w:p>
          <w:p w14:paraId="5F0D6049">
            <w:pPr>
              <w:pStyle w:val="31"/>
              <w:rPr>
                <w:b/>
                <w:bCs/>
                <w:snapToGrid w:val="0"/>
                <w:color w:val="000000" w:themeColor="text1"/>
                <w:spacing w:val="-6"/>
                <w:kern w:val="21"/>
                <w14:textFill>
                  <w14:solidFill>
                    <w14:schemeClr w14:val="tx1"/>
                  </w14:solidFill>
                </w14:textFill>
              </w:rPr>
            </w:pPr>
            <w:r>
              <w:rPr>
                <w:b/>
                <w:bCs/>
                <w:snapToGrid w:val="0"/>
                <w:color w:val="000000" w:themeColor="text1"/>
                <w:spacing w:val="-6"/>
                <w:kern w:val="21"/>
                <w14:textFill>
                  <w14:solidFill>
                    <w14:schemeClr w14:val="tx1"/>
                  </w14:solidFill>
                </w14:textFill>
              </w:rPr>
              <w:t>（固体废物产生量）</w:t>
            </w:r>
            <w:r>
              <w:rPr>
                <w:rFonts w:ascii="Cambria Math" w:hAnsi="Cambria Math" w:cs="Cambria Math"/>
                <w:b/>
                <w:bCs/>
                <w:snapToGrid w:val="0"/>
                <w:color w:val="000000" w:themeColor="text1"/>
                <w:spacing w:val="-6"/>
                <w:kern w:val="21"/>
                <w14:textFill>
                  <w14:solidFill>
                    <w14:schemeClr w14:val="tx1"/>
                  </w14:solidFill>
                </w14:textFill>
              </w:rPr>
              <w:t>①</w:t>
            </w:r>
          </w:p>
        </w:tc>
        <w:tc>
          <w:tcPr>
            <w:tcW w:w="1630" w:type="dxa"/>
            <w:tcMar>
              <w:left w:w="28" w:type="dxa"/>
              <w:right w:w="28" w:type="dxa"/>
            </w:tcMar>
            <w:vAlign w:val="center"/>
          </w:tcPr>
          <w:p w14:paraId="1F33ABB6">
            <w:pPr>
              <w:pStyle w:val="31"/>
              <w:rPr>
                <w:b/>
                <w:bCs/>
                <w:snapToGrid w:val="0"/>
                <w:color w:val="000000" w:themeColor="text1"/>
                <w:spacing w:val="-6"/>
                <w:kern w:val="21"/>
                <w14:textFill>
                  <w14:solidFill>
                    <w14:schemeClr w14:val="tx1"/>
                  </w14:solidFill>
                </w14:textFill>
              </w:rPr>
            </w:pPr>
            <w:r>
              <w:rPr>
                <w:b/>
                <w:bCs/>
                <w:snapToGrid w:val="0"/>
                <w:color w:val="000000" w:themeColor="text1"/>
                <w:spacing w:val="-6"/>
                <w:kern w:val="21"/>
                <w14:textFill>
                  <w14:solidFill>
                    <w14:schemeClr w14:val="tx1"/>
                  </w14:solidFill>
                </w14:textFill>
              </w:rPr>
              <w:t>现有工程许可排放量</w:t>
            </w:r>
            <w:r>
              <w:rPr>
                <w:rFonts w:ascii="Cambria Math" w:hAnsi="Cambria Math" w:cs="Cambria Math"/>
                <w:b/>
                <w:bCs/>
                <w:snapToGrid w:val="0"/>
                <w:color w:val="000000" w:themeColor="text1"/>
                <w:spacing w:val="-6"/>
                <w:kern w:val="21"/>
                <w14:textFill>
                  <w14:solidFill>
                    <w14:schemeClr w14:val="tx1"/>
                  </w14:solidFill>
                </w14:textFill>
              </w:rPr>
              <w:t>②</w:t>
            </w:r>
          </w:p>
        </w:tc>
        <w:tc>
          <w:tcPr>
            <w:tcW w:w="1630" w:type="dxa"/>
            <w:tcMar>
              <w:left w:w="28" w:type="dxa"/>
              <w:right w:w="28" w:type="dxa"/>
            </w:tcMar>
            <w:vAlign w:val="center"/>
          </w:tcPr>
          <w:p w14:paraId="10421333">
            <w:pPr>
              <w:pStyle w:val="31"/>
              <w:rPr>
                <w:b/>
                <w:bCs/>
                <w:snapToGrid w:val="0"/>
                <w:color w:val="000000" w:themeColor="text1"/>
                <w:spacing w:val="-6"/>
                <w:kern w:val="21"/>
                <w14:textFill>
                  <w14:solidFill>
                    <w14:schemeClr w14:val="tx1"/>
                  </w14:solidFill>
                </w14:textFill>
              </w:rPr>
            </w:pPr>
            <w:r>
              <w:rPr>
                <w:b/>
                <w:bCs/>
                <w:snapToGrid w:val="0"/>
                <w:color w:val="000000" w:themeColor="text1"/>
                <w:spacing w:val="-6"/>
                <w:kern w:val="21"/>
                <w14:textFill>
                  <w14:solidFill>
                    <w14:schemeClr w14:val="tx1"/>
                  </w14:solidFill>
                </w14:textFill>
              </w:rPr>
              <w:t>在建工程排放量</w:t>
            </w:r>
          </w:p>
          <w:p w14:paraId="1C4F1AC5">
            <w:pPr>
              <w:pStyle w:val="31"/>
              <w:rPr>
                <w:b/>
                <w:bCs/>
                <w:snapToGrid w:val="0"/>
                <w:color w:val="000000" w:themeColor="text1"/>
                <w:spacing w:val="-6"/>
                <w:kern w:val="21"/>
                <w14:textFill>
                  <w14:solidFill>
                    <w14:schemeClr w14:val="tx1"/>
                  </w14:solidFill>
                </w14:textFill>
              </w:rPr>
            </w:pPr>
            <w:r>
              <w:rPr>
                <w:b/>
                <w:bCs/>
                <w:snapToGrid w:val="0"/>
                <w:color w:val="000000" w:themeColor="text1"/>
                <w:spacing w:val="-6"/>
                <w:kern w:val="21"/>
                <w14:textFill>
                  <w14:solidFill>
                    <w14:schemeClr w14:val="tx1"/>
                  </w14:solidFill>
                </w14:textFill>
              </w:rPr>
              <w:t>（固体废物产生量）</w:t>
            </w:r>
            <w:r>
              <w:rPr>
                <w:rFonts w:ascii="Cambria Math" w:hAnsi="Cambria Math" w:cs="Cambria Math"/>
                <w:b/>
                <w:bCs/>
                <w:snapToGrid w:val="0"/>
                <w:color w:val="000000" w:themeColor="text1"/>
                <w:spacing w:val="-6"/>
                <w:kern w:val="21"/>
                <w14:textFill>
                  <w14:solidFill>
                    <w14:schemeClr w14:val="tx1"/>
                  </w14:solidFill>
                </w14:textFill>
              </w:rPr>
              <w:t>③</w:t>
            </w:r>
          </w:p>
        </w:tc>
        <w:tc>
          <w:tcPr>
            <w:tcW w:w="1630" w:type="dxa"/>
            <w:tcMar>
              <w:left w:w="28" w:type="dxa"/>
              <w:right w:w="28" w:type="dxa"/>
            </w:tcMar>
            <w:vAlign w:val="center"/>
          </w:tcPr>
          <w:p w14:paraId="59EE379D">
            <w:pPr>
              <w:pStyle w:val="31"/>
              <w:rPr>
                <w:b/>
                <w:bCs/>
                <w:snapToGrid w:val="0"/>
                <w:color w:val="000000" w:themeColor="text1"/>
                <w:spacing w:val="-6"/>
                <w:kern w:val="21"/>
                <w14:textFill>
                  <w14:solidFill>
                    <w14:schemeClr w14:val="tx1"/>
                  </w14:solidFill>
                </w14:textFill>
              </w:rPr>
            </w:pPr>
            <w:r>
              <w:rPr>
                <w:b/>
                <w:bCs/>
                <w:snapToGrid w:val="0"/>
                <w:color w:val="000000" w:themeColor="text1"/>
                <w:spacing w:val="-6"/>
                <w:kern w:val="21"/>
                <w14:textFill>
                  <w14:solidFill>
                    <w14:schemeClr w14:val="tx1"/>
                  </w14:solidFill>
                </w14:textFill>
              </w:rPr>
              <w:t>本项目排放量</w:t>
            </w:r>
          </w:p>
          <w:p w14:paraId="21C2AD24">
            <w:pPr>
              <w:pStyle w:val="31"/>
              <w:rPr>
                <w:b/>
                <w:bCs/>
                <w:snapToGrid w:val="0"/>
                <w:color w:val="000000" w:themeColor="text1"/>
                <w:spacing w:val="-6"/>
                <w:kern w:val="21"/>
                <w14:textFill>
                  <w14:solidFill>
                    <w14:schemeClr w14:val="tx1"/>
                  </w14:solidFill>
                </w14:textFill>
              </w:rPr>
            </w:pPr>
            <w:r>
              <w:rPr>
                <w:b/>
                <w:bCs/>
                <w:snapToGrid w:val="0"/>
                <w:color w:val="000000" w:themeColor="text1"/>
                <w:spacing w:val="-6"/>
                <w:kern w:val="21"/>
                <w14:textFill>
                  <w14:solidFill>
                    <w14:schemeClr w14:val="tx1"/>
                  </w14:solidFill>
                </w14:textFill>
              </w:rPr>
              <w:t>（固体废物产生量）</w:t>
            </w:r>
            <w:r>
              <w:rPr>
                <w:rFonts w:ascii="Cambria Math" w:hAnsi="Cambria Math" w:cs="Cambria Math"/>
                <w:b/>
                <w:bCs/>
                <w:snapToGrid w:val="0"/>
                <w:color w:val="000000" w:themeColor="text1"/>
                <w:spacing w:val="-6"/>
                <w:kern w:val="21"/>
                <w14:textFill>
                  <w14:solidFill>
                    <w14:schemeClr w14:val="tx1"/>
                  </w14:solidFill>
                </w14:textFill>
              </w:rPr>
              <w:t>④</w:t>
            </w:r>
          </w:p>
        </w:tc>
        <w:tc>
          <w:tcPr>
            <w:tcW w:w="1630" w:type="dxa"/>
            <w:tcMar>
              <w:left w:w="28" w:type="dxa"/>
              <w:right w:w="28" w:type="dxa"/>
            </w:tcMar>
            <w:vAlign w:val="center"/>
          </w:tcPr>
          <w:p w14:paraId="4479130C">
            <w:pPr>
              <w:pStyle w:val="31"/>
              <w:rPr>
                <w:b/>
                <w:bCs/>
                <w:snapToGrid w:val="0"/>
                <w:color w:val="000000" w:themeColor="text1"/>
                <w:spacing w:val="-16"/>
                <w:kern w:val="21"/>
                <w14:textFill>
                  <w14:solidFill>
                    <w14:schemeClr w14:val="tx1"/>
                  </w14:solidFill>
                </w14:textFill>
              </w:rPr>
            </w:pPr>
            <w:r>
              <w:rPr>
                <w:b/>
                <w:bCs/>
                <w:snapToGrid w:val="0"/>
                <w:color w:val="000000" w:themeColor="text1"/>
                <w:spacing w:val="-16"/>
                <w:kern w:val="21"/>
                <w14:textFill>
                  <w14:solidFill>
                    <w14:schemeClr w14:val="tx1"/>
                  </w14:solidFill>
                </w14:textFill>
              </w:rPr>
              <w:t>以新带老削减量（新建项目不填）</w:t>
            </w:r>
            <w:r>
              <w:rPr>
                <w:rFonts w:ascii="Cambria Math" w:hAnsi="Cambria Math" w:cs="Cambria Math"/>
                <w:b/>
                <w:bCs/>
                <w:snapToGrid w:val="0"/>
                <w:color w:val="000000" w:themeColor="text1"/>
                <w:spacing w:val="-16"/>
                <w:kern w:val="21"/>
                <w14:textFill>
                  <w14:solidFill>
                    <w14:schemeClr w14:val="tx1"/>
                  </w14:solidFill>
                </w14:textFill>
              </w:rPr>
              <w:t>⑤</w:t>
            </w:r>
          </w:p>
        </w:tc>
        <w:tc>
          <w:tcPr>
            <w:tcW w:w="1631" w:type="dxa"/>
            <w:tcMar>
              <w:left w:w="28" w:type="dxa"/>
              <w:right w:w="28" w:type="dxa"/>
            </w:tcMar>
            <w:vAlign w:val="center"/>
          </w:tcPr>
          <w:p w14:paraId="6F04F07D">
            <w:pPr>
              <w:pStyle w:val="31"/>
              <w:rPr>
                <w:b/>
                <w:bCs/>
                <w:snapToGrid w:val="0"/>
                <w:color w:val="000000" w:themeColor="text1"/>
                <w:spacing w:val="-16"/>
                <w:kern w:val="21"/>
                <w14:textFill>
                  <w14:solidFill>
                    <w14:schemeClr w14:val="tx1"/>
                  </w14:solidFill>
                </w14:textFill>
              </w:rPr>
            </w:pPr>
            <w:r>
              <w:rPr>
                <w:b/>
                <w:bCs/>
                <w:snapToGrid w:val="0"/>
                <w:color w:val="000000" w:themeColor="text1"/>
                <w:spacing w:val="-16"/>
                <w:kern w:val="21"/>
                <w14:textFill>
                  <w14:solidFill>
                    <w14:schemeClr w14:val="tx1"/>
                  </w14:solidFill>
                </w14:textFill>
              </w:rPr>
              <w:t>本项目建成后全厂排放量（固体废物产生量）</w:t>
            </w:r>
            <w:r>
              <w:rPr>
                <w:rFonts w:ascii="Cambria Math" w:hAnsi="Cambria Math" w:cs="Cambria Math"/>
                <w:b/>
                <w:bCs/>
                <w:snapToGrid w:val="0"/>
                <w:color w:val="000000" w:themeColor="text1"/>
                <w:spacing w:val="-16"/>
                <w:kern w:val="21"/>
                <w14:textFill>
                  <w14:solidFill>
                    <w14:schemeClr w14:val="tx1"/>
                  </w14:solidFill>
                </w14:textFill>
              </w:rPr>
              <w:t>⑥</w:t>
            </w:r>
          </w:p>
        </w:tc>
        <w:tc>
          <w:tcPr>
            <w:tcW w:w="1279" w:type="dxa"/>
            <w:tcMar>
              <w:left w:w="28" w:type="dxa"/>
              <w:right w:w="28" w:type="dxa"/>
            </w:tcMar>
            <w:vAlign w:val="center"/>
          </w:tcPr>
          <w:p w14:paraId="2B8AEE03">
            <w:pPr>
              <w:pStyle w:val="31"/>
              <w:rPr>
                <w:b/>
                <w:bCs/>
                <w:snapToGrid w:val="0"/>
                <w:color w:val="000000" w:themeColor="text1"/>
                <w:spacing w:val="-6"/>
                <w:kern w:val="21"/>
                <w14:textFill>
                  <w14:solidFill>
                    <w14:schemeClr w14:val="tx1"/>
                  </w14:solidFill>
                </w14:textFill>
              </w:rPr>
            </w:pPr>
            <w:r>
              <w:rPr>
                <w:b/>
                <w:bCs/>
                <w:snapToGrid w:val="0"/>
                <w:color w:val="000000" w:themeColor="text1"/>
                <w:spacing w:val="-6"/>
                <w:kern w:val="21"/>
                <w14:textFill>
                  <w14:solidFill>
                    <w14:schemeClr w14:val="tx1"/>
                  </w14:solidFill>
                </w14:textFill>
              </w:rPr>
              <w:t>变化量</w:t>
            </w:r>
            <w:r>
              <w:rPr>
                <w:rFonts w:ascii="Cambria Math" w:hAnsi="Cambria Math" w:cs="Cambria Math"/>
                <w:b/>
                <w:bCs/>
                <w:snapToGrid w:val="0"/>
                <w:color w:val="000000" w:themeColor="text1"/>
                <w:spacing w:val="-6"/>
                <w:kern w:val="21"/>
                <w14:textFill>
                  <w14:solidFill>
                    <w14:schemeClr w14:val="tx1"/>
                  </w14:solidFill>
                </w14:textFill>
              </w:rPr>
              <w:t>⑦</w:t>
            </w:r>
          </w:p>
        </w:tc>
      </w:tr>
      <w:tr w14:paraId="79427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05" w:type="dxa"/>
            <w:vMerge w:val="restart"/>
            <w:vAlign w:val="center"/>
          </w:tcPr>
          <w:p w14:paraId="39CD9084">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废气</w:t>
            </w:r>
          </w:p>
        </w:tc>
        <w:tc>
          <w:tcPr>
            <w:tcW w:w="1723" w:type="dxa"/>
            <w:vAlign w:val="center"/>
          </w:tcPr>
          <w:p w14:paraId="1E2DEE0C">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NH</w:t>
            </w:r>
            <w:r>
              <w:rPr>
                <w:snapToGrid w:val="0"/>
                <w:color w:val="000000" w:themeColor="text1"/>
                <w:kern w:val="21"/>
                <w:vertAlign w:val="subscript"/>
                <w14:textFill>
                  <w14:solidFill>
                    <w14:schemeClr w14:val="tx1"/>
                  </w14:solidFill>
                </w14:textFill>
              </w:rPr>
              <w:t>3</w:t>
            </w:r>
            <w:r>
              <w:rPr>
                <w:snapToGrid w:val="0"/>
                <w:color w:val="000000" w:themeColor="text1"/>
                <w:kern w:val="21"/>
                <w14:textFill>
                  <w14:solidFill>
                    <w14:schemeClr w14:val="tx1"/>
                  </w14:solidFill>
                </w14:textFill>
              </w:rPr>
              <w:t>（无组织）</w:t>
            </w:r>
          </w:p>
        </w:tc>
        <w:tc>
          <w:tcPr>
            <w:tcW w:w="1630" w:type="dxa"/>
            <w:vAlign w:val="center"/>
          </w:tcPr>
          <w:p w14:paraId="471E95BA">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0.602</w:t>
            </w:r>
            <w:r>
              <w:rPr>
                <w:snapToGrid w:val="0"/>
                <w:color w:val="000000" w:themeColor="text1"/>
                <w:kern w:val="21"/>
                <w14:textFill>
                  <w14:solidFill>
                    <w14:schemeClr w14:val="tx1"/>
                  </w14:solidFill>
                </w14:textFill>
              </w:rPr>
              <w:t>t/a</w:t>
            </w:r>
          </w:p>
        </w:tc>
        <w:tc>
          <w:tcPr>
            <w:tcW w:w="1630" w:type="dxa"/>
            <w:vAlign w:val="center"/>
          </w:tcPr>
          <w:p w14:paraId="7B62E26C">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1B9551FB">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4B30ED38">
            <w:pPr>
              <w:widowControl/>
              <w:jc w:val="center"/>
              <w:textAlignment w:val="center"/>
              <w:rPr>
                <w:color w:val="000000"/>
                <w:kern w:val="0"/>
                <w:szCs w:val="21"/>
                <w:lang w:bidi="ar"/>
              </w:rPr>
            </w:pPr>
            <w:r>
              <w:rPr>
                <w:rFonts w:hint="eastAsia"/>
                <w:snapToGrid w:val="0"/>
                <w:color w:val="000000" w:themeColor="text1"/>
                <w:kern w:val="21"/>
                <w:szCs w:val="21"/>
                <w14:textFill>
                  <w14:solidFill>
                    <w14:schemeClr w14:val="tx1"/>
                  </w14:solidFill>
                </w14:textFill>
              </w:rPr>
              <w:t>0.507</w:t>
            </w:r>
            <w:r>
              <w:rPr>
                <w:snapToGrid w:val="0"/>
                <w:color w:val="000000" w:themeColor="text1"/>
                <w:kern w:val="21"/>
                <w:szCs w:val="21"/>
                <w14:textFill>
                  <w14:solidFill>
                    <w14:schemeClr w14:val="tx1"/>
                  </w14:solidFill>
                </w14:textFill>
              </w:rPr>
              <w:t>t/a</w:t>
            </w:r>
          </w:p>
        </w:tc>
        <w:tc>
          <w:tcPr>
            <w:tcW w:w="1630" w:type="dxa"/>
            <w:vAlign w:val="center"/>
          </w:tcPr>
          <w:p w14:paraId="2F094BCC">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0.9981</w:t>
            </w:r>
            <w:r>
              <w:rPr>
                <w:snapToGrid w:val="0"/>
                <w:color w:val="000000" w:themeColor="text1"/>
                <w:kern w:val="21"/>
                <w14:textFill>
                  <w14:solidFill>
                    <w14:schemeClr w14:val="tx1"/>
                  </w14:solidFill>
                </w14:textFill>
              </w:rPr>
              <w:t>t/a</w:t>
            </w:r>
          </w:p>
        </w:tc>
        <w:tc>
          <w:tcPr>
            <w:tcW w:w="1631" w:type="dxa"/>
            <w:vAlign w:val="center"/>
          </w:tcPr>
          <w:p w14:paraId="26C9D466">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0.1109</w:t>
            </w:r>
            <w:r>
              <w:rPr>
                <w:snapToGrid w:val="0"/>
                <w:color w:val="000000" w:themeColor="text1"/>
                <w:kern w:val="21"/>
                <w:szCs w:val="21"/>
                <w14:textFill>
                  <w14:solidFill>
                    <w14:schemeClr w14:val="tx1"/>
                  </w14:solidFill>
                </w14:textFill>
              </w:rPr>
              <w:t>t/a</w:t>
            </w:r>
          </w:p>
        </w:tc>
        <w:tc>
          <w:tcPr>
            <w:tcW w:w="1279" w:type="dxa"/>
            <w:vAlign w:val="center"/>
          </w:tcPr>
          <w:p w14:paraId="3EE884FB">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-0.4911</w:t>
            </w:r>
            <w:r>
              <w:rPr>
                <w:snapToGrid w:val="0"/>
                <w:color w:val="000000" w:themeColor="text1"/>
                <w:kern w:val="21"/>
                <w:szCs w:val="21"/>
                <w14:textFill>
                  <w14:solidFill>
                    <w14:schemeClr w14:val="tx1"/>
                  </w14:solidFill>
                </w14:textFill>
              </w:rPr>
              <w:t>t/a</w:t>
            </w:r>
          </w:p>
        </w:tc>
      </w:tr>
      <w:tr w14:paraId="471A9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05" w:type="dxa"/>
            <w:vMerge w:val="continue"/>
            <w:vAlign w:val="center"/>
          </w:tcPr>
          <w:p w14:paraId="05ABA45D">
            <w:pPr>
              <w:pStyle w:val="31"/>
              <w:rPr>
                <w:snapToGrid w:val="0"/>
                <w:color w:val="000000" w:themeColor="text1"/>
                <w:kern w:val="21"/>
                <w14:textFill>
                  <w14:solidFill>
                    <w14:schemeClr w14:val="tx1"/>
                  </w14:solidFill>
                </w14:textFill>
              </w:rPr>
            </w:pPr>
          </w:p>
        </w:tc>
        <w:tc>
          <w:tcPr>
            <w:tcW w:w="1723" w:type="dxa"/>
            <w:vAlign w:val="center"/>
          </w:tcPr>
          <w:p w14:paraId="24CD2907">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H</w:t>
            </w:r>
            <w:r>
              <w:rPr>
                <w:snapToGrid w:val="0"/>
                <w:color w:val="000000" w:themeColor="text1"/>
                <w:kern w:val="21"/>
                <w:vertAlign w:val="subscript"/>
                <w14:textFill>
                  <w14:solidFill>
                    <w14:schemeClr w14:val="tx1"/>
                  </w14:solidFill>
                </w14:textFill>
              </w:rPr>
              <w:t>2</w:t>
            </w:r>
            <w:r>
              <w:rPr>
                <w:snapToGrid w:val="0"/>
                <w:color w:val="000000" w:themeColor="text1"/>
                <w:kern w:val="21"/>
                <w14:textFill>
                  <w14:solidFill>
                    <w14:schemeClr w14:val="tx1"/>
                  </w14:solidFill>
                </w14:textFill>
              </w:rPr>
              <w:t>S（无组织）</w:t>
            </w:r>
          </w:p>
        </w:tc>
        <w:tc>
          <w:tcPr>
            <w:tcW w:w="1630" w:type="dxa"/>
            <w:vAlign w:val="center"/>
          </w:tcPr>
          <w:p w14:paraId="6DABAF95">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0.035</w:t>
            </w:r>
            <w:r>
              <w:rPr>
                <w:snapToGrid w:val="0"/>
                <w:color w:val="000000" w:themeColor="text1"/>
                <w:kern w:val="21"/>
                <w14:textFill>
                  <w14:solidFill>
                    <w14:schemeClr w14:val="tx1"/>
                  </w14:solidFill>
                </w14:textFill>
              </w:rPr>
              <w:t>t/a</w:t>
            </w:r>
          </w:p>
        </w:tc>
        <w:tc>
          <w:tcPr>
            <w:tcW w:w="1630" w:type="dxa"/>
            <w:vAlign w:val="center"/>
          </w:tcPr>
          <w:p w14:paraId="6E7BD040">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1EF12176">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239D693C">
            <w:pPr>
              <w:widowControl/>
              <w:jc w:val="center"/>
              <w:textAlignment w:val="center"/>
              <w:rPr>
                <w:color w:val="000000"/>
                <w:kern w:val="0"/>
                <w:szCs w:val="21"/>
                <w:lang w:bidi="ar"/>
              </w:rPr>
            </w:pPr>
            <w:r>
              <w:rPr>
                <w:rFonts w:hint="eastAsia"/>
                <w:snapToGrid w:val="0"/>
                <w:color w:val="000000" w:themeColor="text1"/>
                <w:kern w:val="21"/>
                <w:szCs w:val="21"/>
                <w14:textFill>
                  <w14:solidFill>
                    <w14:schemeClr w14:val="tx1"/>
                  </w14:solidFill>
                </w14:textFill>
              </w:rPr>
              <w:t>0.0313</w:t>
            </w:r>
            <w:r>
              <w:rPr>
                <w:snapToGrid w:val="0"/>
                <w:color w:val="000000" w:themeColor="text1"/>
                <w:kern w:val="21"/>
                <w:szCs w:val="21"/>
                <w14:textFill>
                  <w14:solidFill>
                    <w14:schemeClr w14:val="tx1"/>
                  </w14:solidFill>
                </w14:textFill>
              </w:rPr>
              <w:t>t/a</w:t>
            </w:r>
          </w:p>
        </w:tc>
        <w:tc>
          <w:tcPr>
            <w:tcW w:w="1630" w:type="dxa"/>
            <w:vAlign w:val="center"/>
          </w:tcPr>
          <w:p w14:paraId="68DAF391">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r>
              <w:rPr>
                <w:rFonts w:hint="eastAsia"/>
                <w:snapToGrid w:val="0"/>
                <w:color w:val="000000" w:themeColor="text1"/>
                <w:kern w:val="21"/>
                <w14:textFill>
                  <w14:solidFill>
                    <w14:schemeClr w14:val="tx1"/>
                  </w14:solidFill>
                </w14:textFill>
              </w:rPr>
              <w:t>.05967</w:t>
            </w:r>
            <w:r>
              <w:rPr>
                <w:snapToGrid w:val="0"/>
                <w:color w:val="000000" w:themeColor="text1"/>
                <w:kern w:val="21"/>
                <w14:textFill>
                  <w14:solidFill>
                    <w14:schemeClr w14:val="tx1"/>
                  </w14:solidFill>
                </w14:textFill>
              </w:rPr>
              <w:t>t/a</w:t>
            </w:r>
          </w:p>
        </w:tc>
        <w:tc>
          <w:tcPr>
            <w:tcW w:w="1631" w:type="dxa"/>
            <w:vAlign w:val="center"/>
          </w:tcPr>
          <w:p w14:paraId="32BEFA89">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0.00663</w:t>
            </w:r>
            <w:r>
              <w:rPr>
                <w:snapToGrid w:val="0"/>
                <w:color w:val="000000" w:themeColor="text1"/>
                <w:kern w:val="21"/>
                <w:szCs w:val="21"/>
                <w14:textFill>
                  <w14:solidFill>
                    <w14:schemeClr w14:val="tx1"/>
                  </w14:solidFill>
                </w14:textFill>
              </w:rPr>
              <w:t>t/a</w:t>
            </w:r>
          </w:p>
        </w:tc>
        <w:tc>
          <w:tcPr>
            <w:tcW w:w="1279" w:type="dxa"/>
            <w:vAlign w:val="center"/>
          </w:tcPr>
          <w:p w14:paraId="639E3315">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-0.02837</w:t>
            </w:r>
            <w:r>
              <w:rPr>
                <w:snapToGrid w:val="0"/>
                <w:color w:val="000000" w:themeColor="text1"/>
                <w:kern w:val="21"/>
                <w:szCs w:val="21"/>
                <w14:textFill>
                  <w14:solidFill>
                    <w14:schemeClr w14:val="tx1"/>
                  </w14:solidFill>
                </w14:textFill>
              </w:rPr>
              <w:t>t/a</w:t>
            </w:r>
          </w:p>
        </w:tc>
      </w:tr>
      <w:tr w14:paraId="44C6A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05" w:type="dxa"/>
            <w:vMerge w:val="continue"/>
            <w:vAlign w:val="center"/>
          </w:tcPr>
          <w:p w14:paraId="2C11D328">
            <w:pPr>
              <w:pStyle w:val="31"/>
              <w:rPr>
                <w:snapToGrid w:val="0"/>
                <w:color w:val="000000" w:themeColor="text1"/>
                <w:kern w:val="21"/>
                <w14:textFill>
                  <w14:solidFill>
                    <w14:schemeClr w14:val="tx1"/>
                  </w14:solidFill>
                </w14:textFill>
              </w:rPr>
            </w:pPr>
          </w:p>
        </w:tc>
        <w:tc>
          <w:tcPr>
            <w:tcW w:w="1723" w:type="dxa"/>
            <w:vAlign w:val="center"/>
          </w:tcPr>
          <w:p w14:paraId="42DE60E0">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油烟（有组织）</w:t>
            </w:r>
          </w:p>
        </w:tc>
        <w:tc>
          <w:tcPr>
            <w:tcW w:w="1630" w:type="dxa"/>
            <w:vAlign w:val="center"/>
          </w:tcPr>
          <w:p w14:paraId="683745D1">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0.0045</w:t>
            </w:r>
            <w:r>
              <w:rPr>
                <w:snapToGrid w:val="0"/>
                <w:color w:val="000000" w:themeColor="text1"/>
                <w:kern w:val="21"/>
                <w14:textFill>
                  <w14:solidFill>
                    <w14:schemeClr w14:val="tx1"/>
                  </w14:solidFill>
                </w14:textFill>
              </w:rPr>
              <w:t>t/a</w:t>
            </w:r>
          </w:p>
        </w:tc>
        <w:tc>
          <w:tcPr>
            <w:tcW w:w="1630" w:type="dxa"/>
            <w:vAlign w:val="center"/>
          </w:tcPr>
          <w:p w14:paraId="2B7E57F7">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29016DEE">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36E31D13">
            <w:pPr>
              <w:widowControl/>
              <w:jc w:val="center"/>
              <w:textAlignment w:val="center"/>
              <w:rPr>
                <w:color w:val="000000"/>
                <w:kern w:val="0"/>
                <w:szCs w:val="21"/>
                <w:lang w:bidi="ar"/>
              </w:rPr>
            </w:pPr>
            <w:r>
              <w:rPr>
                <w:rFonts w:hint="eastAsia"/>
                <w:color w:val="000000"/>
                <w:kern w:val="0"/>
                <w:szCs w:val="21"/>
                <w:lang w:bidi="ar"/>
              </w:rPr>
              <w:t>0</w:t>
            </w:r>
          </w:p>
        </w:tc>
        <w:tc>
          <w:tcPr>
            <w:tcW w:w="1630" w:type="dxa"/>
            <w:vAlign w:val="center"/>
          </w:tcPr>
          <w:p w14:paraId="41DF4508">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w:t>
            </w:r>
          </w:p>
        </w:tc>
        <w:tc>
          <w:tcPr>
            <w:tcW w:w="1631" w:type="dxa"/>
            <w:vAlign w:val="center"/>
          </w:tcPr>
          <w:p w14:paraId="2D6829A9">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0.0045</w:t>
            </w:r>
            <w:r>
              <w:rPr>
                <w:snapToGrid w:val="0"/>
                <w:color w:val="000000" w:themeColor="text1"/>
                <w:kern w:val="21"/>
                <w:szCs w:val="21"/>
                <w14:textFill>
                  <w14:solidFill>
                    <w14:schemeClr w14:val="tx1"/>
                  </w14:solidFill>
                </w14:textFill>
              </w:rPr>
              <w:t>t/a</w:t>
            </w:r>
          </w:p>
        </w:tc>
        <w:tc>
          <w:tcPr>
            <w:tcW w:w="1279" w:type="dxa"/>
            <w:vAlign w:val="center"/>
          </w:tcPr>
          <w:p w14:paraId="10130580">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4D9DD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05" w:type="dxa"/>
            <w:vMerge w:val="restart"/>
            <w:vAlign w:val="center"/>
          </w:tcPr>
          <w:p w14:paraId="629C591F">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废水</w:t>
            </w:r>
          </w:p>
        </w:tc>
        <w:tc>
          <w:tcPr>
            <w:tcW w:w="1723" w:type="dxa"/>
            <w:vAlign w:val="center"/>
          </w:tcPr>
          <w:p w14:paraId="2313EC3B">
            <w:pPr>
              <w:snapToGrid w:val="0"/>
              <w:jc w:val="center"/>
              <w:rPr>
                <w:snapToGrid w:val="0"/>
                <w:color w:val="000000" w:themeColor="text1"/>
                <w:kern w:val="21"/>
                <w:szCs w:val="21"/>
                <w14:textFill>
                  <w14:solidFill>
                    <w14:schemeClr w14:val="tx1"/>
                  </w14:solidFill>
                </w14:textFill>
              </w:rPr>
            </w:pPr>
            <w:r>
              <w:rPr>
                <w:szCs w:val="21"/>
              </w:rPr>
              <w:t>废水量</w:t>
            </w:r>
          </w:p>
        </w:tc>
        <w:tc>
          <w:tcPr>
            <w:tcW w:w="1630" w:type="dxa"/>
            <w:vAlign w:val="center"/>
          </w:tcPr>
          <w:p w14:paraId="4E5A5179">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w:t>
            </w:r>
          </w:p>
        </w:tc>
        <w:tc>
          <w:tcPr>
            <w:tcW w:w="1630" w:type="dxa"/>
            <w:vAlign w:val="center"/>
          </w:tcPr>
          <w:p w14:paraId="79F47814">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32AF9166">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1469D2E5">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630" w:type="dxa"/>
            <w:vAlign w:val="center"/>
          </w:tcPr>
          <w:p w14:paraId="3ACC50B1">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w:t>
            </w:r>
          </w:p>
        </w:tc>
        <w:tc>
          <w:tcPr>
            <w:tcW w:w="1631" w:type="dxa"/>
            <w:vAlign w:val="center"/>
          </w:tcPr>
          <w:p w14:paraId="4B40644D">
            <w:pPr>
              <w:widowControl/>
              <w:jc w:val="center"/>
              <w:textAlignment w:val="center"/>
              <w:rPr>
                <w:snapToGrid w:val="0"/>
                <w:color w:val="000000" w:themeColor="text1"/>
                <w:kern w:val="21"/>
                <w:szCs w:val="21"/>
                <w14:textFill>
                  <w14:solidFill>
                    <w14:schemeClr w14:val="tx1"/>
                  </w14:solidFill>
                </w14:textFill>
              </w:rPr>
            </w:pPr>
            <w:r>
              <w:rPr>
                <w:color w:val="000000"/>
                <w:kern w:val="0"/>
                <w:szCs w:val="21"/>
                <w:lang w:bidi="ar"/>
              </w:rPr>
              <w:t>0</w:t>
            </w:r>
          </w:p>
        </w:tc>
        <w:tc>
          <w:tcPr>
            <w:tcW w:w="1279" w:type="dxa"/>
            <w:vAlign w:val="center"/>
          </w:tcPr>
          <w:p w14:paraId="0054BB30">
            <w:pPr>
              <w:pStyle w:val="31"/>
              <w:rPr>
                <w:snapToGrid w:val="0"/>
                <w:color w:val="000000" w:themeColor="text1"/>
                <w:kern w:val="21"/>
                <w14:textFill>
                  <w14:solidFill>
                    <w14:schemeClr w14:val="tx1"/>
                  </w14:solidFill>
                </w14:textFill>
              </w:rPr>
            </w:pPr>
            <w:r>
              <w:rPr>
                <w:color w:val="000000"/>
                <w:lang w:bidi="ar"/>
              </w:rPr>
              <w:t>0</w:t>
            </w:r>
          </w:p>
        </w:tc>
      </w:tr>
      <w:tr w14:paraId="511FB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vAlign w:val="center"/>
          </w:tcPr>
          <w:p w14:paraId="3A9E0C45">
            <w:pPr>
              <w:pStyle w:val="31"/>
              <w:rPr>
                <w:snapToGrid w:val="0"/>
                <w:color w:val="000000" w:themeColor="text1"/>
                <w:kern w:val="21"/>
                <w14:textFill>
                  <w14:solidFill>
                    <w14:schemeClr w14:val="tx1"/>
                  </w14:solidFill>
                </w14:textFill>
              </w:rPr>
            </w:pPr>
          </w:p>
        </w:tc>
        <w:tc>
          <w:tcPr>
            <w:tcW w:w="1723" w:type="dxa"/>
            <w:vAlign w:val="center"/>
          </w:tcPr>
          <w:p w14:paraId="5C497A2C">
            <w:pPr>
              <w:snapToGrid w:val="0"/>
              <w:jc w:val="center"/>
              <w:rPr>
                <w:szCs w:val="21"/>
              </w:rPr>
            </w:pPr>
            <w:r>
              <w:rPr>
                <w:szCs w:val="21"/>
              </w:rPr>
              <w:t>COD</w:t>
            </w:r>
          </w:p>
        </w:tc>
        <w:tc>
          <w:tcPr>
            <w:tcW w:w="1630" w:type="dxa"/>
            <w:vAlign w:val="center"/>
          </w:tcPr>
          <w:p w14:paraId="09E0D24A">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p>
        </w:tc>
        <w:tc>
          <w:tcPr>
            <w:tcW w:w="1630" w:type="dxa"/>
            <w:vAlign w:val="center"/>
          </w:tcPr>
          <w:p w14:paraId="10F00E5E">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6463E970">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67FF5DDA">
            <w:pPr>
              <w:widowControl/>
              <w:jc w:val="center"/>
              <w:textAlignment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30" w:type="dxa"/>
            <w:vAlign w:val="center"/>
          </w:tcPr>
          <w:p w14:paraId="4AC0712D">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p>
        </w:tc>
        <w:tc>
          <w:tcPr>
            <w:tcW w:w="1631" w:type="dxa"/>
            <w:vAlign w:val="center"/>
          </w:tcPr>
          <w:p w14:paraId="53C2A449">
            <w:pPr>
              <w:widowControl/>
              <w:jc w:val="center"/>
              <w:textAlignment w:val="center"/>
              <w:rPr>
                <w:snapToGrid w:val="0"/>
                <w:color w:val="000000" w:themeColor="text1"/>
                <w:kern w:val="21"/>
                <w:szCs w:val="21"/>
                <w14:textFill>
                  <w14:solidFill>
                    <w14:schemeClr w14:val="tx1"/>
                  </w14:solidFill>
                </w14:textFill>
              </w:rPr>
            </w:pPr>
            <w:r>
              <w:rPr>
                <w:color w:val="000000"/>
                <w:kern w:val="0"/>
                <w:szCs w:val="21"/>
                <w:lang w:bidi="ar"/>
              </w:rPr>
              <w:t>0</w:t>
            </w:r>
          </w:p>
        </w:tc>
        <w:tc>
          <w:tcPr>
            <w:tcW w:w="1279" w:type="dxa"/>
            <w:vAlign w:val="center"/>
          </w:tcPr>
          <w:p w14:paraId="6D2575A9">
            <w:pPr>
              <w:pStyle w:val="31"/>
              <w:rPr>
                <w:snapToGrid w:val="0"/>
                <w:color w:val="000000" w:themeColor="text1"/>
                <w:kern w:val="21"/>
                <w14:textFill>
                  <w14:solidFill>
                    <w14:schemeClr w14:val="tx1"/>
                  </w14:solidFill>
                </w14:textFill>
              </w:rPr>
            </w:pPr>
            <w:r>
              <w:rPr>
                <w:color w:val="000000"/>
                <w:lang w:bidi="ar"/>
              </w:rPr>
              <w:t>0</w:t>
            </w:r>
          </w:p>
        </w:tc>
      </w:tr>
      <w:tr w14:paraId="6EFBE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vAlign w:val="center"/>
          </w:tcPr>
          <w:p w14:paraId="4904332E">
            <w:pPr>
              <w:pStyle w:val="31"/>
              <w:rPr>
                <w:snapToGrid w:val="0"/>
                <w:color w:val="000000" w:themeColor="text1"/>
                <w:kern w:val="21"/>
                <w14:textFill>
                  <w14:solidFill>
                    <w14:schemeClr w14:val="tx1"/>
                  </w14:solidFill>
                </w14:textFill>
              </w:rPr>
            </w:pPr>
          </w:p>
        </w:tc>
        <w:tc>
          <w:tcPr>
            <w:tcW w:w="1723" w:type="dxa"/>
            <w:vAlign w:val="center"/>
          </w:tcPr>
          <w:p w14:paraId="412C4254">
            <w:pPr>
              <w:snapToGrid w:val="0"/>
              <w:jc w:val="center"/>
              <w:rPr>
                <w:szCs w:val="21"/>
              </w:rPr>
            </w:pPr>
            <w:r>
              <w:rPr>
                <w:szCs w:val="21"/>
              </w:rPr>
              <w:t>BOD</w:t>
            </w:r>
            <w:r>
              <w:rPr>
                <w:szCs w:val="21"/>
                <w:vertAlign w:val="subscript"/>
              </w:rPr>
              <w:t>5</w:t>
            </w:r>
          </w:p>
        </w:tc>
        <w:tc>
          <w:tcPr>
            <w:tcW w:w="1630" w:type="dxa"/>
            <w:vAlign w:val="center"/>
          </w:tcPr>
          <w:p w14:paraId="59F96974">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p>
        </w:tc>
        <w:tc>
          <w:tcPr>
            <w:tcW w:w="1630" w:type="dxa"/>
            <w:vAlign w:val="center"/>
          </w:tcPr>
          <w:p w14:paraId="504F7848">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13C646A3">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3890A4F2">
            <w:pPr>
              <w:widowControl/>
              <w:jc w:val="center"/>
              <w:textAlignment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30" w:type="dxa"/>
            <w:vAlign w:val="center"/>
          </w:tcPr>
          <w:p w14:paraId="2014A791">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p>
        </w:tc>
        <w:tc>
          <w:tcPr>
            <w:tcW w:w="1631" w:type="dxa"/>
            <w:vAlign w:val="center"/>
          </w:tcPr>
          <w:p w14:paraId="536D1C5F">
            <w:pPr>
              <w:widowControl/>
              <w:jc w:val="center"/>
              <w:textAlignment w:val="center"/>
              <w:rPr>
                <w:snapToGrid w:val="0"/>
                <w:color w:val="000000" w:themeColor="text1"/>
                <w:kern w:val="21"/>
                <w:szCs w:val="21"/>
                <w14:textFill>
                  <w14:solidFill>
                    <w14:schemeClr w14:val="tx1"/>
                  </w14:solidFill>
                </w14:textFill>
              </w:rPr>
            </w:pPr>
            <w:r>
              <w:rPr>
                <w:color w:val="000000"/>
                <w:kern w:val="0"/>
                <w:szCs w:val="21"/>
                <w:lang w:bidi="ar"/>
              </w:rPr>
              <w:t>0</w:t>
            </w:r>
          </w:p>
        </w:tc>
        <w:tc>
          <w:tcPr>
            <w:tcW w:w="1279" w:type="dxa"/>
            <w:vAlign w:val="center"/>
          </w:tcPr>
          <w:p w14:paraId="1BE65948">
            <w:pPr>
              <w:pStyle w:val="31"/>
              <w:rPr>
                <w:snapToGrid w:val="0"/>
                <w:color w:val="000000" w:themeColor="text1"/>
                <w:kern w:val="21"/>
                <w14:textFill>
                  <w14:solidFill>
                    <w14:schemeClr w14:val="tx1"/>
                  </w14:solidFill>
                </w14:textFill>
              </w:rPr>
            </w:pPr>
            <w:r>
              <w:rPr>
                <w:color w:val="000000"/>
                <w:lang w:bidi="ar"/>
              </w:rPr>
              <w:t>0</w:t>
            </w:r>
          </w:p>
        </w:tc>
      </w:tr>
      <w:tr w14:paraId="52521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vAlign w:val="center"/>
          </w:tcPr>
          <w:p w14:paraId="4FEBAA15">
            <w:pPr>
              <w:pStyle w:val="31"/>
              <w:rPr>
                <w:snapToGrid w:val="0"/>
                <w:color w:val="000000" w:themeColor="text1"/>
                <w:kern w:val="21"/>
                <w14:textFill>
                  <w14:solidFill>
                    <w14:schemeClr w14:val="tx1"/>
                  </w14:solidFill>
                </w14:textFill>
              </w:rPr>
            </w:pPr>
          </w:p>
        </w:tc>
        <w:tc>
          <w:tcPr>
            <w:tcW w:w="1723" w:type="dxa"/>
            <w:vAlign w:val="center"/>
          </w:tcPr>
          <w:p w14:paraId="1EE8B57B">
            <w:pPr>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TP</w:t>
            </w:r>
          </w:p>
        </w:tc>
        <w:tc>
          <w:tcPr>
            <w:tcW w:w="1630" w:type="dxa"/>
            <w:vAlign w:val="center"/>
          </w:tcPr>
          <w:p w14:paraId="6086FEF5">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p>
        </w:tc>
        <w:tc>
          <w:tcPr>
            <w:tcW w:w="1630" w:type="dxa"/>
            <w:vAlign w:val="center"/>
          </w:tcPr>
          <w:p w14:paraId="35EFDD96">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4E14A280">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08AAEEA2">
            <w:pPr>
              <w:widowControl/>
              <w:jc w:val="center"/>
              <w:textAlignment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30" w:type="dxa"/>
            <w:vAlign w:val="center"/>
          </w:tcPr>
          <w:p w14:paraId="20916012">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p>
        </w:tc>
        <w:tc>
          <w:tcPr>
            <w:tcW w:w="1631" w:type="dxa"/>
            <w:vAlign w:val="center"/>
          </w:tcPr>
          <w:p w14:paraId="041F5441">
            <w:pPr>
              <w:widowControl/>
              <w:jc w:val="center"/>
              <w:textAlignment w:val="center"/>
              <w:rPr>
                <w:snapToGrid w:val="0"/>
                <w:color w:val="000000" w:themeColor="text1"/>
                <w:kern w:val="21"/>
                <w:szCs w:val="21"/>
                <w14:textFill>
                  <w14:solidFill>
                    <w14:schemeClr w14:val="tx1"/>
                  </w14:solidFill>
                </w14:textFill>
              </w:rPr>
            </w:pPr>
            <w:r>
              <w:rPr>
                <w:color w:val="000000"/>
                <w:kern w:val="0"/>
                <w:szCs w:val="21"/>
                <w:lang w:bidi="ar"/>
              </w:rPr>
              <w:t>0</w:t>
            </w:r>
          </w:p>
        </w:tc>
        <w:tc>
          <w:tcPr>
            <w:tcW w:w="1279" w:type="dxa"/>
            <w:vAlign w:val="center"/>
          </w:tcPr>
          <w:p w14:paraId="40F0008E">
            <w:pPr>
              <w:pStyle w:val="31"/>
              <w:rPr>
                <w:snapToGrid w:val="0"/>
                <w:color w:val="000000" w:themeColor="text1"/>
                <w:kern w:val="21"/>
                <w14:textFill>
                  <w14:solidFill>
                    <w14:schemeClr w14:val="tx1"/>
                  </w14:solidFill>
                </w14:textFill>
              </w:rPr>
            </w:pPr>
            <w:r>
              <w:rPr>
                <w:color w:val="000000"/>
                <w:lang w:bidi="ar"/>
              </w:rPr>
              <w:t>0</w:t>
            </w:r>
          </w:p>
        </w:tc>
      </w:tr>
      <w:tr w14:paraId="0ED8A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vAlign w:val="center"/>
          </w:tcPr>
          <w:p w14:paraId="316C4035">
            <w:pPr>
              <w:pStyle w:val="31"/>
              <w:rPr>
                <w:snapToGrid w:val="0"/>
                <w:color w:val="000000" w:themeColor="text1"/>
                <w:kern w:val="21"/>
                <w14:textFill>
                  <w14:solidFill>
                    <w14:schemeClr w14:val="tx1"/>
                  </w14:solidFill>
                </w14:textFill>
              </w:rPr>
            </w:pPr>
          </w:p>
        </w:tc>
        <w:tc>
          <w:tcPr>
            <w:tcW w:w="1723" w:type="dxa"/>
            <w:vAlign w:val="center"/>
          </w:tcPr>
          <w:p w14:paraId="20E7EC13">
            <w:pPr>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TN</w:t>
            </w:r>
          </w:p>
        </w:tc>
        <w:tc>
          <w:tcPr>
            <w:tcW w:w="1630" w:type="dxa"/>
            <w:vAlign w:val="center"/>
          </w:tcPr>
          <w:p w14:paraId="7C585EEE">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p>
        </w:tc>
        <w:tc>
          <w:tcPr>
            <w:tcW w:w="1630" w:type="dxa"/>
            <w:vAlign w:val="center"/>
          </w:tcPr>
          <w:p w14:paraId="653EBBFB">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32BE7F33">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51229A66">
            <w:pPr>
              <w:widowControl/>
              <w:jc w:val="center"/>
              <w:textAlignment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30" w:type="dxa"/>
            <w:vAlign w:val="center"/>
          </w:tcPr>
          <w:p w14:paraId="378A10D9">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p>
        </w:tc>
        <w:tc>
          <w:tcPr>
            <w:tcW w:w="1631" w:type="dxa"/>
            <w:vAlign w:val="center"/>
          </w:tcPr>
          <w:p w14:paraId="46B52DD9">
            <w:pPr>
              <w:widowControl/>
              <w:jc w:val="center"/>
              <w:textAlignment w:val="center"/>
              <w:rPr>
                <w:snapToGrid w:val="0"/>
                <w:color w:val="000000" w:themeColor="text1"/>
                <w:kern w:val="21"/>
                <w:szCs w:val="21"/>
                <w14:textFill>
                  <w14:solidFill>
                    <w14:schemeClr w14:val="tx1"/>
                  </w14:solidFill>
                </w14:textFill>
              </w:rPr>
            </w:pPr>
            <w:r>
              <w:rPr>
                <w:color w:val="000000"/>
                <w:kern w:val="0"/>
                <w:szCs w:val="21"/>
                <w:lang w:bidi="ar"/>
              </w:rPr>
              <w:t>0</w:t>
            </w:r>
          </w:p>
        </w:tc>
        <w:tc>
          <w:tcPr>
            <w:tcW w:w="1279" w:type="dxa"/>
            <w:vAlign w:val="center"/>
          </w:tcPr>
          <w:p w14:paraId="2FACAF95">
            <w:pPr>
              <w:pStyle w:val="31"/>
              <w:rPr>
                <w:snapToGrid w:val="0"/>
                <w:color w:val="000000" w:themeColor="text1"/>
                <w:kern w:val="21"/>
                <w14:textFill>
                  <w14:solidFill>
                    <w14:schemeClr w14:val="tx1"/>
                  </w14:solidFill>
                </w14:textFill>
              </w:rPr>
            </w:pPr>
            <w:r>
              <w:rPr>
                <w:color w:val="000000"/>
                <w:lang w:bidi="ar"/>
              </w:rPr>
              <w:t>0</w:t>
            </w:r>
          </w:p>
        </w:tc>
      </w:tr>
      <w:tr w14:paraId="79B71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vAlign w:val="center"/>
          </w:tcPr>
          <w:p w14:paraId="27AA12BB">
            <w:pPr>
              <w:pStyle w:val="31"/>
              <w:rPr>
                <w:snapToGrid w:val="0"/>
                <w:color w:val="000000" w:themeColor="text1"/>
                <w:kern w:val="21"/>
                <w14:textFill>
                  <w14:solidFill>
                    <w14:schemeClr w14:val="tx1"/>
                  </w14:solidFill>
                </w14:textFill>
              </w:rPr>
            </w:pPr>
          </w:p>
        </w:tc>
        <w:tc>
          <w:tcPr>
            <w:tcW w:w="1723" w:type="dxa"/>
            <w:vAlign w:val="center"/>
          </w:tcPr>
          <w:p w14:paraId="429D5C10">
            <w:pPr>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NH</w:t>
            </w:r>
            <w:r>
              <w:rPr>
                <w:snapToGrid w:val="0"/>
                <w:color w:val="000000" w:themeColor="text1"/>
                <w:kern w:val="21"/>
                <w:szCs w:val="21"/>
                <w:vertAlign w:val="subscript"/>
                <w14:textFill>
                  <w14:solidFill>
                    <w14:schemeClr w14:val="tx1"/>
                  </w14:solidFill>
                </w14:textFill>
              </w:rPr>
              <w:t>3</w:t>
            </w:r>
            <w:r>
              <w:rPr>
                <w:snapToGrid w:val="0"/>
                <w:color w:val="000000" w:themeColor="text1"/>
                <w:kern w:val="21"/>
                <w:szCs w:val="21"/>
                <w14:textFill>
                  <w14:solidFill>
                    <w14:schemeClr w14:val="tx1"/>
                  </w14:solidFill>
                </w14:textFill>
              </w:rPr>
              <w:t>-N</w:t>
            </w:r>
          </w:p>
        </w:tc>
        <w:tc>
          <w:tcPr>
            <w:tcW w:w="1630" w:type="dxa"/>
            <w:vAlign w:val="center"/>
          </w:tcPr>
          <w:p w14:paraId="29E19A45">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p>
        </w:tc>
        <w:tc>
          <w:tcPr>
            <w:tcW w:w="1630" w:type="dxa"/>
            <w:vAlign w:val="center"/>
          </w:tcPr>
          <w:p w14:paraId="4EE81558">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3887A75D">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472C5ED2">
            <w:pPr>
              <w:widowControl/>
              <w:jc w:val="center"/>
              <w:textAlignment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30" w:type="dxa"/>
            <w:vAlign w:val="center"/>
          </w:tcPr>
          <w:p w14:paraId="0C3E756F">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p>
        </w:tc>
        <w:tc>
          <w:tcPr>
            <w:tcW w:w="1631" w:type="dxa"/>
            <w:vAlign w:val="center"/>
          </w:tcPr>
          <w:p w14:paraId="532BE051">
            <w:pPr>
              <w:widowControl/>
              <w:jc w:val="center"/>
              <w:textAlignment w:val="center"/>
              <w:rPr>
                <w:snapToGrid w:val="0"/>
                <w:color w:val="000000" w:themeColor="text1"/>
                <w:kern w:val="21"/>
                <w:szCs w:val="21"/>
                <w14:textFill>
                  <w14:solidFill>
                    <w14:schemeClr w14:val="tx1"/>
                  </w14:solidFill>
                </w14:textFill>
              </w:rPr>
            </w:pPr>
            <w:r>
              <w:rPr>
                <w:color w:val="000000"/>
                <w:kern w:val="0"/>
                <w:szCs w:val="21"/>
                <w:lang w:bidi="ar"/>
              </w:rPr>
              <w:t>0</w:t>
            </w:r>
          </w:p>
        </w:tc>
        <w:tc>
          <w:tcPr>
            <w:tcW w:w="1279" w:type="dxa"/>
            <w:vAlign w:val="center"/>
          </w:tcPr>
          <w:p w14:paraId="554957B8">
            <w:pPr>
              <w:pStyle w:val="31"/>
              <w:rPr>
                <w:snapToGrid w:val="0"/>
                <w:color w:val="000000" w:themeColor="text1"/>
                <w:kern w:val="21"/>
                <w14:textFill>
                  <w14:solidFill>
                    <w14:schemeClr w14:val="tx1"/>
                  </w14:solidFill>
                </w14:textFill>
              </w:rPr>
            </w:pPr>
            <w:r>
              <w:rPr>
                <w:color w:val="000000"/>
                <w:lang w:bidi="ar"/>
              </w:rPr>
              <w:t>0</w:t>
            </w:r>
          </w:p>
        </w:tc>
      </w:tr>
      <w:tr w14:paraId="26EA6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vAlign w:val="center"/>
          </w:tcPr>
          <w:p w14:paraId="7FAB5F5A">
            <w:pPr>
              <w:pStyle w:val="31"/>
              <w:rPr>
                <w:snapToGrid w:val="0"/>
                <w:color w:val="000000" w:themeColor="text1"/>
                <w:kern w:val="21"/>
                <w14:textFill>
                  <w14:solidFill>
                    <w14:schemeClr w14:val="tx1"/>
                  </w14:solidFill>
                </w14:textFill>
              </w:rPr>
            </w:pPr>
          </w:p>
        </w:tc>
        <w:tc>
          <w:tcPr>
            <w:tcW w:w="1723" w:type="dxa"/>
            <w:vAlign w:val="center"/>
          </w:tcPr>
          <w:p w14:paraId="6C75FEFF">
            <w:pPr>
              <w:snapToGrid w:val="0"/>
              <w:jc w:val="center"/>
              <w:rPr>
                <w:snapToGrid w:val="0"/>
                <w:color w:val="000000" w:themeColor="text1"/>
                <w:kern w:val="21"/>
                <w:szCs w:val="21"/>
                <w14:textFill>
                  <w14:solidFill>
                    <w14:schemeClr w14:val="tx1"/>
                  </w14:solidFill>
                </w14:textFill>
              </w:rPr>
            </w:pPr>
            <w:r>
              <w:rPr>
                <w:szCs w:val="21"/>
              </w:rPr>
              <w:t>动植物油</w:t>
            </w:r>
          </w:p>
        </w:tc>
        <w:tc>
          <w:tcPr>
            <w:tcW w:w="1630" w:type="dxa"/>
            <w:vAlign w:val="center"/>
          </w:tcPr>
          <w:p w14:paraId="05C46DDB">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p>
        </w:tc>
        <w:tc>
          <w:tcPr>
            <w:tcW w:w="1630" w:type="dxa"/>
            <w:vAlign w:val="center"/>
          </w:tcPr>
          <w:p w14:paraId="5BB72FB7">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1DAE726C">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48686523">
            <w:pPr>
              <w:widowControl/>
              <w:jc w:val="center"/>
              <w:textAlignment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630" w:type="dxa"/>
            <w:vAlign w:val="center"/>
          </w:tcPr>
          <w:p w14:paraId="67FCC9A0">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p>
        </w:tc>
        <w:tc>
          <w:tcPr>
            <w:tcW w:w="1631" w:type="dxa"/>
            <w:vAlign w:val="center"/>
          </w:tcPr>
          <w:p w14:paraId="67CFFE20">
            <w:pPr>
              <w:widowControl/>
              <w:jc w:val="center"/>
              <w:textAlignment w:val="center"/>
              <w:rPr>
                <w:snapToGrid w:val="0"/>
                <w:color w:val="000000" w:themeColor="text1"/>
                <w:kern w:val="21"/>
                <w:szCs w:val="21"/>
                <w14:textFill>
                  <w14:solidFill>
                    <w14:schemeClr w14:val="tx1"/>
                  </w14:solidFill>
                </w14:textFill>
              </w:rPr>
            </w:pPr>
            <w:r>
              <w:rPr>
                <w:color w:val="000000"/>
                <w:kern w:val="0"/>
                <w:szCs w:val="21"/>
                <w:lang w:bidi="ar"/>
              </w:rPr>
              <w:t>0</w:t>
            </w:r>
          </w:p>
        </w:tc>
        <w:tc>
          <w:tcPr>
            <w:tcW w:w="1279" w:type="dxa"/>
            <w:vAlign w:val="center"/>
          </w:tcPr>
          <w:p w14:paraId="31550D42">
            <w:pPr>
              <w:pStyle w:val="31"/>
              <w:rPr>
                <w:snapToGrid w:val="0"/>
                <w:color w:val="000000" w:themeColor="text1"/>
                <w:kern w:val="21"/>
                <w14:textFill>
                  <w14:solidFill>
                    <w14:schemeClr w14:val="tx1"/>
                  </w14:solidFill>
                </w14:textFill>
              </w:rPr>
            </w:pPr>
            <w:r>
              <w:rPr>
                <w:color w:val="000000"/>
                <w:lang w:bidi="ar"/>
              </w:rPr>
              <w:t>0</w:t>
            </w:r>
          </w:p>
        </w:tc>
      </w:tr>
      <w:tr w14:paraId="7E2D1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restart"/>
            <w:vAlign w:val="center"/>
          </w:tcPr>
          <w:p w14:paraId="5EE22456">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一般固体废物</w:t>
            </w:r>
          </w:p>
        </w:tc>
        <w:tc>
          <w:tcPr>
            <w:tcW w:w="1723" w:type="dxa"/>
            <w:vAlign w:val="center"/>
          </w:tcPr>
          <w:p w14:paraId="2498D61A">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生活垃圾</w:t>
            </w:r>
          </w:p>
        </w:tc>
        <w:tc>
          <w:tcPr>
            <w:tcW w:w="1630" w:type="dxa"/>
            <w:vAlign w:val="center"/>
          </w:tcPr>
          <w:p w14:paraId="165A7BA4">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33.3</w:t>
            </w:r>
            <w:r>
              <w:rPr>
                <w:snapToGrid w:val="0"/>
                <w:color w:val="000000" w:themeColor="text1"/>
                <w:kern w:val="21"/>
                <w14:textFill>
                  <w14:solidFill>
                    <w14:schemeClr w14:val="tx1"/>
                  </w14:solidFill>
                </w14:textFill>
              </w:rPr>
              <w:t>t/a</w:t>
            </w:r>
          </w:p>
        </w:tc>
        <w:tc>
          <w:tcPr>
            <w:tcW w:w="1630" w:type="dxa"/>
            <w:vAlign w:val="center"/>
          </w:tcPr>
          <w:p w14:paraId="2845EE0A">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1DC9B699">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5E6ED190">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w:t>
            </w:r>
          </w:p>
        </w:tc>
        <w:tc>
          <w:tcPr>
            <w:tcW w:w="1630" w:type="dxa"/>
            <w:vAlign w:val="center"/>
          </w:tcPr>
          <w:p w14:paraId="5C6A742D">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p>
        </w:tc>
        <w:tc>
          <w:tcPr>
            <w:tcW w:w="1631" w:type="dxa"/>
            <w:vAlign w:val="center"/>
          </w:tcPr>
          <w:p w14:paraId="7AF7CDA4">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33.3</w:t>
            </w:r>
            <w:r>
              <w:rPr>
                <w:color w:val="000000" w:themeColor="text1"/>
                <w:kern w:val="0"/>
                <w:szCs w:val="21"/>
                <w:lang w:bidi="ar"/>
                <w14:textFill>
                  <w14:solidFill>
                    <w14:schemeClr w14:val="tx1"/>
                  </w14:solidFill>
                </w14:textFill>
              </w:rPr>
              <w:t>t/a</w:t>
            </w:r>
          </w:p>
        </w:tc>
        <w:tc>
          <w:tcPr>
            <w:tcW w:w="1279" w:type="dxa"/>
            <w:vAlign w:val="center"/>
          </w:tcPr>
          <w:p w14:paraId="0F9910FB">
            <w:pPr>
              <w:pStyle w:val="32"/>
              <w:textAlignment w:val="center"/>
              <w:rPr>
                <w:rFonts w:hint="default" w:eastAsia="宋体"/>
                <w:color w:val="000000" w:themeColor="text1"/>
                <w:szCs w:val="21"/>
                <w14:textFill>
                  <w14:solidFill>
                    <w14:schemeClr w14:val="tx1"/>
                  </w14:solidFill>
                </w14:textFill>
              </w:rPr>
            </w:pPr>
            <w:r>
              <w:rPr>
                <w:rFonts w:hint="default" w:eastAsia="宋体"/>
                <w:color w:val="000000" w:themeColor="text1"/>
                <w:szCs w:val="21"/>
                <w14:textFill>
                  <w14:solidFill>
                    <w14:schemeClr w14:val="tx1"/>
                  </w14:solidFill>
                </w14:textFill>
              </w:rPr>
              <w:t>0</w:t>
            </w:r>
          </w:p>
        </w:tc>
      </w:tr>
      <w:tr w14:paraId="4734F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vAlign w:val="center"/>
          </w:tcPr>
          <w:p w14:paraId="241147A8">
            <w:pPr>
              <w:pStyle w:val="31"/>
              <w:rPr>
                <w:snapToGrid w:val="0"/>
                <w:color w:val="000000" w:themeColor="text1"/>
                <w:kern w:val="21"/>
                <w14:textFill>
                  <w14:solidFill>
                    <w14:schemeClr w14:val="tx1"/>
                  </w14:solidFill>
                </w14:textFill>
              </w:rPr>
            </w:pPr>
          </w:p>
        </w:tc>
        <w:tc>
          <w:tcPr>
            <w:tcW w:w="1723" w:type="dxa"/>
            <w:vAlign w:val="center"/>
          </w:tcPr>
          <w:p w14:paraId="45F6B0E7">
            <w:pPr>
              <w:widowControl/>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牲畜粪便</w:t>
            </w:r>
          </w:p>
        </w:tc>
        <w:tc>
          <w:tcPr>
            <w:tcW w:w="1630" w:type="dxa"/>
            <w:vAlign w:val="center"/>
          </w:tcPr>
          <w:p w14:paraId="23ED6297">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45</w:t>
            </w:r>
            <w:r>
              <w:rPr>
                <w:snapToGrid w:val="0"/>
                <w:color w:val="000000" w:themeColor="text1"/>
                <w:kern w:val="21"/>
                <w14:textFill>
                  <w14:solidFill>
                    <w14:schemeClr w14:val="tx1"/>
                  </w14:solidFill>
                </w14:textFill>
              </w:rPr>
              <w:t>t/a</w:t>
            </w:r>
          </w:p>
        </w:tc>
        <w:tc>
          <w:tcPr>
            <w:tcW w:w="1630" w:type="dxa"/>
            <w:vAlign w:val="center"/>
          </w:tcPr>
          <w:p w14:paraId="64EBF812">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4B98B3BD">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3C343466">
            <w:pPr>
              <w:widowControl/>
              <w:jc w:val="center"/>
              <w:rPr>
                <w:color w:val="000000" w:themeColor="text1"/>
                <w:szCs w:val="21"/>
                <w14:textFill>
                  <w14:solidFill>
                    <w14:schemeClr w14:val="tx1"/>
                  </w14:solidFill>
                </w14:textFill>
              </w:rPr>
            </w:pPr>
            <w:r>
              <w:rPr>
                <w:rFonts w:hint="eastAsia"/>
                <w:snapToGrid w:val="0"/>
                <w:color w:val="000000" w:themeColor="text1"/>
                <w:kern w:val="21"/>
                <w14:textFill>
                  <w14:solidFill>
                    <w14:schemeClr w14:val="tx1"/>
                  </w14:solidFill>
                </w14:textFill>
              </w:rPr>
              <w:t>50</w:t>
            </w:r>
            <w:r>
              <w:rPr>
                <w:snapToGrid w:val="0"/>
                <w:color w:val="000000" w:themeColor="text1"/>
                <w:kern w:val="21"/>
                <w:szCs w:val="21"/>
                <w14:textFill>
                  <w14:solidFill>
                    <w14:schemeClr w14:val="tx1"/>
                  </w14:solidFill>
                </w14:textFill>
              </w:rPr>
              <w:t>t/a</w:t>
            </w:r>
          </w:p>
        </w:tc>
        <w:tc>
          <w:tcPr>
            <w:tcW w:w="1630" w:type="dxa"/>
            <w:vAlign w:val="center"/>
          </w:tcPr>
          <w:p w14:paraId="39CB059F">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w:t>
            </w:r>
          </w:p>
        </w:tc>
        <w:tc>
          <w:tcPr>
            <w:tcW w:w="1631" w:type="dxa"/>
            <w:vAlign w:val="center"/>
          </w:tcPr>
          <w:p w14:paraId="3CA37310">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95</w:t>
            </w:r>
            <w:r>
              <w:rPr>
                <w:snapToGrid w:val="0"/>
                <w:color w:val="000000" w:themeColor="text1"/>
                <w:kern w:val="21"/>
                <w:szCs w:val="21"/>
                <w14:textFill>
                  <w14:solidFill>
                    <w14:schemeClr w14:val="tx1"/>
                  </w14:solidFill>
                </w14:textFill>
              </w:rPr>
              <w:t>t/a</w:t>
            </w:r>
          </w:p>
        </w:tc>
        <w:tc>
          <w:tcPr>
            <w:tcW w:w="1279" w:type="dxa"/>
            <w:vAlign w:val="center"/>
          </w:tcPr>
          <w:p w14:paraId="6581FF88">
            <w:pPr>
              <w:pStyle w:val="32"/>
              <w:textAlignment w:val="center"/>
              <w:rPr>
                <w:rFonts w:hint="default"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w:t>
            </w:r>
            <w:r>
              <w:rPr>
                <w:snapToGrid w:val="0"/>
                <w:color w:val="000000" w:themeColor="text1"/>
                <w:kern w:val="21"/>
                <w14:textFill>
                  <w14:solidFill>
                    <w14:schemeClr w14:val="tx1"/>
                  </w14:solidFill>
                </w14:textFill>
              </w:rPr>
              <w:t>50</w:t>
            </w:r>
            <w:r>
              <w:rPr>
                <w:rFonts w:hint="default"/>
                <w:snapToGrid w:val="0"/>
                <w:color w:val="000000" w:themeColor="text1"/>
                <w:kern w:val="21"/>
                <w:szCs w:val="21"/>
                <w14:textFill>
                  <w14:solidFill>
                    <w14:schemeClr w14:val="tx1"/>
                  </w14:solidFill>
                </w14:textFill>
              </w:rPr>
              <w:t>t/a</w:t>
            </w:r>
          </w:p>
        </w:tc>
      </w:tr>
      <w:tr w14:paraId="6541B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vAlign w:val="center"/>
          </w:tcPr>
          <w:p w14:paraId="554CC562">
            <w:pPr>
              <w:pStyle w:val="31"/>
              <w:rPr>
                <w:snapToGrid w:val="0"/>
                <w:color w:val="000000" w:themeColor="text1"/>
                <w:kern w:val="21"/>
                <w14:textFill>
                  <w14:solidFill>
                    <w14:schemeClr w14:val="tx1"/>
                  </w14:solidFill>
                </w14:textFill>
              </w:rPr>
            </w:pPr>
          </w:p>
        </w:tc>
        <w:tc>
          <w:tcPr>
            <w:tcW w:w="1723" w:type="dxa"/>
            <w:vAlign w:val="center"/>
          </w:tcPr>
          <w:p w14:paraId="7D3D1198">
            <w:pPr>
              <w:widowControl/>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屠宰废弃组织</w:t>
            </w:r>
          </w:p>
        </w:tc>
        <w:tc>
          <w:tcPr>
            <w:tcW w:w="1630" w:type="dxa"/>
            <w:vAlign w:val="center"/>
          </w:tcPr>
          <w:p w14:paraId="2AD901FC">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909</w:t>
            </w:r>
            <w:r>
              <w:rPr>
                <w:snapToGrid w:val="0"/>
                <w:color w:val="000000" w:themeColor="text1"/>
                <w:kern w:val="21"/>
                <w14:textFill>
                  <w14:solidFill>
                    <w14:schemeClr w14:val="tx1"/>
                  </w14:solidFill>
                </w14:textFill>
              </w:rPr>
              <w:t>t/a</w:t>
            </w:r>
          </w:p>
        </w:tc>
        <w:tc>
          <w:tcPr>
            <w:tcW w:w="1630" w:type="dxa"/>
            <w:vAlign w:val="center"/>
          </w:tcPr>
          <w:p w14:paraId="622DED7F">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16FD0FE2">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0557166A">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245</w:t>
            </w:r>
            <w:r>
              <w:rPr>
                <w:snapToGrid w:val="0"/>
                <w:color w:val="000000" w:themeColor="text1"/>
                <w:kern w:val="21"/>
                <w:szCs w:val="21"/>
                <w14:textFill>
                  <w14:solidFill>
                    <w14:schemeClr w14:val="tx1"/>
                  </w14:solidFill>
                </w14:textFill>
              </w:rPr>
              <w:t>t/a</w:t>
            </w:r>
          </w:p>
        </w:tc>
        <w:tc>
          <w:tcPr>
            <w:tcW w:w="1630" w:type="dxa"/>
            <w:vAlign w:val="center"/>
          </w:tcPr>
          <w:p w14:paraId="790394A8">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w:t>
            </w:r>
          </w:p>
        </w:tc>
        <w:tc>
          <w:tcPr>
            <w:tcW w:w="1631" w:type="dxa"/>
            <w:vAlign w:val="center"/>
          </w:tcPr>
          <w:p w14:paraId="196ADB0F">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1154</w:t>
            </w:r>
            <w:r>
              <w:rPr>
                <w:snapToGrid w:val="0"/>
                <w:color w:val="000000" w:themeColor="text1"/>
                <w:kern w:val="21"/>
                <w:szCs w:val="21"/>
                <w14:textFill>
                  <w14:solidFill>
                    <w14:schemeClr w14:val="tx1"/>
                  </w14:solidFill>
                </w14:textFill>
              </w:rPr>
              <w:t>t/a</w:t>
            </w:r>
          </w:p>
        </w:tc>
        <w:tc>
          <w:tcPr>
            <w:tcW w:w="1279" w:type="dxa"/>
            <w:vAlign w:val="center"/>
          </w:tcPr>
          <w:p w14:paraId="336282D3">
            <w:pPr>
              <w:pStyle w:val="32"/>
              <w:textAlignment w:val="center"/>
              <w:rPr>
                <w:rFonts w:hint="default"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+245</w:t>
            </w:r>
            <w:r>
              <w:rPr>
                <w:rFonts w:hint="default"/>
                <w:snapToGrid w:val="0"/>
                <w:color w:val="000000" w:themeColor="text1"/>
                <w:kern w:val="21"/>
                <w:szCs w:val="21"/>
                <w14:textFill>
                  <w14:solidFill>
                    <w14:schemeClr w14:val="tx1"/>
                  </w14:solidFill>
                </w14:textFill>
              </w:rPr>
              <w:t>t/a</w:t>
            </w:r>
          </w:p>
        </w:tc>
      </w:tr>
      <w:tr w14:paraId="4436B7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vAlign w:val="center"/>
          </w:tcPr>
          <w:p w14:paraId="24387FA5">
            <w:pPr>
              <w:pStyle w:val="31"/>
              <w:rPr>
                <w:snapToGrid w:val="0"/>
                <w:color w:val="000000" w:themeColor="text1"/>
                <w:kern w:val="21"/>
                <w14:textFill>
                  <w14:solidFill>
                    <w14:schemeClr w14:val="tx1"/>
                  </w14:solidFill>
                </w14:textFill>
              </w:rPr>
            </w:pPr>
          </w:p>
        </w:tc>
        <w:tc>
          <w:tcPr>
            <w:tcW w:w="1723" w:type="dxa"/>
            <w:vAlign w:val="center"/>
          </w:tcPr>
          <w:p w14:paraId="2685AFAA">
            <w:pPr>
              <w:widowControl/>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病死牲畜</w:t>
            </w:r>
          </w:p>
        </w:tc>
        <w:tc>
          <w:tcPr>
            <w:tcW w:w="1630" w:type="dxa"/>
            <w:vAlign w:val="center"/>
          </w:tcPr>
          <w:p w14:paraId="71B0D49D">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w:t>
            </w:r>
          </w:p>
        </w:tc>
        <w:tc>
          <w:tcPr>
            <w:tcW w:w="1630" w:type="dxa"/>
            <w:vAlign w:val="center"/>
          </w:tcPr>
          <w:p w14:paraId="27D96C4B">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w:t>
            </w:r>
          </w:p>
        </w:tc>
        <w:tc>
          <w:tcPr>
            <w:tcW w:w="1630" w:type="dxa"/>
            <w:vAlign w:val="center"/>
          </w:tcPr>
          <w:p w14:paraId="5B1C4A64">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w:t>
            </w:r>
          </w:p>
        </w:tc>
        <w:tc>
          <w:tcPr>
            <w:tcW w:w="1630" w:type="dxa"/>
            <w:vAlign w:val="center"/>
          </w:tcPr>
          <w:p w14:paraId="675ED3AA">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630" w:type="dxa"/>
            <w:vAlign w:val="center"/>
          </w:tcPr>
          <w:p w14:paraId="3BEB0BD5">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w:t>
            </w:r>
          </w:p>
        </w:tc>
        <w:tc>
          <w:tcPr>
            <w:tcW w:w="1631" w:type="dxa"/>
            <w:vAlign w:val="center"/>
          </w:tcPr>
          <w:p w14:paraId="4331B382">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279" w:type="dxa"/>
            <w:vAlign w:val="center"/>
          </w:tcPr>
          <w:p w14:paraId="64C066DA">
            <w:pPr>
              <w:pStyle w:val="32"/>
              <w:textAlignment w:val="center"/>
              <w:rPr>
                <w:rFonts w:hint="default"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w:t>
            </w:r>
          </w:p>
        </w:tc>
      </w:tr>
      <w:tr w14:paraId="73FED2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5" w:type="dxa"/>
            <w:vMerge w:val="continue"/>
            <w:vAlign w:val="center"/>
          </w:tcPr>
          <w:p w14:paraId="021FF37B">
            <w:pPr>
              <w:pStyle w:val="31"/>
              <w:rPr>
                <w:snapToGrid w:val="0"/>
                <w:color w:val="000000" w:themeColor="text1"/>
                <w:kern w:val="21"/>
                <w14:textFill>
                  <w14:solidFill>
                    <w14:schemeClr w14:val="tx1"/>
                  </w14:solidFill>
                </w14:textFill>
              </w:rPr>
            </w:pPr>
          </w:p>
        </w:tc>
        <w:tc>
          <w:tcPr>
            <w:tcW w:w="1723" w:type="dxa"/>
            <w:vAlign w:val="center"/>
          </w:tcPr>
          <w:p w14:paraId="1ECC6D22">
            <w:pPr>
              <w:widowControl/>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污水处理站污泥</w:t>
            </w:r>
          </w:p>
        </w:tc>
        <w:tc>
          <w:tcPr>
            <w:tcW w:w="1630" w:type="dxa"/>
            <w:vAlign w:val="center"/>
          </w:tcPr>
          <w:p w14:paraId="238374B7">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13.3</w:t>
            </w:r>
            <w:r>
              <w:rPr>
                <w:snapToGrid w:val="0"/>
                <w:color w:val="000000" w:themeColor="text1"/>
                <w:kern w:val="21"/>
                <w14:textFill>
                  <w14:solidFill>
                    <w14:schemeClr w14:val="tx1"/>
                  </w14:solidFill>
                </w14:textFill>
              </w:rPr>
              <w:t>t/a</w:t>
            </w:r>
          </w:p>
        </w:tc>
        <w:tc>
          <w:tcPr>
            <w:tcW w:w="1630" w:type="dxa"/>
            <w:vAlign w:val="center"/>
          </w:tcPr>
          <w:p w14:paraId="05216647">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6D5D6471">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32E33B29">
            <w:pPr>
              <w:widowControl/>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2.7</w:t>
            </w:r>
            <w:r>
              <w:rPr>
                <w:snapToGrid w:val="0"/>
                <w:color w:val="000000" w:themeColor="text1"/>
                <w:kern w:val="21"/>
                <w:szCs w:val="21"/>
                <w14:textFill>
                  <w14:solidFill>
                    <w14:schemeClr w14:val="tx1"/>
                  </w14:solidFill>
                </w14:textFill>
              </w:rPr>
              <w:t>t/a</w:t>
            </w:r>
          </w:p>
        </w:tc>
        <w:tc>
          <w:tcPr>
            <w:tcW w:w="1630" w:type="dxa"/>
            <w:vAlign w:val="center"/>
          </w:tcPr>
          <w:p w14:paraId="52617454">
            <w:pPr>
              <w:pStyle w:val="3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w:t>
            </w:r>
          </w:p>
        </w:tc>
        <w:tc>
          <w:tcPr>
            <w:tcW w:w="1631" w:type="dxa"/>
            <w:vAlign w:val="center"/>
          </w:tcPr>
          <w:p w14:paraId="7FB88B96">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16</w:t>
            </w:r>
            <w:r>
              <w:rPr>
                <w:snapToGrid w:val="0"/>
                <w:color w:val="000000" w:themeColor="text1"/>
                <w:kern w:val="21"/>
                <w:szCs w:val="21"/>
                <w14:textFill>
                  <w14:solidFill>
                    <w14:schemeClr w14:val="tx1"/>
                  </w14:solidFill>
                </w14:textFill>
              </w:rPr>
              <w:t>t/a</w:t>
            </w:r>
          </w:p>
        </w:tc>
        <w:tc>
          <w:tcPr>
            <w:tcW w:w="1279" w:type="dxa"/>
            <w:vAlign w:val="center"/>
          </w:tcPr>
          <w:p w14:paraId="65CFE7DC">
            <w:pPr>
              <w:pStyle w:val="32"/>
              <w:textAlignment w:val="center"/>
              <w:rPr>
                <w:rFonts w:hint="default"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+2.7</w:t>
            </w:r>
            <w:r>
              <w:rPr>
                <w:rFonts w:hint="default"/>
                <w:snapToGrid w:val="0"/>
                <w:color w:val="000000" w:themeColor="text1"/>
                <w:kern w:val="21"/>
                <w:szCs w:val="21"/>
                <w14:textFill>
                  <w14:solidFill>
                    <w14:schemeClr w14:val="tx1"/>
                  </w14:solidFill>
                </w14:textFill>
              </w:rPr>
              <w:t>t/a</w:t>
            </w:r>
          </w:p>
        </w:tc>
      </w:tr>
      <w:tr w14:paraId="1D85B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05" w:type="dxa"/>
            <w:vAlign w:val="center"/>
          </w:tcPr>
          <w:p w14:paraId="13A956F7">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危险</w:t>
            </w:r>
          </w:p>
          <w:p w14:paraId="657FC791">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废物</w:t>
            </w:r>
          </w:p>
        </w:tc>
        <w:tc>
          <w:tcPr>
            <w:tcW w:w="1723" w:type="dxa"/>
            <w:vAlign w:val="center"/>
          </w:tcPr>
          <w:p w14:paraId="7217FB29">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废润滑油</w:t>
            </w:r>
          </w:p>
        </w:tc>
        <w:tc>
          <w:tcPr>
            <w:tcW w:w="1630" w:type="dxa"/>
            <w:vAlign w:val="center"/>
          </w:tcPr>
          <w:p w14:paraId="1D0B4CE8">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0.5t/a</w:t>
            </w:r>
          </w:p>
        </w:tc>
        <w:tc>
          <w:tcPr>
            <w:tcW w:w="1630" w:type="dxa"/>
            <w:vAlign w:val="center"/>
          </w:tcPr>
          <w:p w14:paraId="5592213E">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621233DE">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630" w:type="dxa"/>
            <w:vAlign w:val="center"/>
          </w:tcPr>
          <w:p w14:paraId="6F5CBE83">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0.3t/a</w:t>
            </w:r>
          </w:p>
        </w:tc>
        <w:tc>
          <w:tcPr>
            <w:tcW w:w="1630" w:type="dxa"/>
            <w:vAlign w:val="center"/>
          </w:tcPr>
          <w:p w14:paraId="540592E3">
            <w:pPr>
              <w:pStyle w:val="31"/>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0</w:t>
            </w:r>
          </w:p>
        </w:tc>
        <w:tc>
          <w:tcPr>
            <w:tcW w:w="1631" w:type="dxa"/>
            <w:vAlign w:val="center"/>
          </w:tcPr>
          <w:p w14:paraId="74E0EC7F">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0.8t/a</w:t>
            </w:r>
          </w:p>
        </w:tc>
        <w:tc>
          <w:tcPr>
            <w:tcW w:w="1279" w:type="dxa"/>
            <w:vAlign w:val="center"/>
          </w:tcPr>
          <w:p w14:paraId="73DDC2C3">
            <w:pPr>
              <w:pStyle w:val="32"/>
              <w:textAlignment w:val="center"/>
              <w:rPr>
                <w:rFonts w:hint="default" w:eastAsia="宋体"/>
                <w:color w:val="000000" w:themeColor="text1"/>
                <w:szCs w:val="21"/>
                <w14:textFill>
                  <w14:solidFill>
                    <w14:schemeClr w14:val="tx1"/>
                  </w14:solidFill>
                </w14:textFill>
              </w:rPr>
            </w:pPr>
            <w:r>
              <w:rPr>
                <w:rFonts w:hint="default" w:eastAsia="宋体"/>
                <w:color w:val="000000" w:themeColor="text1"/>
                <w:szCs w:val="21"/>
                <w14:textFill>
                  <w14:solidFill>
                    <w14:schemeClr w14:val="tx1"/>
                  </w14:solidFill>
                </w14:textFill>
              </w:rPr>
              <w:t>+0.3</w:t>
            </w:r>
            <w:r>
              <w:rPr>
                <w:rFonts w:hint="default"/>
                <w:color w:val="000000" w:themeColor="text1"/>
                <w:kern w:val="0"/>
                <w:szCs w:val="21"/>
                <w:lang w:bidi="ar"/>
                <w14:textFill>
                  <w14:solidFill>
                    <w14:schemeClr w14:val="tx1"/>
                  </w14:solidFill>
                </w14:textFill>
              </w:rPr>
              <w:t>t/a</w:t>
            </w:r>
          </w:p>
        </w:tc>
      </w:tr>
    </w:tbl>
    <w:p w14:paraId="2D10004C">
      <w:pPr>
        <w:pStyle w:val="31"/>
        <w:jc w:val="left"/>
      </w:pPr>
      <w:r>
        <w:rPr>
          <w:snapToGrid w:val="0"/>
          <w:color w:val="000000" w:themeColor="text1"/>
          <w:kern w:val="21"/>
          <w14:textFill>
            <w14:solidFill>
              <w14:schemeClr w14:val="tx1"/>
            </w14:solidFill>
          </w14:textFill>
        </w:rPr>
        <w:t>注：</w:t>
      </w:r>
      <w:r>
        <w:rPr>
          <w:snapToGrid w:val="0"/>
          <w:color w:val="000000" w:themeColor="text1"/>
          <w:spacing w:val="-16"/>
          <w:kern w:val="21"/>
          <w14:textFill>
            <w14:solidFill>
              <w14:schemeClr w14:val="tx1"/>
            </w14:solidFill>
          </w14:textFill>
        </w:rPr>
        <w:fldChar w:fldCharType="begin"/>
      </w:r>
      <w:r>
        <w:rPr>
          <w:snapToGrid w:val="0"/>
          <w:color w:val="000000" w:themeColor="text1"/>
          <w:spacing w:val="-16"/>
          <w:kern w:val="21"/>
          <w14:textFill>
            <w14:solidFill>
              <w14:schemeClr w14:val="tx1"/>
            </w14:solidFill>
          </w14:textFill>
        </w:rPr>
        <w:instrText xml:space="preserve">=6\*GB3\*MERGEFORMAT</w:instrText>
      </w:r>
      <w:r>
        <w:rPr>
          <w:snapToGrid w:val="0"/>
          <w:color w:val="000000" w:themeColor="text1"/>
          <w:spacing w:val="-16"/>
          <w:kern w:val="21"/>
          <w14:textFill>
            <w14:solidFill>
              <w14:schemeClr w14:val="tx1"/>
            </w14:solidFill>
          </w14:textFill>
        </w:rPr>
        <w:fldChar w:fldCharType="separate"/>
      </w:r>
      <w:r>
        <w:rPr>
          <w:rFonts w:hint="eastAsia"/>
          <w:color w:val="000000" w:themeColor="text1"/>
          <w14:textFill>
            <w14:solidFill>
              <w14:schemeClr w14:val="tx1"/>
            </w14:solidFill>
          </w14:textFill>
        </w:rPr>
        <w:t>⑥</w:t>
      </w:r>
      <w:r>
        <w:rPr>
          <w:snapToGrid w:val="0"/>
          <w:color w:val="000000" w:themeColor="text1"/>
          <w:spacing w:val="-16"/>
          <w:kern w:val="21"/>
          <w14:textFill>
            <w14:solidFill>
              <w14:schemeClr w14:val="tx1"/>
            </w14:solidFill>
          </w14:textFill>
        </w:rPr>
        <w:fldChar w:fldCharType="end"/>
      </w:r>
      <w:r>
        <w:rPr>
          <w:snapToGrid w:val="0"/>
          <w:color w:val="000000" w:themeColor="text1"/>
          <w:spacing w:val="-16"/>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=1\*GB3\*MERGEFORMAT</w:instrText>
      </w:r>
      <w:r>
        <w:rPr>
          <w:snapToGrid w:val="0"/>
          <w:color w:val="000000" w:themeColor="text1"/>
          <w:spacing w:val="-6"/>
          <w:kern w:val="21"/>
          <w14:textFill>
            <w14:solidFill>
              <w14:schemeClr w14:val="tx1"/>
            </w14:solidFill>
          </w14:textFill>
        </w:rPr>
        <w:fldChar w:fldCharType="separate"/>
      </w:r>
      <w:r>
        <w:rPr>
          <w:rFonts w:hint="eastAsia"/>
          <w:color w:val="000000" w:themeColor="text1"/>
          <w14:textFill>
            <w14:solidFill>
              <w14:schemeClr w14:val="tx1"/>
            </w14:solidFill>
          </w14:textFill>
        </w:rPr>
        <w:t>①</w:t>
      </w:r>
      <w:r>
        <w:rPr>
          <w:snapToGrid w:val="0"/>
          <w:color w:val="000000" w:themeColor="text1"/>
          <w:spacing w:val="-6"/>
          <w:kern w:val="21"/>
          <w14:textFill>
            <w14:solidFill>
              <w14:schemeClr w14:val="tx1"/>
            </w14:solidFill>
          </w14:textFill>
        </w:rPr>
        <w:fldChar w:fldCharType="end"/>
      </w:r>
      <w:r>
        <w:rPr>
          <w:snapToGrid w:val="0"/>
          <w:color w:val="000000" w:themeColor="text1"/>
          <w:spacing w:val="-6"/>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=3\*GB3\*MERGEFORMAT</w:instrText>
      </w:r>
      <w:r>
        <w:rPr>
          <w:snapToGrid w:val="0"/>
          <w:color w:val="000000" w:themeColor="text1"/>
          <w:spacing w:val="-6"/>
          <w:kern w:val="21"/>
          <w14:textFill>
            <w14:solidFill>
              <w14:schemeClr w14:val="tx1"/>
            </w14:solidFill>
          </w14:textFill>
        </w:rPr>
        <w:fldChar w:fldCharType="separate"/>
      </w:r>
      <w:r>
        <w:rPr>
          <w:rFonts w:hint="eastAsia"/>
          <w:color w:val="000000" w:themeColor="text1"/>
          <w14:textFill>
            <w14:solidFill>
              <w14:schemeClr w14:val="tx1"/>
            </w14:solidFill>
          </w14:textFill>
        </w:rPr>
        <w:t>③</w:t>
      </w:r>
      <w:r>
        <w:rPr>
          <w:snapToGrid w:val="0"/>
          <w:color w:val="000000" w:themeColor="text1"/>
          <w:spacing w:val="-6"/>
          <w:kern w:val="21"/>
          <w14:textFill>
            <w14:solidFill>
              <w14:schemeClr w14:val="tx1"/>
            </w14:solidFill>
          </w14:textFill>
        </w:rPr>
        <w:fldChar w:fldCharType="end"/>
      </w:r>
      <w:r>
        <w:rPr>
          <w:snapToGrid w:val="0"/>
          <w:color w:val="000000" w:themeColor="text1"/>
          <w:spacing w:val="-6"/>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=4\*GB3\*MERGEFORMAT</w:instrText>
      </w:r>
      <w:r>
        <w:rPr>
          <w:snapToGrid w:val="0"/>
          <w:color w:val="000000" w:themeColor="text1"/>
          <w:spacing w:val="-6"/>
          <w:kern w:val="21"/>
          <w14:textFill>
            <w14:solidFill>
              <w14:schemeClr w14:val="tx1"/>
            </w14:solidFill>
          </w14:textFill>
        </w:rPr>
        <w:fldChar w:fldCharType="separate"/>
      </w:r>
      <w:r>
        <w:rPr>
          <w:rFonts w:hint="eastAsia"/>
          <w:color w:val="000000" w:themeColor="text1"/>
          <w14:textFill>
            <w14:solidFill>
              <w14:schemeClr w14:val="tx1"/>
            </w14:solidFill>
          </w14:textFill>
        </w:rPr>
        <w:t>④</w:t>
      </w:r>
      <w:r>
        <w:rPr>
          <w:snapToGrid w:val="0"/>
          <w:color w:val="000000" w:themeColor="text1"/>
          <w:spacing w:val="-6"/>
          <w:kern w:val="21"/>
          <w14:textFill>
            <w14:solidFill>
              <w14:schemeClr w14:val="tx1"/>
            </w14:solidFill>
          </w14:textFill>
        </w:rPr>
        <w:fldChar w:fldCharType="end"/>
      </w:r>
      <w:r>
        <w:rPr>
          <w:snapToGrid w:val="0"/>
          <w:color w:val="000000" w:themeColor="text1"/>
          <w:spacing w:val="-6"/>
          <w:kern w:val="21"/>
          <w14:textFill>
            <w14:solidFill>
              <w14:schemeClr w14:val="tx1"/>
            </w14:solidFill>
          </w14:textFill>
        </w:rPr>
        <w:t>-</w:t>
      </w:r>
      <w:r>
        <w:rPr>
          <w:snapToGrid w:val="0"/>
          <w:color w:val="000000" w:themeColor="text1"/>
          <w:spacing w:val="-16"/>
          <w:kern w:val="21"/>
          <w14:textFill>
            <w14:solidFill>
              <w14:schemeClr w14:val="tx1"/>
            </w14:solidFill>
          </w14:textFill>
        </w:rPr>
        <w:fldChar w:fldCharType="begin"/>
      </w:r>
      <w:r>
        <w:rPr>
          <w:snapToGrid w:val="0"/>
          <w:color w:val="000000" w:themeColor="text1"/>
          <w:spacing w:val="-16"/>
          <w:kern w:val="21"/>
          <w14:textFill>
            <w14:solidFill>
              <w14:schemeClr w14:val="tx1"/>
            </w14:solidFill>
          </w14:textFill>
        </w:rPr>
        <w:instrText xml:space="preserve">=5\*GB3\*MERGEFORMAT</w:instrText>
      </w:r>
      <w:r>
        <w:rPr>
          <w:snapToGrid w:val="0"/>
          <w:color w:val="000000" w:themeColor="text1"/>
          <w:spacing w:val="-16"/>
          <w:kern w:val="21"/>
          <w14:textFill>
            <w14:solidFill>
              <w14:schemeClr w14:val="tx1"/>
            </w14:solidFill>
          </w14:textFill>
        </w:rPr>
        <w:fldChar w:fldCharType="separate"/>
      </w:r>
      <w:r>
        <w:rPr>
          <w:rFonts w:hint="eastAsia"/>
          <w:color w:val="000000" w:themeColor="text1"/>
          <w14:textFill>
            <w14:solidFill>
              <w14:schemeClr w14:val="tx1"/>
            </w14:solidFill>
          </w14:textFill>
        </w:rPr>
        <w:t>⑤</w:t>
      </w:r>
      <w:r>
        <w:rPr>
          <w:snapToGrid w:val="0"/>
          <w:color w:val="000000" w:themeColor="text1"/>
          <w:spacing w:val="-16"/>
          <w:kern w:val="21"/>
          <w14:textFill>
            <w14:solidFill>
              <w14:schemeClr w14:val="tx1"/>
            </w14:solidFill>
          </w14:textFill>
        </w:rPr>
        <w:fldChar w:fldCharType="end"/>
      </w:r>
      <w:r>
        <w:rPr>
          <w:snapToGrid w:val="0"/>
          <w:color w:val="000000" w:themeColor="text1"/>
          <w:spacing w:val="-16"/>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=7\*GB3\*MERGEFORMAT</w:instrText>
      </w:r>
      <w:r>
        <w:rPr>
          <w:snapToGrid w:val="0"/>
          <w:color w:val="000000" w:themeColor="text1"/>
          <w:spacing w:val="-6"/>
          <w:kern w:val="21"/>
          <w14:textFill>
            <w14:solidFill>
              <w14:schemeClr w14:val="tx1"/>
            </w14:solidFill>
          </w14:textFill>
        </w:rPr>
        <w:fldChar w:fldCharType="separate"/>
      </w:r>
      <w:r>
        <w:rPr>
          <w:rFonts w:hint="eastAsia"/>
          <w:color w:val="000000" w:themeColor="text1"/>
          <w14:textFill>
            <w14:solidFill>
              <w14:schemeClr w14:val="tx1"/>
            </w14:solidFill>
          </w14:textFill>
        </w:rPr>
        <w:t>⑦</w:t>
      </w:r>
      <w:r>
        <w:rPr>
          <w:snapToGrid w:val="0"/>
          <w:color w:val="000000" w:themeColor="text1"/>
          <w:spacing w:val="-6"/>
          <w:kern w:val="21"/>
          <w14:textFill>
            <w14:solidFill>
              <w14:schemeClr w14:val="tx1"/>
            </w14:solidFill>
          </w14:textFill>
        </w:rPr>
        <w:fldChar w:fldCharType="end"/>
      </w:r>
      <w:r>
        <w:rPr>
          <w:snapToGrid w:val="0"/>
          <w:color w:val="000000" w:themeColor="text1"/>
          <w:spacing w:val="-6"/>
          <w:kern w:val="21"/>
          <w14:textFill>
            <w14:solidFill>
              <w14:schemeClr w14:val="tx1"/>
            </w14:solidFill>
          </w14:textFill>
        </w:rPr>
        <w:t>=</w:t>
      </w:r>
      <w:r>
        <w:rPr>
          <w:snapToGrid w:val="0"/>
          <w:color w:val="000000" w:themeColor="text1"/>
          <w:spacing w:val="-16"/>
          <w:kern w:val="21"/>
          <w14:textFill>
            <w14:solidFill>
              <w14:schemeClr w14:val="tx1"/>
            </w14:solidFill>
          </w14:textFill>
        </w:rPr>
        <w:fldChar w:fldCharType="begin"/>
      </w:r>
      <w:r>
        <w:rPr>
          <w:snapToGrid w:val="0"/>
          <w:color w:val="000000" w:themeColor="text1"/>
          <w:spacing w:val="-16"/>
          <w:kern w:val="21"/>
          <w14:textFill>
            <w14:solidFill>
              <w14:schemeClr w14:val="tx1"/>
            </w14:solidFill>
          </w14:textFill>
        </w:rPr>
        <w:instrText xml:space="preserve">=6\*GB3\*MERGEFORMAT</w:instrText>
      </w:r>
      <w:r>
        <w:rPr>
          <w:snapToGrid w:val="0"/>
          <w:color w:val="000000" w:themeColor="text1"/>
          <w:spacing w:val="-16"/>
          <w:kern w:val="21"/>
          <w14:textFill>
            <w14:solidFill>
              <w14:schemeClr w14:val="tx1"/>
            </w14:solidFill>
          </w14:textFill>
        </w:rPr>
        <w:fldChar w:fldCharType="separate"/>
      </w:r>
      <w:r>
        <w:rPr>
          <w:rFonts w:hint="eastAsia"/>
          <w:color w:val="000000" w:themeColor="text1"/>
          <w14:textFill>
            <w14:solidFill>
              <w14:schemeClr w14:val="tx1"/>
            </w14:solidFill>
          </w14:textFill>
        </w:rPr>
        <w:t>⑥</w:t>
      </w:r>
      <w:r>
        <w:rPr>
          <w:snapToGrid w:val="0"/>
          <w:color w:val="000000" w:themeColor="text1"/>
          <w:spacing w:val="-16"/>
          <w:kern w:val="21"/>
          <w14:textFill>
            <w14:solidFill>
              <w14:schemeClr w14:val="tx1"/>
            </w14:solidFill>
          </w14:textFill>
        </w:rPr>
        <w:fldChar w:fldCharType="end"/>
      </w:r>
      <w:r>
        <w:rPr>
          <w:snapToGrid w:val="0"/>
          <w:color w:val="000000" w:themeColor="text1"/>
          <w:spacing w:val="-16"/>
          <w:kern w:val="21"/>
          <w14:textFill>
            <w14:solidFill>
              <w14:schemeClr w14:val="tx1"/>
            </w14:solidFill>
          </w14:textFill>
        </w:rPr>
        <w:t>-</w:t>
      </w:r>
      <w:r>
        <w:rPr>
          <w:snapToGrid w:val="0"/>
          <w:color w:val="000000" w:themeColor="text1"/>
          <w:spacing w:val="-6"/>
          <w:kern w:val="21"/>
          <w14:textFill>
            <w14:solidFill>
              <w14:schemeClr w14:val="tx1"/>
            </w14:solidFill>
          </w14:textFill>
        </w:rPr>
        <w:fldChar w:fldCharType="begin"/>
      </w:r>
      <w:r>
        <w:rPr>
          <w:snapToGrid w:val="0"/>
          <w:color w:val="000000" w:themeColor="text1"/>
          <w:spacing w:val="-6"/>
          <w:kern w:val="21"/>
          <w14:textFill>
            <w14:solidFill>
              <w14:schemeClr w14:val="tx1"/>
            </w14:solidFill>
          </w14:textFill>
        </w:rPr>
        <w:instrText xml:space="preserve">=1\*GB3\*MERGEFORMAT</w:instrText>
      </w:r>
      <w:r>
        <w:rPr>
          <w:snapToGrid w:val="0"/>
          <w:color w:val="000000" w:themeColor="text1"/>
          <w:spacing w:val="-6"/>
          <w:kern w:val="21"/>
          <w14:textFill>
            <w14:solidFill>
              <w14:schemeClr w14:val="tx1"/>
            </w14:solidFill>
          </w14:textFill>
        </w:rPr>
        <w:fldChar w:fldCharType="separate"/>
      </w:r>
      <w:r>
        <w:rPr>
          <w:rFonts w:hint="eastAsia"/>
          <w:color w:val="000000" w:themeColor="text1"/>
          <w14:textFill>
            <w14:solidFill>
              <w14:schemeClr w14:val="tx1"/>
            </w14:solidFill>
          </w14:textFill>
        </w:rPr>
        <w:t>①</w:t>
      </w:r>
      <w:r>
        <w:rPr>
          <w:snapToGrid w:val="0"/>
          <w:color w:val="000000" w:themeColor="text1"/>
          <w:spacing w:val="-6"/>
          <w:kern w:val="21"/>
          <w14:textFill>
            <w14:solidFill>
              <w14:schemeClr w14:val="tx1"/>
            </w14:solidFill>
          </w14:textFill>
        </w:rPr>
        <w:fldChar w:fldCharType="end"/>
      </w:r>
    </w:p>
    <w:sectPr>
      <w:footerReference r:id="rId18" w:type="default"/>
      <w:pgSz w:w="16838" w:h="11906" w:orient="landscape"/>
      <w:pgMar w:top="1134" w:right="1701" w:bottom="1134" w:left="1701" w:header="851" w:footer="850" w:gutter="0"/>
      <w:cols w:space="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KasparGuo" w:date="2025-09-29T09:40:00Z" w:initials="">
    <w:p w14:paraId="45F154F8">
      <w:pPr>
        <w:pStyle w:val="6"/>
      </w:pPr>
      <w:r>
        <w:rPr>
          <w:rFonts w:hint="eastAsia"/>
        </w:rPr>
        <w:t>所有符合性分析，每张表，都要有结论</w:t>
      </w:r>
    </w:p>
  </w:comment>
  <w:comment w:id="1" w:author="KasparGuo" w:date="2025-09-29T10:56:00Z" w:initials="">
    <w:p w14:paraId="3CCF6EF3">
      <w:pPr>
        <w:pStyle w:val="6"/>
      </w:pPr>
      <w:r>
        <w:rPr>
          <w:rFonts w:hint="eastAsia"/>
        </w:rPr>
        <w:t>表述从严，项目有哪些一般固废、有哪些危废、建立了什么设施设备，什么设备采取什么什么样的管理措施</w:t>
      </w:r>
    </w:p>
  </w:comment>
  <w:comment w:id="2" w:author="KasparGuo" w:date="2025-09-29T11:22:00Z" w:initials="">
    <w:p w14:paraId="0E6C7B96">
      <w:pPr>
        <w:pStyle w:val="6"/>
      </w:pPr>
      <w:r>
        <w:rPr>
          <w:rFonts w:hint="eastAsia"/>
        </w:rPr>
        <w:t>到底理论计算还是参考监测数据啊</w:t>
      </w:r>
    </w:p>
  </w:comment>
  <w:comment w:id="3" w:author="KasparGuo" w:date="2025-09-29T11:48:00Z" w:initials="">
    <w:p w14:paraId="378EBF1F">
      <w:pPr>
        <w:pStyle w:val="6"/>
      </w:pPr>
      <w:r>
        <w:rPr>
          <w:rFonts w:hint="eastAsia"/>
        </w:rPr>
        <w:t>能做到吗</w:t>
      </w:r>
    </w:p>
  </w:comment>
  <w:comment w:id="4" w:author="KasparGuo" w:date="2025-09-29T11:57:00Z" w:initials="">
    <w:p w14:paraId="5D90E2CA">
      <w:pPr>
        <w:pStyle w:val="6"/>
      </w:pPr>
      <w:r>
        <w:rPr>
          <w:rFonts w:hint="eastAsia"/>
        </w:rPr>
        <w:t>项目建设在水环境不达标区，需严格核实该工艺的可行性</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5F154F8" w15:done="0"/>
  <w15:commentEx w15:paraId="3CCF6EF3" w15:done="0"/>
  <w15:commentEx w15:paraId="0E6C7B96" w15:done="0"/>
  <w15:commentEx w15:paraId="378EBF1F" w15:done="0"/>
  <w15:commentEx w15:paraId="5D90E2C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Segoe UI Symbol">
    <w:panose1 w:val="020B0502040204020203"/>
    <w:charset w:val="00"/>
    <w:family w:val="swiss"/>
    <w:pitch w:val="default"/>
    <w:sig w:usb0="8000006F" w:usb1="1200FBEF" w:usb2="0064C000" w:usb3="00000002" w:csb0="00000001" w:csb1="4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B0889">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5C42E">
    <w:pPr>
      <w:pStyle w:val="14"/>
      <w:framePr w:wrap="around" w:vAnchor="text" w:hAnchor="margin" w:xAlign="center" w:y="1"/>
      <w:rPr>
        <w:rStyle w:val="26"/>
      </w:rPr>
    </w:pPr>
    <w:r>
      <w:fldChar w:fldCharType="begin"/>
    </w:r>
    <w:r>
      <w:rPr>
        <w:rStyle w:val="26"/>
      </w:rPr>
      <w:instrText xml:space="preserve">PAGE  </w:instrText>
    </w:r>
    <w:r>
      <w:fldChar w:fldCharType="end"/>
    </w:r>
  </w:p>
  <w:p w14:paraId="20340CA1">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8D339">
    <w:pPr>
      <w:pStyle w:val="1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86D65">
    <w:pPr>
      <w:pStyle w:val="14"/>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5102187"/>
      <w:docPartObj>
        <w:docPartGallery w:val="autotext"/>
      </w:docPartObj>
    </w:sdtPr>
    <w:sdtContent>
      <w:p w14:paraId="5EF6E56A">
        <w:pPr>
          <w:pStyle w:val="14"/>
          <w:jc w:val="center"/>
        </w:pPr>
        <w:r>
          <w:fldChar w:fldCharType="begin"/>
        </w:r>
        <w:r>
          <w:instrText xml:space="preserve">PAGE   \* MERGEFORMAT</w:instrText>
        </w:r>
        <w:r>
          <w:fldChar w:fldCharType="separate"/>
        </w:r>
        <w:r>
          <w:rPr>
            <w:lang w:val="zh-CN"/>
          </w:rPr>
          <w:t>2</w:t>
        </w:r>
        <w:r>
          <w:fldChar w:fldCharType="end"/>
        </w:r>
      </w:p>
    </w:sdtContent>
  </w:sdt>
  <w:p w14:paraId="356E7DC4">
    <w:pPr>
      <w:pStyle w:val="1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AA8C0">
    <w:pPr>
      <w:pStyle w:val="14"/>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9D37F2C">
                          <w:pPr>
                            <w:pStyle w:val="14"/>
                          </w:pPr>
                          <w:r>
                            <w:fldChar w:fldCharType="begin"/>
                          </w:r>
                          <w:r>
                            <w:instrText xml:space="preserve"> PAGE  \* MERGEFORMAT </w:instrText>
                          </w:r>
                          <w:r>
                            <w:fldChar w:fldCharType="separate"/>
                          </w:r>
                          <w:r>
                            <w:t>93</w:t>
                          </w:r>
                          <w:r>
                            <w:fldChar w:fldCharType="end"/>
                          </w:r>
                        </w:p>
                      </w:txbxContent>
                    </wps:txbx>
                    <wps:bodyPr vert="horz" wrap="none" lIns="0" tIns="0" rIns="0" bIns="0" anchor="t" anchorCtr="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XkwNP98BAADEAwAADgAAAAAA&#10;AAABACAAAAAeAQAAZHJzL2Uyb0RvYy54bWxQSwUGAAAAAAYABgBZAQAAbwUAAAAA&#10;">
              <v:fill on="f" focussize="0,0"/>
              <v:stroke on="f"/>
              <v:imagedata o:title=""/>
              <o:lock v:ext="edit" aspectratio="f"/>
              <v:textbox inset="0mm,0mm,0mm,0mm" style="mso-fit-shape-to-text:t;">
                <w:txbxContent>
                  <w:p w14:paraId="79D37F2C">
                    <w:pPr>
                      <w:pStyle w:val="14"/>
                    </w:pPr>
                    <w:r>
                      <w:fldChar w:fldCharType="begin"/>
                    </w:r>
                    <w:r>
                      <w:instrText xml:space="preserve"> PAGE  \* MERGEFORMAT </w:instrText>
                    </w:r>
                    <w:r>
                      <w:fldChar w:fldCharType="separate"/>
                    </w:r>
                    <w:r>
                      <w:t>93</w:t>
                    </w:r>
                    <w:r>
                      <w:fldChar w:fldCharType="end"/>
                    </w:r>
                  </w:p>
                </w:txbxContent>
              </v:textbox>
            </v:shape>
          </w:pict>
        </mc:Fallback>
      </mc:AlternateContent>
    </w: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1A8E1">
    <w:pPr>
      <w:pStyle w:val="14"/>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8454958"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B74F552">
                          <w:pPr>
                            <w:pStyle w:val="14"/>
                          </w:pPr>
                          <w:r>
                            <w:fldChar w:fldCharType="begin"/>
                          </w:r>
                          <w:r>
                            <w:instrText xml:space="preserve"> PAGE  \* MERGEFORMAT </w:instrText>
                          </w:r>
                          <w:r>
                            <w:fldChar w:fldCharType="separate"/>
                          </w:r>
                          <w:r>
                            <w:t>93</w:t>
                          </w:r>
                          <w:r>
                            <w:fldChar w:fldCharType="end"/>
                          </w:r>
                        </w:p>
                      </w:txbxContent>
                    </wps:txbx>
                    <wps:bodyPr vert="horz" wrap="none" lIns="0" tIns="0" rIns="0" bIns="0" anchor="t" anchorCtr="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GG6EvOgBAADM&#10;AwAADgAAAAAAAAABACAAAAAeAQAAZHJzL2Uyb0RvYy54bWxQSwUGAAAAAAYABgBZAQAAeAUAAAAA&#10;">
              <v:fill on="f" focussize="0,0"/>
              <v:stroke on="f"/>
              <v:imagedata o:title=""/>
              <o:lock v:ext="edit" aspectratio="f"/>
              <v:textbox inset="0mm,0mm,0mm,0mm" style="mso-fit-shape-to-text:t;">
                <w:txbxContent>
                  <w:p w14:paraId="4B74F552">
                    <w:pPr>
                      <w:pStyle w:val="14"/>
                    </w:pPr>
                    <w:r>
                      <w:fldChar w:fldCharType="begin"/>
                    </w:r>
                    <w:r>
                      <w:instrText xml:space="preserve"> PAGE  \* MERGEFORMAT </w:instrText>
                    </w:r>
                    <w:r>
                      <w:fldChar w:fldCharType="separate"/>
                    </w:r>
                    <w:r>
                      <w:t>93</w:t>
                    </w:r>
                    <w:r>
                      <w:fldChar w:fldCharType="end"/>
                    </w:r>
                  </w:p>
                </w:txbxContent>
              </v:textbox>
            </v:shape>
          </w:pict>
        </mc:Fallback>
      </mc:AlternateContent>
    </w:r>
    <w:r>
      <w:rPr>
        <w:rFonts w:hint="eastAsia"/>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6DA2E">
    <w:pPr>
      <w:pStyle w:val="14"/>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6856287"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114475D">
                          <w:pPr>
                            <w:pStyle w:val="14"/>
                          </w:pPr>
                          <w:r>
                            <w:fldChar w:fldCharType="begin"/>
                          </w:r>
                          <w:r>
                            <w:instrText xml:space="preserve"> PAGE  \* MERGEFORMAT </w:instrText>
                          </w:r>
                          <w:r>
                            <w:fldChar w:fldCharType="separate"/>
                          </w:r>
                          <w:r>
                            <w:t>93</w:t>
                          </w:r>
                          <w:r>
                            <w:fldChar w:fldCharType="end"/>
                          </w:r>
                        </w:p>
                      </w:txbxContent>
                    </wps:txbx>
                    <wps:bodyPr vert="horz" wrap="none" lIns="0" tIns="0" rIns="0" bIns="0" anchor="t" anchorCtr="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ql5uc8AAAAFAQAADwAA&#10;AAAAAAABACAAAAAiAAAAZHJzL2Rvd25yZXYueG1sUEsBAhQAFAAAAAgAh07iQHD7q//mAQAAzAMA&#10;AA4AAAAAAAAAAQAgAAAAHgEAAGRycy9lMm9Eb2MueG1sUEsFBgAAAAAGAAYAWQEAAHYFAAAAAA==&#10;">
              <v:fill on="f" focussize="0,0"/>
              <v:stroke on="f"/>
              <v:imagedata o:title=""/>
              <o:lock v:ext="edit" aspectratio="f"/>
              <v:textbox inset="0mm,0mm,0mm,0mm" style="mso-fit-shape-to-text:t;">
                <w:txbxContent>
                  <w:p w14:paraId="0114475D">
                    <w:pPr>
                      <w:pStyle w:val="14"/>
                    </w:pPr>
                    <w:r>
                      <w:fldChar w:fldCharType="begin"/>
                    </w:r>
                    <w:r>
                      <w:instrText xml:space="preserve"> PAGE  \* MERGEFORMAT </w:instrText>
                    </w:r>
                    <w:r>
                      <w:fldChar w:fldCharType="separate"/>
                    </w:r>
                    <w:r>
                      <w:t>93</w:t>
                    </w:r>
                    <w:r>
                      <w:fldChar w:fldCharType="end"/>
                    </w:r>
                  </w:p>
                </w:txbxContent>
              </v:textbox>
            </v:shape>
          </w:pict>
        </mc:Fallback>
      </mc:AlternateContent>
    </w:r>
    <w:r>
      <w:rPr>
        <w:rFonts w:hint="eastAsia"/>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57BAC">
    <w:pPr>
      <w:pStyle w:val="14"/>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7434A38">
                          <w:pPr>
                            <w:pStyle w:val="14"/>
                          </w:pPr>
                          <w:r>
                            <w:fldChar w:fldCharType="begin"/>
                          </w:r>
                          <w:r>
                            <w:instrText xml:space="preserve"> PAGE  \* MERGEFORMAT </w:instrText>
                          </w:r>
                          <w:r>
                            <w:fldChar w:fldCharType="separate"/>
                          </w:r>
                          <w:r>
                            <w:t>94</w:t>
                          </w:r>
                          <w:r>
                            <w:fldChar w:fldCharType="end"/>
                          </w:r>
                        </w:p>
                      </w:txbxContent>
                    </wps:txbx>
                    <wps:bodyPr vert="horz" wrap="none" lIns="0" tIns="0" rIns="0" bIns="0" anchor="t" anchorCtr="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xVTuD3gEAAMQDAAAOAAAAAAAA&#10;AAEAIAAAAB4BAABkcnMvZTJvRG9jLnhtbFBLBQYAAAAABgAGAFkBAABuBQAAAAA=&#10;">
              <v:fill on="f" focussize="0,0"/>
              <v:stroke on="f"/>
              <v:imagedata o:title=""/>
              <o:lock v:ext="edit" aspectratio="f"/>
              <v:textbox inset="0mm,0mm,0mm,0mm" style="mso-fit-shape-to-text:t;">
                <w:txbxContent>
                  <w:p w14:paraId="67434A38">
                    <w:pPr>
                      <w:pStyle w:val="14"/>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880C9">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C0622">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65AEC">
    <w:pPr>
      <w:pStyle w:val="1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780AF">
    <w:pPr>
      <w:pStyle w:val="1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4688B">
    <w:pPr>
      <w:pStyle w:val="15"/>
      <w:pBdr>
        <w:bottom w:val="none" w:color="auto" w:sz="0" w:space="1"/>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asparGuo">
    <w15:presenceInfo w15:providerId="None" w15:userId="KasparGu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lOTI2ZDAyYTE5YTFiN2UwMjg3MWIxYjhjNGE4NTgifQ=="/>
  </w:docVars>
  <w:rsids>
    <w:rsidRoot w:val="00172A27"/>
    <w:rsid w:val="000005BF"/>
    <w:rsid w:val="000007F6"/>
    <w:rsid w:val="0000116E"/>
    <w:rsid w:val="00001200"/>
    <w:rsid w:val="000012CA"/>
    <w:rsid w:val="00001F4B"/>
    <w:rsid w:val="00002AB9"/>
    <w:rsid w:val="00002D60"/>
    <w:rsid w:val="0000303F"/>
    <w:rsid w:val="00003F82"/>
    <w:rsid w:val="000042A1"/>
    <w:rsid w:val="0000433C"/>
    <w:rsid w:val="00004659"/>
    <w:rsid w:val="00004932"/>
    <w:rsid w:val="00004A94"/>
    <w:rsid w:val="00004C1F"/>
    <w:rsid w:val="00005AC3"/>
    <w:rsid w:val="00006049"/>
    <w:rsid w:val="000060B3"/>
    <w:rsid w:val="0000641D"/>
    <w:rsid w:val="000064A4"/>
    <w:rsid w:val="000066CA"/>
    <w:rsid w:val="000069BE"/>
    <w:rsid w:val="0000703B"/>
    <w:rsid w:val="000073A8"/>
    <w:rsid w:val="00007B83"/>
    <w:rsid w:val="00007B97"/>
    <w:rsid w:val="00007CB5"/>
    <w:rsid w:val="000102C4"/>
    <w:rsid w:val="000105CD"/>
    <w:rsid w:val="00010D9D"/>
    <w:rsid w:val="00010EB7"/>
    <w:rsid w:val="00011079"/>
    <w:rsid w:val="0001121F"/>
    <w:rsid w:val="000119EC"/>
    <w:rsid w:val="00011CCC"/>
    <w:rsid w:val="0001213C"/>
    <w:rsid w:val="000124CC"/>
    <w:rsid w:val="00012D3E"/>
    <w:rsid w:val="00013846"/>
    <w:rsid w:val="000138F0"/>
    <w:rsid w:val="000139AD"/>
    <w:rsid w:val="00013C24"/>
    <w:rsid w:val="00013FA7"/>
    <w:rsid w:val="0001457F"/>
    <w:rsid w:val="00014664"/>
    <w:rsid w:val="00014A6B"/>
    <w:rsid w:val="00014BF3"/>
    <w:rsid w:val="00014CC2"/>
    <w:rsid w:val="00015115"/>
    <w:rsid w:val="0001607F"/>
    <w:rsid w:val="00016524"/>
    <w:rsid w:val="0001672D"/>
    <w:rsid w:val="00016EC2"/>
    <w:rsid w:val="00017569"/>
    <w:rsid w:val="00017898"/>
    <w:rsid w:val="00017A56"/>
    <w:rsid w:val="00020945"/>
    <w:rsid w:val="00020E94"/>
    <w:rsid w:val="00021485"/>
    <w:rsid w:val="0002176A"/>
    <w:rsid w:val="00021C1F"/>
    <w:rsid w:val="00022299"/>
    <w:rsid w:val="0002249D"/>
    <w:rsid w:val="000227C4"/>
    <w:rsid w:val="00022AFF"/>
    <w:rsid w:val="00022EB0"/>
    <w:rsid w:val="0002336F"/>
    <w:rsid w:val="000238D6"/>
    <w:rsid w:val="00023EF0"/>
    <w:rsid w:val="00023F10"/>
    <w:rsid w:val="000248E2"/>
    <w:rsid w:val="00024D72"/>
    <w:rsid w:val="00024F00"/>
    <w:rsid w:val="000253BE"/>
    <w:rsid w:val="00025A4A"/>
    <w:rsid w:val="00025F0D"/>
    <w:rsid w:val="00026273"/>
    <w:rsid w:val="00026283"/>
    <w:rsid w:val="00026477"/>
    <w:rsid w:val="000265F1"/>
    <w:rsid w:val="00026736"/>
    <w:rsid w:val="000270F7"/>
    <w:rsid w:val="000273D1"/>
    <w:rsid w:val="00027481"/>
    <w:rsid w:val="00030063"/>
    <w:rsid w:val="00030068"/>
    <w:rsid w:val="00030969"/>
    <w:rsid w:val="000309FE"/>
    <w:rsid w:val="00030F91"/>
    <w:rsid w:val="00031116"/>
    <w:rsid w:val="00032B5C"/>
    <w:rsid w:val="00032F90"/>
    <w:rsid w:val="000332E2"/>
    <w:rsid w:val="0003363F"/>
    <w:rsid w:val="000341BA"/>
    <w:rsid w:val="00034B12"/>
    <w:rsid w:val="00034CCF"/>
    <w:rsid w:val="00034FC0"/>
    <w:rsid w:val="0003515D"/>
    <w:rsid w:val="00035535"/>
    <w:rsid w:val="000356AD"/>
    <w:rsid w:val="00036163"/>
    <w:rsid w:val="00036321"/>
    <w:rsid w:val="00036BC9"/>
    <w:rsid w:val="00036C59"/>
    <w:rsid w:val="000376C7"/>
    <w:rsid w:val="000406E6"/>
    <w:rsid w:val="00040957"/>
    <w:rsid w:val="00040E80"/>
    <w:rsid w:val="00041129"/>
    <w:rsid w:val="000419C7"/>
    <w:rsid w:val="000420AB"/>
    <w:rsid w:val="0004295A"/>
    <w:rsid w:val="00042D4D"/>
    <w:rsid w:val="00042E27"/>
    <w:rsid w:val="00042F67"/>
    <w:rsid w:val="0004364B"/>
    <w:rsid w:val="00043E21"/>
    <w:rsid w:val="00043FEB"/>
    <w:rsid w:val="0004415D"/>
    <w:rsid w:val="0004426C"/>
    <w:rsid w:val="00044748"/>
    <w:rsid w:val="00044B68"/>
    <w:rsid w:val="00044BFE"/>
    <w:rsid w:val="0004536B"/>
    <w:rsid w:val="00045426"/>
    <w:rsid w:val="000457B3"/>
    <w:rsid w:val="00045CCA"/>
    <w:rsid w:val="00045F14"/>
    <w:rsid w:val="0004720E"/>
    <w:rsid w:val="000472F0"/>
    <w:rsid w:val="00047671"/>
    <w:rsid w:val="00047B88"/>
    <w:rsid w:val="00047EDA"/>
    <w:rsid w:val="00050C55"/>
    <w:rsid w:val="00051697"/>
    <w:rsid w:val="00051DB1"/>
    <w:rsid w:val="00051EC8"/>
    <w:rsid w:val="00052B30"/>
    <w:rsid w:val="00052BB7"/>
    <w:rsid w:val="00052C0E"/>
    <w:rsid w:val="00053077"/>
    <w:rsid w:val="00053A18"/>
    <w:rsid w:val="00053AB3"/>
    <w:rsid w:val="00053ACC"/>
    <w:rsid w:val="00053B24"/>
    <w:rsid w:val="00054A5F"/>
    <w:rsid w:val="00054DB0"/>
    <w:rsid w:val="00054F79"/>
    <w:rsid w:val="000550FD"/>
    <w:rsid w:val="00055BF6"/>
    <w:rsid w:val="00055D53"/>
    <w:rsid w:val="0005607A"/>
    <w:rsid w:val="0005636B"/>
    <w:rsid w:val="00056562"/>
    <w:rsid w:val="00056D4D"/>
    <w:rsid w:val="000570E5"/>
    <w:rsid w:val="00057227"/>
    <w:rsid w:val="0005774A"/>
    <w:rsid w:val="00057930"/>
    <w:rsid w:val="00057AB9"/>
    <w:rsid w:val="00060202"/>
    <w:rsid w:val="0006083E"/>
    <w:rsid w:val="00060909"/>
    <w:rsid w:val="00060A70"/>
    <w:rsid w:val="00060E92"/>
    <w:rsid w:val="00060F7C"/>
    <w:rsid w:val="000610CE"/>
    <w:rsid w:val="0006121B"/>
    <w:rsid w:val="00061338"/>
    <w:rsid w:val="000618BA"/>
    <w:rsid w:val="000618D6"/>
    <w:rsid w:val="000619A9"/>
    <w:rsid w:val="00061B1F"/>
    <w:rsid w:val="00061B64"/>
    <w:rsid w:val="00062CAC"/>
    <w:rsid w:val="00063072"/>
    <w:rsid w:val="000631FB"/>
    <w:rsid w:val="00063787"/>
    <w:rsid w:val="0006483C"/>
    <w:rsid w:val="0006648C"/>
    <w:rsid w:val="00066EF0"/>
    <w:rsid w:val="00067B44"/>
    <w:rsid w:val="00067EDF"/>
    <w:rsid w:val="0007076C"/>
    <w:rsid w:val="00070B10"/>
    <w:rsid w:val="00070B69"/>
    <w:rsid w:val="00073043"/>
    <w:rsid w:val="000733C4"/>
    <w:rsid w:val="0007353B"/>
    <w:rsid w:val="0007375E"/>
    <w:rsid w:val="00073C4C"/>
    <w:rsid w:val="00074783"/>
    <w:rsid w:val="000750E7"/>
    <w:rsid w:val="00075403"/>
    <w:rsid w:val="000754AC"/>
    <w:rsid w:val="00075FB7"/>
    <w:rsid w:val="00076983"/>
    <w:rsid w:val="00076B30"/>
    <w:rsid w:val="00076D8F"/>
    <w:rsid w:val="00076E1D"/>
    <w:rsid w:val="0007770A"/>
    <w:rsid w:val="00077905"/>
    <w:rsid w:val="00077C33"/>
    <w:rsid w:val="00077F68"/>
    <w:rsid w:val="0008070B"/>
    <w:rsid w:val="000808D2"/>
    <w:rsid w:val="00080AD8"/>
    <w:rsid w:val="00080AEF"/>
    <w:rsid w:val="000810AC"/>
    <w:rsid w:val="00081A02"/>
    <w:rsid w:val="00081B1A"/>
    <w:rsid w:val="00081CA6"/>
    <w:rsid w:val="00081EFA"/>
    <w:rsid w:val="00082231"/>
    <w:rsid w:val="00084047"/>
    <w:rsid w:val="00084192"/>
    <w:rsid w:val="0008438C"/>
    <w:rsid w:val="00084753"/>
    <w:rsid w:val="00085176"/>
    <w:rsid w:val="0008699B"/>
    <w:rsid w:val="00086AF1"/>
    <w:rsid w:val="0008729B"/>
    <w:rsid w:val="000876AC"/>
    <w:rsid w:val="00087CBB"/>
    <w:rsid w:val="000903FF"/>
    <w:rsid w:val="000906B7"/>
    <w:rsid w:val="000906F5"/>
    <w:rsid w:val="0009093B"/>
    <w:rsid w:val="00091AD5"/>
    <w:rsid w:val="00092460"/>
    <w:rsid w:val="00092734"/>
    <w:rsid w:val="00092D38"/>
    <w:rsid w:val="0009377B"/>
    <w:rsid w:val="00093860"/>
    <w:rsid w:val="00093D96"/>
    <w:rsid w:val="000953B9"/>
    <w:rsid w:val="00095DA3"/>
    <w:rsid w:val="000963FA"/>
    <w:rsid w:val="000964D3"/>
    <w:rsid w:val="00096A06"/>
    <w:rsid w:val="00097225"/>
    <w:rsid w:val="00097243"/>
    <w:rsid w:val="000979DE"/>
    <w:rsid w:val="00097ECF"/>
    <w:rsid w:val="000A09D3"/>
    <w:rsid w:val="000A160A"/>
    <w:rsid w:val="000A20C9"/>
    <w:rsid w:val="000A22DF"/>
    <w:rsid w:val="000A2648"/>
    <w:rsid w:val="000A2680"/>
    <w:rsid w:val="000A277B"/>
    <w:rsid w:val="000A2A3E"/>
    <w:rsid w:val="000A2A94"/>
    <w:rsid w:val="000A420B"/>
    <w:rsid w:val="000A4274"/>
    <w:rsid w:val="000A458F"/>
    <w:rsid w:val="000A4DDB"/>
    <w:rsid w:val="000A5191"/>
    <w:rsid w:val="000A5A11"/>
    <w:rsid w:val="000A5AFA"/>
    <w:rsid w:val="000A5E0A"/>
    <w:rsid w:val="000A628A"/>
    <w:rsid w:val="000A665B"/>
    <w:rsid w:val="000A67F1"/>
    <w:rsid w:val="000A6B1A"/>
    <w:rsid w:val="000A6FFA"/>
    <w:rsid w:val="000A700F"/>
    <w:rsid w:val="000A7DD0"/>
    <w:rsid w:val="000B058F"/>
    <w:rsid w:val="000B0626"/>
    <w:rsid w:val="000B06E0"/>
    <w:rsid w:val="000B073F"/>
    <w:rsid w:val="000B07BA"/>
    <w:rsid w:val="000B07BF"/>
    <w:rsid w:val="000B0F32"/>
    <w:rsid w:val="000B1D76"/>
    <w:rsid w:val="000B1DB0"/>
    <w:rsid w:val="000B2994"/>
    <w:rsid w:val="000B365A"/>
    <w:rsid w:val="000B3920"/>
    <w:rsid w:val="000B3B01"/>
    <w:rsid w:val="000B3CAE"/>
    <w:rsid w:val="000B4467"/>
    <w:rsid w:val="000B474F"/>
    <w:rsid w:val="000B4C3C"/>
    <w:rsid w:val="000B4DB9"/>
    <w:rsid w:val="000B4E61"/>
    <w:rsid w:val="000B5B4B"/>
    <w:rsid w:val="000B5F73"/>
    <w:rsid w:val="000B6A5D"/>
    <w:rsid w:val="000B710F"/>
    <w:rsid w:val="000B7401"/>
    <w:rsid w:val="000B7B70"/>
    <w:rsid w:val="000B7BB0"/>
    <w:rsid w:val="000C01AF"/>
    <w:rsid w:val="000C032B"/>
    <w:rsid w:val="000C04E3"/>
    <w:rsid w:val="000C062A"/>
    <w:rsid w:val="000C09AC"/>
    <w:rsid w:val="000C0C55"/>
    <w:rsid w:val="000C1681"/>
    <w:rsid w:val="000C1CBB"/>
    <w:rsid w:val="000C2138"/>
    <w:rsid w:val="000C214E"/>
    <w:rsid w:val="000C2C0F"/>
    <w:rsid w:val="000C3837"/>
    <w:rsid w:val="000C3A2E"/>
    <w:rsid w:val="000C3B51"/>
    <w:rsid w:val="000C3EF8"/>
    <w:rsid w:val="000C42C6"/>
    <w:rsid w:val="000C4A9C"/>
    <w:rsid w:val="000C4B8E"/>
    <w:rsid w:val="000C5B0D"/>
    <w:rsid w:val="000C60D9"/>
    <w:rsid w:val="000C7131"/>
    <w:rsid w:val="000C767F"/>
    <w:rsid w:val="000C7761"/>
    <w:rsid w:val="000D005F"/>
    <w:rsid w:val="000D02F4"/>
    <w:rsid w:val="000D0521"/>
    <w:rsid w:val="000D05AB"/>
    <w:rsid w:val="000D05BF"/>
    <w:rsid w:val="000D0FAC"/>
    <w:rsid w:val="000D1378"/>
    <w:rsid w:val="000D17E1"/>
    <w:rsid w:val="000D1DEC"/>
    <w:rsid w:val="000D2374"/>
    <w:rsid w:val="000D24CA"/>
    <w:rsid w:val="000D278A"/>
    <w:rsid w:val="000D2B19"/>
    <w:rsid w:val="000D2BEA"/>
    <w:rsid w:val="000D2CD3"/>
    <w:rsid w:val="000D2FBF"/>
    <w:rsid w:val="000D3653"/>
    <w:rsid w:val="000D3950"/>
    <w:rsid w:val="000D4055"/>
    <w:rsid w:val="000D438F"/>
    <w:rsid w:val="000D47C0"/>
    <w:rsid w:val="000D49CC"/>
    <w:rsid w:val="000D4A1F"/>
    <w:rsid w:val="000D4CE9"/>
    <w:rsid w:val="000D521E"/>
    <w:rsid w:val="000D5501"/>
    <w:rsid w:val="000D5831"/>
    <w:rsid w:val="000D5A44"/>
    <w:rsid w:val="000D5A8E"/>
    <w:rsid w:val="000D6919"/>
    <w:rsid w:val="000D6A05"/>
    <w:rsid w:val="000D6A37"/>
    <w:rsid w:val="000D7283"/>
    <w:rsid w:val="000D7288"/>
    <w:rsid w:val="000D72DB"/>
    <w:rsid w:val="000D7766"/>
    <w:rsid w:val="000D7DBB"/>
    <w:rsid w:val="000E023B"/>
    <w:rsid w:val="000E0482"/>
    <w:rsid w:val="000E09FC"/>
    <w:rsid w:val="000E0A0E"/>
    <w:rsid w:val="000E0F10"/>
    <w:rsid w:val="000E1031"/>
    <w:rsid w:val="000E1765"/>
    <w:rsid w:val="000E1929"/>
    <w:rsid w:val="000E1A07"/>
    <w:rsid w:val="000E20F4"/>
    <w:rsid w:val="000E2F6C"/>
    <w:rsid w:val="000E35B1"/>
    <w:rsid w:val="000E3926"/>
    <w:rsid w:val="000E39AD"/>
    <w:rsid w:val="000E3ED2"/>
    <w:rsid w:val="000E3EE6"/>
    <w:rsid w:val="000E48CA"/>
    <w:rsid w:val="000E4E80"/>
    <w:rsid w:val="000E4FCA"/>
    <w:rsid w:val="000E51D2"/>
    <w:rsid w:val="000E531C"/>
    <w:rsid w:val="000E53C5"/>
    <w:rsid w:val="000E5EB8"/>
    <w:rsid w:val="000E6280"/>
    <w:rsid w:val="000E668F"/>
    <w:rsid w:val="000E6D44"/>
    <w:rsid w:val="000E6E22"/>
    <w:rsid w:val="000E726F"/>
    <w:rsid w:val="000E7395"/>
    <w:rsid w:val="000E7461"/>
    <w:rsid w:val="000E77FC"/>
    <w:rsid w:val="000E7D55"/>
    <w:rsid w:val="000E7EF3"/>
    <w:rsid w:val="000F01EE"/>
    <w:rsid w:val="000F02DB"/>
    <w:rsid w:val="000F0DA3"/>
    <w:rsid w:val="000F1113"/>
    <w:rsid w:val="000F124C"/>
    <w:rsid w:val="000F1262"/>
    <w:rsid w:val="000F1E62"/>
    <w:rsid w:val="000F2AC8"/>
    <w:rsid w:val="000F2DC9"/>
    <w:rsid w:val="000F2F0B"/>
    <w:rsid w:val="000F363B"/>
    <w:rsid w:val="000F38D3"/>
    <w:rsid w:val="000F3A1D"/>
    <w:rsid w:val="000F3AE6"/>
    <w:rsid w:val="000F3D68"/>
    <w:rsid w:val="000F3F89"/>
    <w:rsid w:val="000F409E"/>
    <w:rsid w:val="000F4217"/>
    <w:rsid w:val="000F461F"/>
    <w:rsid w:val="000F51BF"/>
    <w:rsid w:val="000F5A63"/>
    <w:rsid w:val="000F6367"/>
    <w:rsid w:val="000F6846"/>
    <w:rsid w:val="000F73A7"/>
    <w:rsid w:val="000F7936"/>
    <w:rsid w:val="000F7D75"/>
    <w:rsid w:val="00100375"/>
    <w:rsid w:val="00100759"/>
    <w:rsid w:val="00100932"/>
    <w:rsid w:val="00101B48"/>
    <w:rsid w:val="00101DDF"/>
    <w:rsid w:val="00102C8E"/>
    <w:rsid w:val="00102C95"/>
    <w:rsid w:val="00104052"/>
    <w:rsid w:val="001047B0"/>
    <w:rsid w:val="0010500E"/>
    <w:rsid w:val="00105611"/>
    <w:rsid w:val="001056CF"/>
    <w:rsid w:val="00105C46"/>
    <w:rsid w:val="00106270"/>
    <w:rsid w:val="00106667"/>
    <w:rsid w:val="00106EAA"/>
    <w:rsid w:val="00107302"/>
    <w:rsid w:val="00107941"/>
    <w:rsid w:val="00107E51"/>
    <w:rsid w:val="001105FB"/>
    <w:rsid w:val="0011060F"/>
    <w:rsid w:val="00111735"/>
    <w:rsid w:val="00111CCF"/>
    <w:rsid w:val="00111FA0"/>
    <w:rsid w:val="00112205"/>
    <w:rsid w:val="0011221C"/>
    <w:rsid w:val="00112D18"/>
    <w:rsid w:val="001131DC"/>
    <w:rsid w:val="001136B0"/>
    <w:rsid w:val="00113CA0"/>
    <w:rsid w:val="0011433B"/>
    <w:rsid w:val="00114402"/>
    <w:rsid w:val="00114934"/>
    <w:rsid w:val="001154F0"/>
    <w:rsid w:val="00115504"/>
    <w:rsid w:val="00115505"/>
    <w:rsid w:val="00115EDF"/>
    <w:rsid w:val="00116B69"/>
    <w:rsid w:val="00116CB3"/>
    <w:rsid w:val="00116CD8"/>
    <w:rsid w:val="00116DC8"/>
    <w:rsid w:val="00117271"/>
    <w:rsid w:val="00117351"/>
    <w:rsid w:val="0011755C"/>
    <w:rsid w:val="0011780F"/>
    <w:rsid w:val="0012001E"/>
    <w:rsid w:val="00120477"/>
    <w:rsid w:val="001208E2"/>
    <w:rsid w:val="00120906"/>
    <w:rsid w:val="00120ACB"/>
    <w:rsid w:val="00120ACD"/>
    <w:rsid w:val="00120C98"/>
    <w:rsid w:val="00121342"/>
    <w:rsid w:val="001216BC"/>
    <w:rsid w:val="0012170F"/>
    <w:rsid w:val="00122039"/>
    <w:rsid w:val="001220B4"/>
    <w:rsid w:val="00122477"/>
    <w:rsid w:val="00122930"/>
    <w:rsid w:val="00122D52"/>
    <w:rsid w:val="00122F2D"/>
    <w:rsid w:val="00123385"/>
    <w:rsid w:val="00123451"/>
    <w:rsid w:val="00123FDF"/>
    <w:rsid w:val="00124498"/>
    <w:rsid w:val="001252DF"/>
    <w:rsid w:val="00125324"/>
    <w:rsid w:val="00126942"/>
    <w:rsid w:val="00126A85"/>
    <w:rsid w:val="00127E1C"/>
    <w:rsid w:val="001303C3"/>
    <w:rsid w:val="0013073F"/>
    <w:rsid w:val="001308F8"/>
    <w:rsid w:val="00130F3C"/>
    <w:rsid w:val="001317BD"/>
    <w:rsid w:val="00131F42"/>
    <w:rsid w:val="001322BF"/>
    <w:rsid w:val="001322FB"/>
    <w:rsid w:val="00132E53"/>
    <w:rsid w:val="0013371E"/>
    <w:rsid w:val="001338BE"/>
    <w:rsid w:val="0013393F"/>
    <w:rsid w:val="00133B0F"/>
    <w:rsid w:val="001357F1"/>
    <w:rsid w:val="0013593D"/>
    <w:rsid w:val="00135FB5"/>
    <w:rsid w:val="00136150"/>
    <w:rsid w:val="00136327"/>
    <w:rsid w:val="00136C4C"/>
    <w:rsid w:val="00137034"/>
    <w:rsid w:val="00140013"/>
    <w:rsid w:val="00140FA8"/>
    <w:rsid w:val="001412F0"/>
    <w:rsid w:val="00141CA6"/>
    <w:rsid w:val="00142B3A"/>
    <w:rsid w:val="00142FEB"/>
    <w:rsid w:val="001430A5"/>
    <w:rsid w:val="00143692"/>
    <w:rsid w:val="001436F0"/>
    <w:rsid w:val="0014395B"/>
    <w:rsid w:val="0014396F"/>
    <w:rsid w:val="00143985"/>
    <w:rsid w:val="00143A2D"/>
    <w:rsid w:val="00144028"/>
    <w:rsid w:val="001442B5"/>
    <w:rsid w:val="00144C5A"/>
    <w:rsid w:val="00144C9E"/>
    <w:rsid w:val="00144D2C"/>
    <w:rsid w:val="001455EE"/>
    <w:rsid w:val="00145698"/>
    <w:rsid w:val="001456B8"/>
    <w:rsid w:val="001459D4"/>
    <w:rsid w:val="00145A41"/>
    <w:rsid w:val="00145AA2"/>
    <w:rsid w:val="00145FDD"/>
    <w:rsid w:val="001462CA"/>
    <w:rsid w:val="0014669E"/>
    <w:rsid w:val="00146A00"/>
    <w:rsid w:val="00146ABA"/>
    <w:rsid w:val="00146E44"/>
    <w:rsid w:val="00146F42"/>
    <w:rsid w:val="00147075"/>
    <w:rsid w:val="00147AB6"/>
    <w:rsid w:val="0015021E"/>
    <w:rsid w:val="001505A3"/>
    <w:rsid w:val="001506FC"/>
    <w:rsid w:val="001507F6"/>
    <w:rsid w:val="00150889"/>
    <w:rsid w:val="0015151C"/>
    <w:rsid w:val="00151675"/>
    <w:rsid w:val="001519D3"/>
    <w:rsid w:val="00151CA8"/>
    <w:rsid w:val="00151D21"/>
    <w:rsid w:val="00151E5B"/>
    <w:rsid w:val="00152916"/>
    <w:rsid w:val="0015322C"/>
    <w:rsid w:val="00153D30"/>
    <w:rsid w:val="001542D4"/>
    <w:rsid w:val="001543ED"/>
    <w:rsid w:val="0015494F"/>
    <w:rsid w:val="00154D0E"/>
    <w:rsid w:val="0015512A"/>
    <w:rsid w:val="001554E7"/>
    <w:rsid w:val="0015576C"/>
    <w:rsid w:val="00155A7E"/>
    <w:rsid w:val="00156477"/>
    <w:rsid w:val="001566DD"/>
    <w:rsid w:val="00156774"/>
    <w:rsid w:val="0015697F"/>
    <w:rsid w:val="00157378"/>
    <w:rsid w:val="00157435"/>
    <w:rsid w:val="001577CD"/>
    <w:rsid w:val="00160E84"/>
    <w:rsid w:val="00160E9B"/>
    <w:rsid w:val="00161748"/>
    <w:rsid w:val="00162F4D"/>
    <w:rsid w:val="00163020"/>
    <w:rsid w:val="00163356"/>
    <w:rsid w:val="00163A5D"/>
    <w:rsid w:val="0016417E"/>
    <w:rsid w:val="00164552"/>
    <w:rsid w:val="0016464E"/>
    <w:rsid w:val="001647BF"/>
    <w:rsid w:val="00165AEA"/>
    <w:rsid w:val="001662BB"/>
    <w:rsid w:val="001669C2"/>
    <w:rsid w:val="00166E37"/>
    <w:rsid w:val="00167315"/>
    <w:rsid w:val="00167701"/>
    <w:rsid w:val="00167987"/>
    <w:rsid w:val="00167A57"/>
    <w:rsid w:val="00167F9D"/>
    <w:rsid w:val="001700B3"/>
    <w:rsid w:val="001703E8"/>
    <w:rsid w:val="0017068F"/>
    <w:rsid w:val="00170FD9"/>
    <w:rsid w:val="001716CC"/>
    <w:rsid w:val="00171DC3"/>
    <w:rsid w:val="00171DE1"/>
    <w:rsid w:val="001728A5"/>
    <w:rsid w:val="001729C6"/>
    <w:rsid w:val="00172A27"/>
    <w:rsid w:val="00172C7C"/>
    <w:rsid w:val="00173449"/>
    <w:rsid w:val="00173842"/>
    <w:rsid w:val="001740C1"/>
    <w:rsid w:val="00174755"/>
    <w:rsid w:val="00174F37"/>
    <w:rsid w:val="0017504D"/>
    <w:rsid w:val="00175BBF"/>
    <w:rsid w:val="0017671A"/>
    <w:rsid w:val="0017686F"/>
    <w:rsid w:val="00176D00"/>
    <w:rsid w:val="00176DA3"/>
    <w:rsid w:val="00177110"/>
    <w:rsid w:val="00177422"/>
    <w:rsid w:val="0017772F"/>
    <w:rsid w:val="00177A3C"/>
    <w:rsid w:val="00177BCD"/>
    <w:rsid w:val="00177E39"/>
    <w:rsid w:val="00180372"/>
    <w:rsid w:val="001804BA"/>
    <w:rsid w:val="0018069B"/>
    <w:rsid w:val="00180730"/>
    <w:rsid w:val="00180896"/>
    <w:rsid w:val="00180A9A"/>
    <w:rsid w:val="0018103F"/>
    <w:rsid w:val="001820A5"/>
    <w:rsid w:val="00182412"/>
    <w:rsid w:val="00182CA5"/>
    <w:rsid w:val="00182F69"/>
    <w:rsid w:val="00183BEF"/>
    <w:rsid w:val="00183EE7"/>
    <w:rsid w:val="00184590"/>
    <w:rsid w:val="0018465E"/>
    <w:rsid w:val="001860EE"/>
    <w:rsid w:val="001861D9"/>
    <w:rsid w:val="00186228"/>
    <w:rsid w:val="00186ABB"/>
    <w:rsid w:val="00186E0B"/>
    <w:rsid w:val="001870D1"/>
    <w:rsid w:val="0018737D"/>
    <w:rsid w:val="001875F5"/>
    <w:rsid w:val="0018781E"/>
    <w:rsid w:val="0018796B"/>
    <w:rsid w:val="00190137"/>
    <w:rsid w:val="00190277"/>
    <w:rsid w:val="00190D16"/>
    <w:rsid w:val="00191324"/>
    <w:rsid w:val="00191690"/>
    <w:rsid w:val="00191C38"/>
    <w:rsid w:val="00191CD0"/>
    <w:rsid w:val="0019262D"/>
    <w:rsid w:val="001926DC"/>
    <w:rsid w:val="00192750"/>
    <w:rsid w:val="0019288C"/>
    <w:rsid w:val="00192A28"/>
    <w:rsid w:val="001952A7"/>
    <w:rsid w:val="001957FD"/>
    <w:rsid w:val="0019588C"/>
    <w:rsid w:val="001960BE"/>
    <w:rsid w:val="001961BC"/>
    <w:rsid w:val="00196B4F"/>
    <w:rsid w:val="00196C68"/>
    <w:rsid w:val="001A17BF"/>
    <w:rsid w:val="001A1B35"/>
    <w:rsid w:val="001A22B6"/>
    <w:rsid w:val="001A25CB"/>
    <w:rsid w:val="001A3F62"/>
    <w:rsid w:val="001A42F9"/>
    <w:rsid w:val="001A4393"/>
    <w:rsid w:val="001A48A2"/>
    <w:rsid w:val="001A4BDE"/>
    <w:rsid w:val="001A6444"/>
    <w:rsid w:val="001A6F61"/>
    <w:rsid w:val="001A7997"/>
    <w:rsid w:val="001A7EBC"/>
    <w:rsid w:val="001B03D7"/>
    <w:rsid w:val="001B08E1"/>
    <w:rsid w:val="001B0B04"/>
    <w:rsid w:val="001B0FA0"/>
    <w:rsid w:val="001B1DDC"/>
    <w:rsid w:val="001B25D7"/>
    <w:rsid w:val="001B270D"/>
    <w:rsid w:val="001B2F7C"/>
    <w:rsid w:val="001B3009"/>
    <w:rsid w:val="001B3843"/>
    <w:rsid w:val="001B42C2"/>
    <w:rsid w:val="001B48C1"/>
    <w:rsid w:val="001B4FD1"/>
    <w:rsid w:val="001B5381"/>
    <w:rsid w:val="001B541A"/>
    <w:rsid w:val="001B5BD0"/>
    <w:rsid w:val="001B6067"/>
    <w:rsid w:val="001B61C6"/>
    <w:rsid w:val="001B67A1"/>
    <w:rsid w:val="001B70C3"/>
    <w:rsid w:val="001B72B8"/>
    <w:rsid w:val="001C066F"/>
    <w:rsid w:val="001C071F"/>
    <w:rsid w:val="001C0916"/>
    <w:rsid w:val="001C1206"/>
    <w:rsid w:val="001C127B"/>
    <w:rsid w:val="001C15D6"/>
    <w:rsid w:val="001C16DB"/>
    <w:rsid w:val="001C1CBB"/>
    <w:rsid w:val="001C1D7A"/>
    <w:rsid w:val="001C1E75"/>
    <w:rsid w:val="001C21A3"/>
    <w:rsid w:val="001C2A2C"/>
    <w:rsid w:val="001C38C8"/>
    <w:rsid w:val="001C3F06"/>
    <w:rsid w:val="001C4272"/>
    <w:rsid w:val="001C4776"/>
    <w:rsid w:val="001C47E8"/>
    <w:rsid w:val="001C4EF3"/>
    <w:rsid w:val="001C52E8"/>
    <w:rsid w:val="001C55E5"/>
    <w:rsid w:val="001C6970"/>
    <w:rsid w:val="001C69B3"/>
    <w:rsid w:val="001C69D7"/>
    <w:rsid w:val="001C71C6"/>
    <w:rsid w:val="001C79CE"/>
    <w:rsid w:val="001C7D98"/>
    <w:rsid w:val="001D14EF"/>
    <w:rsid w:val="001D1A17"/>
    <w:rsid w:val="001D1D3A"/>
    <w:rsid w:val="001D1EA1"/>
    <w:rsid w:val="001D1F01"/>
    <w:rsid w:val="001D212C"/>
    <w:rsid w:val="001D2132"/>
    <w:rsid w:val="001D2FB5"/>
    <w:rsid w:val="001D30C6"/>
    <w:rsid w:val="001D380B"/>
    <w:rsid w:val="001D3821"/>
    <w:rsid w:val="001D3EAA"/>
    <w:rsid w:val="001D4231"/>
    <w:rsid w:val="001D4342"/>
    <w:rsid w:val="001D46BE"/>
    <w:rsid w:val="001D5595"/>
    <w:rsid w:val="001D5A67"/>
    <w:rsid w:val="001D5C5F"/>
    <w:rsid w:val="001D695D"/>
    <w:rsid w:val="001D6980"/>
    <w:rsid w:val="001D7353"/>
    <w:rsid w:val="001D75A3"/>
    <w:rsid w:val="001D7874"/>
    <w:rsid w:val="001D7C3C"/>
    <w:rsid w:val="001D7F22"/>
    <w:rsid w:val="001E02B3"/>
    <w:rsid w:val="001E0840"/>
    <w:rsid w:val="001E0FA6"/>
    <w:rsid w:val="001E111C"/>
    <w:rsid w:val="001E12A3"/>
    <w:rsid w:val="001E17BE"/>
    <w:rsid w:val="001E1D86"/>
    <w:rsid w:val="001E1DF2"/>
    <w:rsid w:val="001E1E20"/>
    <w:rsid w:val="001E27DF"/>
    <w:rsid w:val="001E2BEE"/>
    <w:rsid w:val="001E2CE6"/>
    <w:rsid w:val="001E3661"/>
    <w:rsid w:val="001E36A9"/>
    <w:rsid w:val="001E454F"/>
    <w:rsid w:val="001E4667"/>
    <w:rsid w:val="001E4CF2"/>
    <w:rsid w:val="001E515A"/>
    <w:rsid w:val="001E54E3"/>
    <w:rsid w:val="001E64B6"/>
    <w:rsid w:val="001E680B"/>
    <w:rsid w:val="001E7056"/>
    <w:rsid w:val="001F054D"/>
    <w:rsid w:val="001F09CF"/>
    <w:rsid w:val="001F0E29"/>
    <w:rsid w:val="001F0F17"/>
    <w:rsid w:val="001F115F"/>
    <w:rsid w:val="001F129C"/>
    <w:rsid w:val="001F13AB"/>
    <w:rsid w:val="001F1B35"/>
    <w:rsid w:val="001F1D2C"/>
    <w:rsid w:val="001F1DE4"/>
    <w:rsid w:val="001F2B1D"/>
    <w:rsid w:val="001F3117"/>
    <w:rsid w:val="001F3347"/>
    <w:rsid w:val="001F33A3"/>
    <w:rsid w:val="001F4482"/>
    <w:rsid w:val="001F5713"/>
    <w:rsid w:val="001F5B3D"/>
    <w:rsid w:val="001F5FE5"/>
    <w:rsid w:val="001F69E4"/>
    <w:rsid w:val="001F6C63"/>
    <w:rsid w:val="001F6EC8"/>
    <w:rsid w:val="001F70D0"/>
    <w:rsid w:val="001F7645"/>
    <w:rsid w:val="001F7BC2"/>
    <w:rsid w:val="0020173F"/>
    <w:rsid w:val="00201C77"/>
    <w:rsid w:val="0020216A"/>
    <w:rsid w:val="00202567"/>
    <w:rsid w:val="0020271E"/>
    <w:rsid w:val="00202994"/>
    <w:rsid w:val="00202D88"/>
    <w:rsid w:val="002034C9"/>
    <w:rsid w:val="0020386F"/>
    <w:rsid w:val="00204208"/>
    <w:rsid w:val="002044BD"/>
    <w:rsid w:val="00204F3B"/>
    <w:rsid w:val="002051E5"/>
    <w:rsid w:val="00205BE6"/>
    <w:rsid w:val="002064DB"/>
    <w:rsid w:val="00206847"/>
    <w:rsid w:val="00210311"/>
    <w:rsid w:val="00210B9D"/>
    <w:rsid w:val="00210BFB"/>
    <w:rsid w:val="00210F14"/>
    <w:rsid w:val="00211405"/>
    <w:rsid w:val="002115C8"/>
    <w:rsid w:val="00211637"/>
    <w:rsid w:val="00211935"/>
    <w:rsid w:val="00211C61"/>
    <w:rsid w:val="00211D3F"/>
    <w:rsid w:val="00212493"/>
    <w:rsid w:val="002125B4"/>
    <w:rsid w:val="0021272B"/>
    <w:rsid w:val="00212D70"/>
    <w:rsid w:val="00213482"/>
    <w:rsid w:val="00213E4B"/>
    <w:rsid w:val="002143E7"/>
    <w:rsid w:val="00214578"/>
    <w:rsid w:val="00214ACC"/>
    <w:rsid w:val="00214AE0"/>
    <w:rsid w:val="00214B45"/>
    <w:rsid w:val="00214C46"/>
    <w:rsid w:val="00214E29"/>
    <w:rsid w:val="002153F3"/>
    <w:rsid w:val="002155B8"/>
    <w:rsid w:val="002157EF"/>
    <w:rsid w:val="00215F55"/>
    <w:rsid w:val="00216969"/>
    <w:rsid w:val="00217C4B"/>
    <w:rsid w:val="00217DB2"/>
    <w:rsid w:val="00217E5E"/>
    <w:rsid w:val="002205E9"/>
    <w:rsid w:val="002206B1"/>
    <w:rsid w:val="00220B9D"/>
    <w:rsid w:val="00221356"/>
    <w:rsid w:val="002214E5"/>
    <w:rsid w:val="00221C1D"/>
    <w:rsid w:val="00221C5B"/>
    <w:rsid w:val="00221F98"/>
    <w:rsid w:val="00221FF6"/>
    <w:rsid w:val="0022223C"/>
    <w:rsid w:val="0022236F"/>
    <w:rsid w:val="002228B5"/>
    <w:rsid w:val="00222A4A"/>
    <w:rsid w:val="00222D54"/>
    <w:rsid w:val="002232E4"/>
    <w:rsid w:val="002232FD"/>
    <w:rsid w:val="00223B9F"/>
    <w:rsid w:val="00223FBF"/>
    <w:rsid w:val="00224839"/>
    <w:rsid w:val="002249B2"/>
    <w:rsid w:val="0022501C"/>
    <w:rsid w:val="0022520F"/>
    <w:rsid w:val="002255B3"/>
    <w:rsid w:val="00225E30"/>
    <w:rsid w:val="0022623F"/>
    <w:rsid w:val="00226574"/>
    <w:rsid w:val="00226612"/>
    <w:rsid w:val="0022707A"/>
    <w:rsid w:val="002278EC"/>
    <w:rsid w:val="002302F8"/>
    <w:rsid w:val="00231215"/>
    <w:rsid w:val="0023139B"/>
    <w:rsid w:val="00231532"/>
    <w:rsid w:val="00231778"/>
    <w:rsid w:val="0023225E"/>
    <w:rsid w:val="0023264E"/>
    <w:rsid w:val="0023280E"/>
    <w:rsid w:val="00232BF1"/>
    <w:rsid w:val="00232C43"/>
    <w:rsid w:val="00233424"/>
    <w:rsid w:val="00233C81"/>
    <w:rsid w:val="002343D3"/>
    <w:rsid w:val="00234B08"/>
    <w:rsid w:val="00235CB5"/>
    <w:rsid w:val="002360D4"/>
    <w:rsid w:val="00236ACC"/>
    <w:rsid w:val="00236C26"/>
    <w:rsid w:val="00236FA9"/>
    <w:rsid w:val="0023752E"/>
    <w:rsid w:val="002377D1"/>
    <w:rsid w:val="00237E0A"/>
    <w:rsid w:val="00237FB8"/>
    <w:rsid w:val="00240399"/>
    <w:rsid w:val="00240536"/>
    <w:rsid w:val="0024086C"/>
    <w:rsid w:val="00242693"/>
    <w:rsid w:val="00242CF6"/>
    <w:rsid w:val="002441A4"/>
    <w:rsid w:val="00244557"/>
    <w:rsid w:val="002446CF"/>
    <w:rsid w:val="00244934"/>
    <w:rsid w:val="00246495"/>
    <w:rsid w:val="00246DFF"/>
    <w:rsid w:val="002478AA"/>
    <w:rsid w:val="00247C01"/>
    <w:rsid w:val="00247C6F"/>
    <w:rsid w:val="00247FA4"/>
    <w:rsid w:val="002506BC"/>
    <w:rsid w:val="00250CA8"/>
    <w:rsid w:val="00250CB9"/>
    <w:rsid w:val="002512B5"/>
    <w:rsid w:val="00251E8E"/>
    <w:rsid w:val="002521AB"/>
    <w:rsid w:val="002521FE"/>
    <w:rsid w:val="0025238E"/>
    <w:rsid w:val="002528B4"/>
    <w:rsid w:val="00252B76"/>
    <w:rsid w:val="00252C4E"/>
    <w:rsid w:val="00253AC8"/>
    <w:rsid w:val="00253AD3"/>
    <w:rsid w:val="00254345"/>
    <w:rsid w:val="00254511"/>
    <w:rsid w:val="00254A9E"/>
    <w:rsid w:val="00254F4D"/>
    <w:rsid w:val="00255305"/>
    <w:rsid w:val="002555DE"/>
    <w:rsid w:val="00255C58"/>
    <w:rsid w:val="0025631D"/>
    <w:rsid w:val="00256C0C"/>
    <w:rsid w:val="00256C7D"/>
    <w:rsid w:val="00256F1A"/>
    <w:rsid w:val="00257014"/>
    <w:rsid w:val="002577D2"/>
    <w:rsid w:val="00257836"/>
    <w:rsid w:val="00260479"/>
    <w:rsid w:val="002605C6"/>
    <w:rsid w:val="002606F9"/>
    <w:rsid w:val="00260BDD"/>
    <w:rsid w:val="0026160F"/>
    <w:rsid w:val="0026166C"/>
    <w:rsid w:val="002624A0"/>
    <w:rsid w:val="00262644"/>
    <w:rsid w:val="0026284B"/>
    <w:rsid w:val="002630EA"/>
    <w:rsid w:val="002632FB"/>
    <w:rsid w:val="00263E4B"/>
    <w:rsid w:val="00263FC7"/>
    <w:rsid w:val="00264557"/>
    <w:rsid w:val="00264594"/>
    <w:rsid w:val="002649A3"/>
    <w:rsid w:val="00264F75"/>
    <w:rsid w:val="00265187"/>
    <w:rsid w:val="0026646E"/>
    <w:rsid w:val="002666E9"/>
    <w:rsid w:val="00266D6E"/>
    <w:rsid w:val="002677CC"/>
    <w:rsid w:val="00267D90"/>
    <w:rsid w:val="00267DA1"/>
    <w:rsid w:val="00267EE2"/>
    <w:rsid w:val="00270148"/>
    <w:rsid w:val="00270442"/>
    <w:rsid w:val="002708FB"/>
    <w:rsid w:val="0027117C"/>
    <w:rsid w:val="0027350D"/>
    <w:rsid w:val="00273FAA"/>
    <w:rsid w:val="00274262"/>
    <w:rsid w:val="00274821"/>
    <w:rsid w:val="00274A5B"/>
    <w:rsid w:val="00274D05"/>
    <w:rsid w:val="002757E6"/>
    <w:rsid w:val="0027586D"/>
    <w:rsid w:val="002758F5"/>
    <w:rsid w:val="00275C84"/>
    <w:rsid w:val="002765F1"/>
    <w:rsid w:val="00276A6E"/>
    <w:rsid w:val="00276C61"/>
    <w:rsid w:val="00277C44"/>
    <w:rsid w:val="00277DFD"/>
    <w:rsid w:val="00280235"/>
    <w:rsid w:val="002802B3"/>
    <w:rsid w:val="002805AB"/>
    <w:rsid w:val="00280D7E"/>
    <w:rsid w:val="0028111C"/>
    <w:rsid w:val="002813B8"/>
    <w:rsid w:val="002818CC"/>
    <w:rsid w:val="00281AE7"/>
    <w:rsid w:val="0028245C"/>
    <w:rsid w:val="00282D4A"/>
    <w:rsid w:val="002831A2"/>
    <w:rsid w:val="00283A3E"/>
    <w:rsid w:val="00283DD8"/>
    <w:rsid w:val="00284204"/>
    <w:rsid w:val="002846DA"/>
    <w:rsid w:val="0028479C"/>
    <w:rsid w:val="002857EC"/>
    <w:rsid w:val="002859D7"/>
    <w:rsid w:val="002860EA"/>
    <w:rsid w:val="00286241"/>
    <w:rsid w:val="00286649"/>
    <w:rsid w:val="00286A70"/>
    <w:rsid w:val="00286D72"/>
    <w:rsid w:val="0029009D"/>
    <w:rsid w:val="002904EA"/>
    <w:rsid w:val="0029059A"/>
    <w:rsid w:val="00291773"/>
    <w:rsid w:val="00291C2C"/>
    <w:rsid w:val="00291D0A"/>
    <w:rsid w:val="00291E18"/>
    <w:rsid w:val="0029292F"/>
    <w:rsid w:val="00293254"/>
    <w:rsid w:val="002933C3"/>
    <w:rsid w:val="002936D9"/>
    <w:rsid w:val="00294693"/>
    <w:rsid w:val="002951B4"/>
    <w:rsid w:val="002952AE"/>
    <w:rsid w:val="002958EF"/>
    <w:rsid w:val="00295A31"/>
    <w:rsid w:val="002961F0"/>
    <w:rsid w:val="0029691F"/>
    <w:rsid w:val="00296B35"/>
    <w:rsid w:val="00296B61"/>
    <w:rsid w:val="00297083"/>
    <w:rsid w:val="002A042A"/>
    <w:rsid w:val="002A044A"/>
    <w:rsid w:val="002A168C"/>
    <w:rsid w:val="002A1CD7"/>
    <w:rsid w:val="002A2650"/>
    <w:rsid w:val="002A27F7"/>
    <w:rsid w:val="002A32EB"/>
    <w:rsid w:val="002A39F0"/>
    <w:rsid w:val="002A3D0A"/>
    <w:rsid w:val="002A3DC7"/>
    <w:rsid w:val="002A42B6"/>
    <w:rsid w:val="002A47D7"/>
    <w:rsid w:val="002A4DEE"/>
    <w:rsid w:val="002A4E0A"/>
    <w:rsid w:val="002A5106"/>
    <w:rsid w:val="002A51EC"/>
    <w:rsid w:val="002A5CBF"/>
    <w:rsid w:val="002A63D5"/>
    <w:rsid w:val="002A6618"/>
    <w:rsid w:val="002A6D41"/>
    <w:rsid w:val="002A6E22"/>
    <w:rsid w:val="002A6FD0"/>
    <w:rsid w:val="002A74E5"/>
    <w:rsid w:val="002A7D32"/>
    <w:rsid w:val="002B08A8"/>
    <w:rsid w:val="002B098D"/>
    <w:rsid w:val="002B09BB"/>
    <w:rsid w:val="002B0ECA"/>
    <w:rsid w:val="002B15A3"/>
    <w:rsid w:val="002B18B4"/>
    <w:rsid w:val="002B1D76"/>
    <w:rsid w:val="002B2982"/>
    <w:rsid w:val="002B2D1A"/>
    <w:rsid w:val="002B2D62"/>
    <w:rsid w:val="002B42DC"/>
    <w:rsid w:val="002B49E2"/>
    <w:rsid w:val="002B4FE9"/>
    <w:rsid w:val="002B53E5"/>
    <w:rsid w:val="002B5D7F"/>
    <w:rsid w:val="002B5FF2"/>
    <w:rsid w:val="002B6496"/>
    <w:rsid w:val="002B702F"/>
    <w:rsid w:val="002B7B00"/>
    <w:rsid w:val="002B7C44"/>
    <w:rsid w:val="002C03A2"/>
    <w:rsid w:val="002C04B8"/>
    <w:rsid w:val="002C05D2"/>
    <w:rsid w:val="002C0847"/>
    <w:rsid w:val="002C08D4"/>
    <w:rsid w:val="002C0AAF"/>
    <w:rsid w:val="002C12AF"/>
    <w:rsid w:val="002C1C59"/>
    <w:rsid w:val="002C20EA"/>
    <w:rsid w:val="002C21F3"/>
    <w:rsid w:val="002C23F7"/>
    <w:rsid w:val="002C26B7"/>
    <w:rsid w:val="002C2B17"/>
    <w:rsid w:val="002C2DC5"/>
    <w:rsid w:val="002C3642"/>
    <w:rsid w:val="002C3955"/>
    <w:rsid w:val="002C4619"/>
    <w:rsid w:val="002C503E"/>
    <w:rsid w:val="002C5564"/>
    <w:rsid w:val="002C5F74"/>
    <w:rsid w:val="002C666D"/>
    <w:rsid w:val="002C6A58"/>
    <w:rsid w:val="002C795D"/>
    <w:rsid w:val="002C7D5F"/>
    <w:rsid w:val="002D0450"/>
    <w:rsid w:val="002D0875"/>
    <w:rsid w:val="002D0C20"/>
    <w:rsid w:val="002D138A"/>
    <w:rsid w:val="002D203C"/>
    <w:rsid w:val="002D2955"/>
    <w:rsid w:val="002D2DD1"/>
    <w:rsid w:val="002D359E"/>
    <w:rsid w:val="002D3C2A"/>
    <w:rsid w:val="002D3DD0"/>
    <w:rsid w:val="002D4022"/>
    <w:rsid w:val="002D4739"/>
    <w:rsid w:val="002D4D4D"/>
    <w:rsid w:val="002D4E79"/>
    <w:rsid w:val="002D5414"/>
    <w:rsid w:val="002D5D8B"/>
    <w:rsid w:val="002D6189"/>
    <w:rsid w:val="002D620E"/>
    <w:rsid w:val="002D7215"/>
    <w:rsid w:val="002D7875"/>
    <w:rsid w:val="002D7A0E"/>
    <w:rsid w:val="002D7A32"/>
    <w:rsid w:val="002D7AF7"/>
    <w:rsid w:val="002D7FC1"/>
    <w:rsid w:val="002E0733"/>
    <w:rsid w:val="002E08F1"/>
    <w:rsid w:val="002E13E6"/>
    <w:rsid w:val="002E1409"/>
    <w:rsid w:val="002E1F3A"/>
    <w:rsid w:val="002E2132"/>
    <w:rsid w:val="002E2473"/>
    <w:rsid w:val="002E26CC"/>
    <w:rsid w:val="002E298A"/>
    <w:rsid w:val="002E2B46"/>
    <w:rsid w:val="002E3154"/>
    <w:rsid w:val="002E35C3"/>
    <w:rsid w:val="002E3F5F"/>
    <w:rsid w:val="002E4CFD"/>
    <w:rsid w:val="002E512B"/>
    <w:rsid w:val="002E5DF5"/>
    <w:rsid w:val="002E73DD"/>
    <w:rsid w:val="002F0098"/>
    <w:rsid w:val="002F033A"/>
    <w:rsid w:val="002F063E"/>
    <w:rsid w:val="002F09F8"/>
    <w:rsid w:val="002F0F77"/>
    <w:rsid w:val="002F13BD"/>
    <w:rsid w:val="002F16B2"/>
    <w:rsid w:val="002F1CC4"/>
    <w:rsid w:val="002F1F23"/>
    <w:rsid w:val="002F23B5"/>
    <w:rsid w:val="002F2504"/>
    <w:rsid w:val="002F2AB2"/>
    <w:rsid w:val="002F2DCA"/>
    <w:rsid w:val="002F3278"/>
    <w:rsid w:val="002F3E30"/>
    <w:rsid w:val="002F4828"/>
    <w:rsid w:val="002F50E5"/>
    <w:rsid w:val="002F5F0B"/>
    <w:rsid w:val="002F5F45"/>
    <w:rsid w:val="002F68B0"/>
    <w:rsid w:val="002F6922"/>
    <w:rsid w:val="002F712C"/>
    <w:rsid w:val="002F71DB"/>
    <w:rsid w:val="002F76FB"/>
    <w:rsid w:val="002F7729"/>
    <w:rsid w:val="002F79D5"/>
    <w:rsid w:val="002F7A0E"/>
    <w:rsid w:val="00300077"/>
    <w:rsid w:val="0030073F"/>
    <w:rsid w:val="00300B57"/>
    <w:rsid w:val="0030163F"/>
    <w:rsid w:val="00301978"/>
    <w:rsid w:val="00302C63"/>
    <w:rsid w:val="00302D86"/>
    <w:rsid w:val="00302DEC"/>
    <w:rsid w:val="0030332C"/>
    <w:rsid w:val="0030369A"/>
    <w:rsid w:val="00303BDC"/>
    <w:rsid w:val="003040B9"/>
    <w:rsid w:val="00304733"/>
    <w:rsid w:val="00304877"/>
    <w:rsid w:val="003048FF"/>
    <w:rsid w:val="00304FE0"/>
    <w:rsid w:val="003051C2"/>
    <w:rsid w:val="00305317"/>
    <w:rsid w:val="00305881"/>
    <w:rsid w:val="003058E5"/>
    <w:rsid w:val="0030600F"/>
    <w:rsid w:val="00306323"/>
    <w:rsid w:val="0030660F"/>
    <w:rsid w:val="00306D3F"/>
    <w:rsid w:val="00306F13"/>
    <w:rsid w:val="003071DC"/>
    <w:rsid w:val="00307209"/>
    <w:rsid w:val="003076A1"/>
    <w:rsid w:val="00307711"/>
    <w:rsid w:val="0030780A"/>
    <w:rsid w:val="00307A25"/>
    <w:rsid w:val="00307F83"/>
    <w:rsid w:val="003104BF"/>
    <w:rsid w:val="00310A4B"/>
    <w:rsid w:val="00310F9A"/>
    <w:rsid w:val="00310FC8"/>
    <w:rsid w:val="00311229"/>
    <w:rsid w:val="0031171B"/>
    <w:rsid w:val="00311CA4"/>
    <w:rsid w:val="00311EC2"/>
    <w:rsid w:val="00311F6F"/>
    <w:rsid w:val="00312296"/>
    <w:rsid w:val="00312BEC"/>
    <w:rsid w:val="0031345D"/>
    <w:rsid w:val="003135FB"/>
    <w:rsid w:val="003137DB"/>
    <w:rsid w:val="003140EC"/>
    <w:rsid w:val="00314375"/>
    <w:rsid w:val="0031438A"/>
    <w:rsid w:val="0031456B"/>
    <w:rsid w:val="003146CE"/>
    <w:rsid w:val="00314930"/>
    <w:rsid w:val="00314B32"/>
    <w:rsid w:val="00314CB6"/>
    <w:rsid w:val="00314E09"/>
    <w:rsid w:val="00314F0E"/>
    <w:rsid w:val="00314FF1"/>
    <w:rsid w:val="003151D2"/>
    <w:rsid w:val="00315D0B"/>
    <w:rsid w:val="00315DE8"/>
    <w:rsid w:val="00315EEE"/>
    <w:rsid w:val="00316C62"/>
    <w:rsid w:val="00316D11"/>
    <w:rsid w:val="00317AFE"/>
    <w:rsid w:val="00320569"/>
    <w:rsid w:val="0032082C"/>
    <w:rsid w:val="00321D8E"/>
    <w:rsid w:val="0032208C"/>
    <w:rsid w:val="00322583"/>
    <w:rsid w:val="003227E1"/>
    <w:rsid w:val="003229E8"/>
    <w:rsid w:val="00324F8D"/>
    <w:rsid w:val="003254F2"/>
    <w:rsid w:val="0032565E"/>
    <w:rsid w:val="00325928"/>
    <w:rsid w:val="0032617E"/>
    <w:rsid w:val="00326CA6"/>
    <w:rsid w:val="00326CC1"/>
    <w:rsid w:val="00326D7B"/>
    <w:rsid w:val="00326FDC"/>
    <w:rsid w:val="00327ADE"/>
    <w:rsid w:val="00327AF6"/>
    <w:rsid w:val="00327C72"/>
    <w:rsid w:val="00327FBA"/>
    <w:rsid w:val="0033014A"/>
    <w:rsid w:val="0033081B"/>
    <w:rsid w:val="00330D81"/>
    <w:rsid w:val="003310A5"/>
    <w:rsid w:val="00331273"/>
    <w:rsid w:val="0033164A"/>
    <w:rsid w:val="00331686"/>
    <w:rsid w:val="00331797"/>
    <w:rsid w:val="003317DB"/>
    <w:rsid w:val="00331B1A"/>
    <w:rsid w:val="00331FF8"/>
    <w:rsid w:val="003321D8"/>
    <w:rsid w:val="003326E3"/>
    <w:rsid w:val="00332863"/>
    <w:rsid w:val="00332884"/>
    <w:rsid w:val="00332D39"/>
    <w:rsid w:val="00332E57"/>
    <w:rsid w:val="00333113"/>
    <w:rsid w:val="00333144"/>
    <w:rsid w:val="003333B1"/>
    <w:rsid w:val="003333E5"/>
    <w:rsid w:val="003336A8"/>
    <w:rsid w:val="00333C76"/>
    <w:rsid w:val="00334BEB"/>
    <w:rsid w:val="00334DED"/>
    <w:rsid w:val="00335B40"/>
    <w:rsid w:val="00335D43"/>
    <w:rsid w:val="00335D58"/>
    <w:rsid w:val="00335DB7"/>
    <w:rsid w:val="0033606A"/>
    <w:rsid w:val="003367A6"/>
    <w:rsid w:val="0033684D"/>
    <w:rsid w:val="00337B42"/>
    <w:rsid w:val="003400BB"/>
    <w:rsid w:val="00340132"/>
    <w:rsid w:val="00340623"/>
    <w:rsid w:val="00340763"/>
    <w:rsid w:val="00340BB3"/>
    <w:rsid w:val="00341B42"/>
    <w:rsid w:val="0034239C"/>
    <w:rsid w:val="0034348F"/>
    <w:rsid w:val="0034374D"/>
    <w:rsid w:val="00343848"/>
    <w:rsid w:val="00343FA2"/>
    <w:rsid w:val="0034481F"/>
    <w:rsid w:val="00344924"/>
    <w:rsid w:val="00345236"/>
    <w:rsid w:val="0034524A"/>
    <w:rsid w:val="00345266"/>
    <w:rsid w:val="00345DAA"/>
    <w:rsid w:val="003462FA"/>
    <w:rsid w:val="00350127"/>
    <w:rsid w:val="00350D51"/>
    <w:rsid w:val="003519BE"/>
    <w:rsid w:val="00351ACC"/>
    <w:rsid w:val="00351BCA"/>
    <w:rsid w:val="00351E09"/>
    <w:rsid w:val="003520C1"/>
    <w:rsid w:val="003526D8"/>
    <w:rsid w:val="00353883"/>
    <w:rsid w:val="00354399"/>
    <w:rsid w:val="00354938"/>
    <w:rsid w:val="00355021"/>
    <w:rsid w:val="003552FD"/>
    <w:rsid w:val="00355885"/>
    <w:rsid w:val="00356503"/>
    <w:rsid w:val="00356653"/>
    <w:rsid w:val="00356952"/>
    <w:rsid w:val="0035743F"/>
    <w:rsid w:val="00357761"/>
    <w:rsid w:val="00357BE2"/>
    <w:rsid w:val="00357E2B"/>
    <w:rsid w:val="00360538"/>
    <w:rsid w:val="00361197"/>
    <w:rsid w:val="0036170C"/>
    <w:rsid w:val="00361DE2"/>
    <w:rsid w:val="00363BE1"/>
    <w:rsid w:val="0036507E"/>
    <w:rsid w:val="00365CE3"/>
    <w:rsid w:val="00365EDD"/>
    <w:rsid w:val="003661AE"/>
    <w:rsid w:val="00366C8D"/>
    <w:rsid w:val="00366CBB"/>
    <w:rsid w:val="00366D12"/>
    <w:rsid w:val="00366E0F"/>
    <w:rsid w:val="003674CA"/>
    <w:rsid w:val="003677A9"/>
    <w:rsid w:val="00367BFD"/>
    <w:rsid w:val="00370F53"/>
    <w:rsid w:val="00371630"/>
    <w:rsid w:val="00371C0D"/>
    <w:rsid w:val="003728CE"/>
    <w:rsid w:val="003736AC"/>
    <w:rsid w:val="00373786"/>
    <w:rsid w:val="003738A4"/>
    <w:rsid w:val="00373D22"/>
    <w:rsid w:val="0037412C"/>
    <w:rsid w:val="0037487F"/>
    <w:rsid w:val="003748BF"/>
    <w:rsid w:val="00374AF9"/>
    <w:rsid w:val="00375496"/>
    <w:rsid w:val="0037566F"/>
    <w:rsid w:val="003760B5"/>
    <w:rsid w:val="003766E6"/>
    <w:rsid w:val="00377256"/>
    <w:rsid w:val="003775CA"/>
    <w:rsid w:val="00377E65"/>
    <w:rsid w:val="00377FD8"/>
    <w:rsid w:val="00380C39"/>
    <w:rsid w:val="00380DC1"/>
    <w:rsid w:val="00380E12"/>
    <w:rsid w:val="003814D2"/>
    <w:rsid w:val="00381A72"/>
    <w:rsid w:val="00382801"/>
    <w:rsid w:val="003829F8"/>
    <w:rsid w:val="00382B84"/>
    <w:rsid w:val="00382F08"/>
    <w:rsid w:val="00383491"/>
    <w:rsid w:val="00383657"/>
    <w:rsid w:val="003837D4"/>
    <w:rsid w:val="00383C44"/>
    <w:rsid w:val="0038450C"/>
    <w:rsid w:val="00384676"/>
    <w:rsid w:val="00384972"/>
    <w:rsid w:val="00384A67"/>
    <w:rsid w:val="00384EBD"/>
    <w:rsid w:val="0038576D"/>
    <w:rsid w:val="00385E8A"/>
    <w:rsid w:val="0038706A"/>
    <w:rsid w:val="0038709E"/>
    <w:rsid w:val="003870EB"/>
    <w:rsid w:val="003872C8"/>
    <w:rsid w:val="003877A8"/>
    <w:rsid w:val="00387F8C"/>
    <w:rsid w:val="00387FFB"/>
    <w:rsid w:val="0039068A"/>
    <w:rsid w:val="00390857"/>
    <w:rsid w:val="0039142E"/>
    <w:rsid w:val="003914C1"/>
    <w:rsid w:val="00391810"/>
    <w:rsid w:val="00391881"/>
    <w:rsid w:val="003924E6"/>
    <w:rsid w:val="00392782"/>
    <w:rsid w:val="00392793"/>
    <w:rsid w:val="00392A61"/>
    <w:rsid w:val="00392B1C"/>
    <w:rsid w:val="00392DD2"/>
    <w:rsid w:val="00392E44"/>
    <w:rsid w:val="00392EC5"/>
    <w:rsid w:val="003943D1"/>
    <w:rsid w:val="0039485C"/>
    <w:rsid w:val="00394995"/>
    <w:rsid w:val="00394C74"/>
    <w:rsid w:val="00394DFB"/>
    <w:rsid w:val="00394FA0"/>
    <w:rsid w:val="00395926"/>
    <w:rsid w:val="00396304"/>
    <w:rsid w:val="00396394"/>
    <w:rsid w:val="003963EE"/>
    <w:rsid w:val="00396A7B"/>
    <w:rsid w:val="00396ADA"/>
    <w:rsid w:val="00397482"/>
    <w:rsid w:val="003A00A8"/>
    <w:rsid w:val="003A01F0"/>
    <w:rsid w:val="003A03C4"/>
    <w:rsid w:val="003A0914"/>
    <w:rsid w:val="003A10A8"/>
    <w:rsid w:val="003A134E"/>
    <w:rsid w:val="003A15B3"/>
    <w:rsid w:val="003A17BA"/>
    <w:rsid w:val="003A200A"/>
    <w:rsid w:val="003A2309"/>
    <w:rsid w:val="003A2387"/>
    <w:rsid w:val="003A27C5"/>
    <w:rsid w:val="003A2806"/>
    <w:rsid w:val="003A2AD1"/>
    <w:rsid w:val="003A2DE9"/>
    <w:rsid w:val="003A3332"/>
    <w:rsid w:val="003A37D9"/>
    <w:rsid w:val="003A3B7C"/>
    <w:rsid w:val="003A431F"/>
    <w:rsid w:val="003A4B96"/>
    <w:rsid w:val="003A4BF3"/>
    <w:rsid w:val="003A50D5"/>
    <w:rsid w:val="003A5747"/>
    <w:rsid w:val="003A5781"/>
    <w:rsid w:val="003A6063"/>
    <w:rsid w:val="003A63C7"/>
    <w:rsid w:val="003A6A75"/>
    <w:rsid w:val="003A71CE"/>
    <w:rsid w:val="003A74C5"/>
    <w:rsid w:val="003A7F35"/>
    <w:rsid w:val="003B11F5"/>
    <w:rsid w:val="003B18DD"/>
    <w:rsid w:val="003B33FA"/>
    <w:rsid w:val="003B35B7"/>
    <w:rsid w:val="003B36E4"/>
    <w:rsid w:val="003B388D"/>
    <w:rsid w:val="003B390B"/>
    <w:rsid w:val="003B3F68"/>
    <w:rsid w:val="003B41F2"/>
    <w:rsid w:val="003B420D"/>
    <w:rsid w:val="003B45D3"/>
    <w:rsid w:val="003B48F4"/>
    <w:rsid w:val="003B5665"/>
    <w:rsid w:val="003B5C45"/>
    <w:rsid w:val="003B61B3"/>
    <w:rsid w:val="003B6A84"/>
    <w:rsid w:val="003B6BB3"/>
    <w:rsid w:val="003B6DD1"/>
    <w:rsid w:val="003B731D"/>
    <w:rsid w:val="003B751C"/>
    <w:rsid w:val="003B7A8C"/>
    <w:rsid w:val="003B7CD7"/>
    <w:rsid w:val="003C0509"/>
    <w:rsid w:val="003C07C4"/>
    <w:rsid w:val="003C0ED2"/>
    <w:rsid w:val="003C11F3"/>
    <w:rsid w:val="003C1222"/>
    <w:rsid w:val="003C13F5"/>
    <w:rsid w:val="003C199E"/>
    <w:rsid w:val="003C1A37"/>
    <w:rsid w:val="003C2345"/>
    <w:rsid w:val="003C27DB"/>
    <w:rsid w:val="003C2C6C"/>
    <w:rsid w:val="003C2E67"/>
    <w:rsid w:val="003C38EC"/>
    <w:rsid w:val="003C3C07"/>
    <w:rsid w:val="003C41F7"/>
    <w:rsid w:val="003C456B"/>
    <w:rsid w:val="003C468E"/>
    <w:rsid w:val="003C4C3D"/>
    <w:rsid w:val="003C5317"/>
    <w:rsid w:val="003C56FD"/>
    <w:rsid w:val="003C57C0"/>
    <w:rsid w:val="003C5947"/>
    <w:rsid w:val="003C5D25"/>
    <w:rsid w:val="003C5FFF"/>
    <w:rsid w:val="003C6242"/>
    <w:rsid w:val="003C65E6"/>
    <w:rsid w:val="003C6984"/>
    <w:rsid w:val="003C6C16"/>
    <w:rsid w:val="003C6F6E"/>
    <w:rsid w:val="003C7464"/>
    <w:rsid w:val="003C748A"/>
    <w:rsid w:val="003C75FE"/>
    <w:rsid w:val="003C7ED6"/>
    <w:rsid w:val="003D0508"/>
    <w:rsid w:val="003D103F"/>
    <w:rsid w:val="003D16AC"/>
    <w:rsid w:val="003D2853"/>
    <w:rsid w:val="003D2F11"/>
    <w:rsid w:val="003D3002"/>
    <w:rsid w:val="003D3087"/>
    <w:rsid w:val="003D3A5B"/>
    <w:rsid w:val="003D3BA6"/>
    <w:rsid w:val="003D40D2"/>
    <w:rsid w:val="003D48B5"/>
    <w:rsid w:val="003D49B2"/>
    <w:rsid w:val="003D528C"/>
    <w:rsid w:val="003D530E"/>
    <w:rsid w:val="003D5892"/>
    <w:rsid w:val="003D5CBB"/>
    <w:rsid w:val="003D5CBE"/>
    <w:rsid w:val="003D5E61"/>
    <w:rsid w:val="003D6E16"/>
    <w:rsid w:val="003D6E42"/>
    <w:rsid w:val="003D7608"/>
    <w:rsid w:val="003D7861"/>
    <w:rsid w:val="003D794D"/>
    <w:rsid w:val="003D7B9F"/>
    <w:rsid w:val="003D7BCF"/>
    <w:rsid w:val="003D7C41"/>
    <w:rsid w:val="003E0219"/>
    <w:rsid w:val="003E0F91"/>
    <w:rsid w:val="003E1054"/>
    <w:rsid w:val="003E1FE9"/>
    <w:rsid w:val="003E278C"/>
    <w:rsid w:val="003E2841"/>
    <w:rsid w:val="003E28AE"/>
    <w:rsid w:val="003E2B9F"/>
    <w:rsid w:val="003E2F8A"/>
    <w:rsid w:val="003E3058"/>
    <w:rsid w:val="003E3149"/>
    <w:rsid w:val="003E3B1D"/>
    <w:rsid w:val="003E4439"/>
    <w:rsid w:val="003E4DD0"/>
    <w:rsid w:val="003E4DE0"/>
    <w:rsid w:val="003E4E4B"/>
    <w:rsid w:val="003E507F"/>
    <w:rsid w:val="003E5436"/>
    <w:rsid w:val="003E6302"/>
    <w:rsid w:val="003E6F36"/>
    <w:rsid w:val="003E7149"/>
    <w:rsid w:val="003E743D"/>
    <w:rsid w:val="003E7628"/>
    <w:rsid w:val="003E76A9"/>
    <w:rsid w:val="003E7E61"/>
    <w:rsid w:val="003F0566"/>
    <w:rsid w:val="003F05AF"/>
    <w:rsid w:val="003F0809"/>
    <w:rsid w:val="003F0D82"/>
    <w:rsid w:val="003F1694"/>
    <w:rsid w:val="003F1720"/>
    <w:rsid w:val="003F1CB0"/>
    <w:rsid w:val="003F2123"/>
    <w:rsid w:val="003F2830"/>
    <w:rsid w:val="003F2D8E"/>
    <w:rsid w:val="003F322E"/>
    <w:rsid w:val="003F3410"/>
    <w:rsid w:val="003F34A6"/>
    <w:rsid w:val="003F3E72"/>
    <w:rsid w:val="003F48F0"/>
    <w:rsid w:val="003F4A0D"/>
    <w:rsid w:val="003F4C53"/>
    <w:rsid w:val="003F5675"/>
    <w:rsid w:val="003F5DA7"/>
    <w:rsid w:val="003F63A4"/>
    <w:rsid w:val="003F6516"/>
    <w:rsid w:val="003F682B"/>
    <w:rsid w:val="003F6A8C"/>
    <w:rsid w:val="003F6B07"/>
    <w:rsid w:val="003F755C"/>
    <w:rsid w:val="003F7C13"/>
    <w:rsid w:val="004007D9"/>
    <w:rsid w:val="00400BE4"/>
    <w:rsid w:val="00400C0B"/>
    <w:rsid w:val="00400F18"/>
    <w:rsid w:val="00401119"/>
    <w:rsid w:val="004017FC"/>
    <w:rsid w:val="0040215B"/>
    <w:rsid w:val="004024B3"/>
    <w:rsid w:val="00402A0D"/>
    <w:rsid w:val="004035C8"/>
    <w:rsid w:val="004035DA"/>
    <w:rsid w:val="00404BE8"/>
    <w:rsid w:val="004051FE"/>
    <w:rsid w:val="004054D1"/>
    <w:rsid w:val="00405E59"/>
    <w:rsid w:val="00406817"/>
    <w:rsid w:val="00406ECA"/>
    <w:rsid w:val="00406F01"/>
    <w:rsid w:val="00406F20"/>
    <w:rsid w:val="0040721A"/>
    <w:rsid w:val="004072AE"/>
    <w:rsid w:val="004102DD"/>
    <w:rsid w:val="00410317"/>
    <w:rsid w:val="00410A99"/>
    <w:rsid w:val="00410DB4"/>
    <w:rsid w:val="00411448"/>
    <w:rsid w:val="00411947"/>
    <w:rsid w:val="00411955"/>
    <w:rsid w:val="00411E39"/>
    <w:rsid w:val="00411E9E"/>
    <w:rsid w:val="0041282C"/>
    <w:rsid w:val="00412D1B"/>
    <w:rsid w:val="00412D67"/>
    <w:rsid w:val="00412F3C"/>
    <w:rsid w:val="00413018"/>
    <w:rsid w:val="004135C3"/>
    <w:rsid w:val="004135FA"/>
    <w:rsid w:val="00413672"/>
    <w:rsid w:val="00413694"/>
    <w:rsid w:val="0041376B"/>
    <w:rsid w:val="00413B45"/>
    <w:rsid w:val="00413C4A"/>
    <w:rsid w:val="0041424B"/>
    <w:rsid w:val="0041473F"/>
    <w:rsid w:val="0041480F"/>
    <w:rsid w:val="00414C6E"/>
    <w:rsid w:val="00415786"/>
    <w:rsid w:val="00415C3B"/>
    <w:rsid w:val="00415CB9"/>
    <w:rsid w:val="00415E7D"/>
    <w:rsid w:val="00415FB9"/>
    <w:rsid w:val="004163C3"/>
    <w:rsid w:val="0041648F"/>
    <w:rsid w:val="00416A14"/>
    <w:rsid w:val="00416D50"/>
    <w:rsid w:val="00416FD5"/>
    <w:rsid w:val="004174B3"/>
    <w:rsid w:val="00417772"/>
    <w:rsid w:val="00417890"/>
    <w:rsid w:val="00417A49"/>
    <w:rsid w:val="00417FD3"/>
    <w:rsid w:val="00420565"/>
    <w:rsid w:val="004205D6"/>
    <w:rsid w:val="00420822"/>
    <w:rsid w:val="00420835"/>
    <w:rsid w:val="004209CF"/>
    <w:rsid w:val="00420BD2"/>
    <w:rsid w:val="00420E6A"/>
    <w:rsid w:val="00421087"/>
    <w:rsid w:val="00421578"/>
    <w:rsid w:val="004216B0"/>
    <w:rsid w:val="004216DC"/>
    <w:rsid w:val="00421815"/>
    <w:rsid w:val="00421C05"/>
    <w:rsid w:val="004227EC"/>
    <w:rsid w:val="004229A0"/>
    <w:rsid w:val="00422DD0"/>
    <w:rsid w:val="00422EF7"/>
    <w:rsid w:val="00423C5A"/>
    <w:rsid w:val="0042403D"/>
    <w:rsid w:val="00424198"/>
    <w:rsid w:val="004243C0"/>
    <w:rsid w:val="00424A80"/>
    <w:rsid w:val="00425A9E"/>
    <w:rsid w:val="00425C04"/>
    <w:rsid w:val="00425C7E"/>
    <w:rsid w:val="00425E38"/>
    <w:rsid w:val="004263A3"/>
    <w:rsid w:val="0042649F"/>
    <w:rsid w:val="00426D6B"/>
    <w:rsid w:val="00426DB3"/>
    <w:rsid w:val="004270BD"/>
    <w:rsid w:val="004274E8"/>
    <w:rsid w:val="0043031E"/>
    <w:rsid w:val="00430BB4"/>
    <w:rsid w:val="00430D4F"/>
    <w:rsid w:val="00430EDC"/>
    <w:rsid w:val="00431428"/>
    <w:rsid w:val="00431946"/>
    <w:rsid w:val="00431D2B"/>
    <w:rsid w:val="00431E6C"/>
    <w:rsid w:val="0043230E"/>
    <w:rsid w:val="00432CB6"/>
    <w:rsid w:val="00432FBB"/>
    <w:rsid w:val="004330F9"/>
    <w:rsid w:val="004334FF"/>
    <w:rsid w:val="004335DD"/>
    <w:rsid w:val="004336AA"/>
    <w:rsid w:val="00433CE7"/>
    <w:rsid w:val="004340D1"/>
    <w:rsid w:val="00434FF4"/>
    <w:rsid w:val="0043513E"/>
    <w:rsid w:val="004356E0"/>
    <w:rsid w:val="00435746"/>
    <w:rsid w:val="00435856"/>
    <w:rsid w:val="00435D43"/>
    <w:rsid w:val="00436BE9"/>
    <w:rsid w:val="00436E1A"/>
    <w:rsid w:val="00440ACA"/>
    <w:rsid w:val="00440CF7"/>
    <w:rsid w:val="00440EC7"/>
    <w:rsid w:val="004414D0"/>
    <w:rsid w:val="004418E9"/>
    <w:rsid w:val="00441D44"/>
    <w:rsid w:val="00441DDC"/>
    <w:rsid w:val="004420BE"/>
    <w:rsid w:val="004426DA"/>
    <w:rsid w:val="004440A6"/>
    <w:rsid w:val="0044439A"/>
    <w:rsid w:val="004445BB"/>
    <w:rsid w:val="0044537E"/>
    <w:rsid w:val="00445CA4"/>
    <w:rsid w:val="00445F09"/>
    <w:rsid w:val="00445FAE"/>
    <w:rsid w:val="00446493"/>
    <w:rsid w:val="0044695E"/>
    <w:rsid w:val="00446BA2"/>
    <w:rsid w:val="00446C9F"/>
    <w:rsid w:val="00446D2A"/>
    <w:rsid w:val="00447063"/>
    <w:rsid w:val="004473C9"/>
    <w:rsid w:val="00447648"/>
    <w:rsid w:val="0044787F"/>
    <w:rsid w:val="00447932"/>
    <w:rsid w:val="00447C15"/>
    <w:rsid w:val="00447DAA"/>
    <w:rsid w:val="00447DD3"/>
    <w:rsid w:val="004500EC"/>
    <w:rsid w:val="004501C2"/>
    <w:rsid w:val="00450533"/>
    <w:rsid w:val="004508B8"/>
    <w:rsid w:val="00450928"/>
    <w:rsid w:val="00450F0F"/>
    <w:rsid w:val="0045143A"/>
    <w:rsid w:val="00451703"/>
    <w:rsid w:val="0045260F"/>
    <w:rsid w:val="00452738"/>
    <w:rsid w:val="00452A88"/>
    <w:rsid w:val="00452AFE"/>
    <w:rsid w:val="00452B24"/>
    <w:rsid w:val="00452DD6"/>
    <w:rsid w:val="00453293"/>
    <w:rsid w:val="00453A14"/>
    <w:rsid w:val="00453CE4"/>
    <w:rsid w:val="00453DED"/>
    <w:rsid w:val="00454393"/>
    <w:rsid w:val="0045477E"/>
    <w:rsid w:val="004549DB"/>
    <w:rsid w:val="00454D0E"/>
    <w:rsid w:val="004555CD"/>
    <w:rsid w:val="00455613"/>
    <w:rsid w:val="004557C4"/>
    <w:rsid w:val="00455922"/>
    <w:rsid w:val="00455F7F"/>
    <w:rsid w:val="00456091"/>
    <w:rsid w:val="004561D3"/>
    <w:rsid w:val="00456995"/>
    <w:rsid w:val="00456B3C"/>
    <w:rsid w:val="00457380"/>
    <w:rsid w:val="004578EB"/>
    <w:rsid w:val="00457ED4"/>
    <w:rsid w:val="004600A9"/>
    <w:rsid w:val="004605F2"/>
    <w:rsid w:val="00460B9E"/>
    <w:rsid w:val="00460C39"/>
    <w:rsid w:val="00460CF4"/>
    <w:rsid w:val="00460FF5"/>
    <w:rsid w:val="004613A6"/>
    <w:rsid w:val="00461A05"/>
    <w:rsid w:val="004623B6"/>
    <w:rsid w:val="004624B7"/>
    <w:rsid w:val="0046258C"/>
    <w:rsid w:val="0046280E"/>
    <w:rsid w:val="004629A7"/>
    <w:rsid w:val="00462E4B"/>
    <w:rsid w:val="004631B0"/>
    <w:rsid w:val="004634BD"/>
    <w:rsid w:val="00463AFA"/>
    <w:rsid w:val="00463EAE"/>
    <w:rsid w:val="00465067"/>
    <w:rsid w:val="00465827"/>
    <w:rsid w:val="00465A73"/>
    <w:rsid w:val="00465E38"/>
    <w:rsid w:val="00466321"/>
    <w:rsid w:val="00466D91"/>
    <w:rsid w:val="004676FB"/>
    <w:rsid w:val="00467763"/>
    <w:rsid w:val="00467770"/>
    <w:rsid w:val="004679AD"/>
    <w:rsid w:val="00467ACE"/>
    <w:rsid w:val="00470545"/>
    <w:rsid w:val="00470911"/>
    <w:rsid w:val="004719D0"/>
    <w:rsid w:val="00472694"/>
    <w:rsid w:val="00472806"/>
    <w:rsid w:val="004729CE"/>
    <w:rsid w:val="00472A65"/>
    <w:rsid w:val="00473445"/>
    <w:rsid w:val="00473D7C"/>
    <w:rsid w:val="00473E12"/>
    <w:rsid w:val="004740B1"/>
    <w:rsid w:val="00474671"/>
    <w:rsid w:val="004746DB"/>
    <w:rsid w:val="00475689"/>
    <w:rsid w:val="00475B67"/>
    <w:rsid w:val="00476482"/>
    <w:rsid w:val="00476572"/>
    <w:rsid w:val="00476A13"/>
    <w:rsid w:val="004771F5"/>
    <w:rsid w:val="0047728E"/>
    <w:rsid w:val="00477558"/>
    <w:rsid w:val="00477B99"/>
    <w:rsid w:val="00477D1D"/>
    <w:rsid w:val="0048038F"/>
    <w:rsid w:val="00480A8B"/>
    <w:rsid w:val="00480FBB"/>
    <w:rsid w:val="00481007"/>
    <w:rsid w:val="00481332"/>
    <w:rsid w:val="0048172E"/>
    <w:rsid w:val="00481B14"/>
    <w:rsid w:val="00481B4E"/>
    <w:rsid w:val="00481DE0"/>
    <w:rsid w:val="004825AC"/>
    <w:rsid w:val="0048307B"/>
    <w:rsid w:val="0048338A"/>
    <w:rsid w:val="0048368D"/>
    <w:rsid w:val="004838D7"/>
    <w:rsid w:val="00483B09"/>
    <w:rsid w:val="00483FB6"/>
    <w:rsid w:val="00484306"/>
    <w:rsid w:val="004849D7"/>
    <w:rsid w:val="00484B9B"/>
    <w:rsid w:val="00484DDB"/>
    <w:rsid w:val="00484F22"/>
    <w:rsid w:val="004854CA"/>
    <w:rsid w:val="004855F6"/>
    <w:rsid w:val="00485796"/>
    <w:rsid w:val="00485ED6"/>
    <w:rsid w:val="0048652F"/>
    <w:rsid w:val="004865FE"/>
    <w:rsid w:val="0048661E"/>
    <w:rsid w:val="0048678A"/>
    <w:rsid w:val="00486D47"/>
    <w:rsid w:val="0049056F"/>
    <w:rsid w:val="0049057B"/>
    <w:rsid w:val="0049136A"/>
    <w:rsid w:val="0049212A"/>
    <w:rsid w:val="004925BC"/>
    <w:rsid w:val="00492E54"/>
    <w:rsid w:val="004930CA"/>
    <w:rsid w:val="00493D8B"/>
    <w:rsid w:val="004940F8"/>
    <w:rsid w:val="00494670"/>
    <w:rsid w:val="00494AF6"/>
    <w:rsid w:val="00495639"/>
    <w:rsid w:val="00495AEA"/>
    <w:rsid w:val="00495E19"/>
    <w:rsid w:val="00495F2B"/>
    <w:rsid w:val="0049640F"/>
    <w:rsid w:val="00496ABE"/>
    <w:rsid w:val="00496F41"/>
    <w:rsid w:val="00497007"/>
    <w:rsid w:val="00497C58"/>
    <w:rsid w:val="004A07A2"/>
    <w:rsid w:val="004A0A2E"/>
    <w:rsid w:val="004A0DF8"/>
    <w:rsid w:val="004A10C2"/>
    <w:rsid w:val="004A1369"/>
    <w:rsid w:val="004A17DE"/>
    <w:rsid w:val="004A1C5D"/>
    <w:rsid w:val="004A21BD"/>
    <w:rsid w:val="004A2423"/>
    <w:rsid w:val="004A2C3A"/>
    <w:rsid w:val="004A2D6B"/>
    <w:rsid w:val="004A3823"/>
    <w:rsid w:val="004A43B6"/>
    <w:rsid w:val="004A4675"/>
    <w:rsid w:val="004A4AB1"/>
    <w:rsid w:val="004A5632"/>
    <w:rsid w:val="004A592E"/>
    <w:rsid w:val="004A6ABF"/>
    <w:rsid w:val="004A6DA0"/>
    <w:rsid w:val="004A6EA1"/>
    <w:rsid w:val="004A6EEB"/>
    <w:rsid w:val="004A6EF4"/>
    <w:rsid w:val="004A6FBE"/>
    <w:rsid w:val="004A7185"/>
    <w:rsid w:val="004A74D2"/>
    <w:rsid w:val="004B06AF"/>
    <w:rsid w:val="004B0A7F"/>
    <w:rsid w:val="004B0BD8"/>
    <w:rsid w:val="004B233A"/>
    <w:rsid w:val="004B23BF"/>
    <w:rsid w:val="004B2BEE"/>
    <w:rsid w:val="004B3460"/>
    <w:rsid w:val="004B34F5"/>
    <w:rsid w:val="004B35FA"/>
    <w:rsid w:val="004B3D02"/>
    <w:rsid w:val="004B46DC"/>
    <w:rsid w:val="004B47F7"/>
    <w:rsid w:val="004B544B"/>
    <w:rsid w:val="004B5538"/>
    <w:rsid w:val="004B5893"/>
    <w:rsid w:val="004B5BCD"/>
    <w:rsid w:val="004B5F0F"/>
    <w:rsid w:val="004B6798"/>
    <w:rsid w:val="004B6C45"/>
    <w:rsid w:val="004B6EA8"/>
    <w:rsid w:val="004B7AB1"/>
    <w:rsid w:val="004B7F0D"/>
    <w:rsid w:val="004C0607"/>
    <w:rsid w:val="004C0EDB"/>
    <w:rsid w:val="004C114B"/>
    <w:rsid w:val="004C17BF"/>
    <w:rsid w:val="004C2CBE"/>
    <w:rsid w:val="004C2F26"/>
    <w:rsid w:val="004C30D1"/>
    <w:rsid w:val="004C358D"/>
    <w:rsid w:val="004C363B"/>
    <w:rsid w:val="004C37E2"/>
    <w:rsid w:val="004C4173"/>
    <w:rsid w:val="004C5932"/>
    <w:rsid w:val="004C6177"/>
    <w:rsid w:val="004C61B2"/>
    <w:rsid w:val="004C696A"/>
    <w:rsid w:val="004C6C07"/>
    <w:rsid w:val="004C7A17"/>
    <w:rsid w:val="004D0198"/>
    <w:rsid w:val="004D1303"/>
    <w:rsid w:val="004D14B2"/>
    <w:rsid w:val="004D169F"/>
    <w:rsid w:val="004D16E0"/>
    <w:rsid w:val="004D1B49"/>
    <w:rsid w:val="004D24D2"/>
    <w:rsid w:val="004D2ADB"/>
    <w:rsid w:val="004D2CF5"/>
    <w:rsid w:val="004D2E44"/>
    <w:rsid w:val="004D32C0"/>
    <w:rsid w:val="004D3A73"/>
    <w:rsid w:val="004D3F00"/>
    <w:rsid w:val="004D3F53"/>
    <w:rsid w:val="004D45C9"/>
    <w:rsid w:val="004D468C"/>
    <w:rsid w:val="004D4B6D"/>
    <w:rsid w:val="004D4BC4"/>
    <w:rsid w:val="004D4F16"/>
    <w:rsid w:val="004D4FEB"/>
    <w:rsid w:val="004D5367"/>
    <w:rsid w:val="004D611B"/>
    <w:rsid w:val="004D6496"/>
    <w:rsid w:val="004E0977"/>
    <w:rsid w:val="004E0E47"/>
    <w:rsid w:val="004E1229"/>
    <w:rsid w:val="004E1D9B"/>
    <w:rsid w:val="004E23C9"/>
    <w:rsid w:val="004E2D5F"/>
    <w:rsid w:val="004E2DA1"/>
    <w:rsid w:val="004E2DF3"/>
    <w:rsid w:val="004E32AF"/>
    <w:rsid w:val="004E3577"/>
    <w:rsid w:val="004E3F95"/>
    <w:rsid w:val="004E43B5"/>
    <w:rsid w:val="004E462C"/>
    <w:rsid w:val="004E4A8C"/>
    <w:rsid w:val="004E4B24"/>
    <w:rsid w:val="004E4EBF"/>
    <w:rsid w:val="004E670F"/>
    <w:rsid w:val="004E6946"/>
    <w:rsid w:val="004E6956"/>
    <w:rsid w:val="004E6C9E"/>
    <w:rsid w:val="004E7A83"/>
    <w:rsid w:val="004E7BBF"/>
    <w:rsid w:val="004E7C5F"/>
    <w:rsid w:val="004F0641"/>
    <w:rsid w:val="004F06D4"/>
    <w:rsid w:val="004F12D2"/>
    <w:rsid w:val="004F1AD8"/>
    <w:rsid w:val="004F21EE"/>
    <w:rsid w:val="004F237D"/>
    <w:rsid w:val="004F2386"/>
    <w:rsid w:val="004F2D48"/>
    <w:rsid w:val="004F4205"/>
    <w:rsid w:val="004F4E53"/>
    <w:rsid w:val="004F5523"/>
    <w:rsid w:val="004F58AE"/>
    <w:rsid w:val="004F5FBA"/>
    <w:rsid w:val="004F6473"/>
    <w:rsid w:val="004F6729"/>
    <w:rsid w:val="004F736F"/>
    <w:rsid w:val="004F7713"/>
    <w:rsid w:val="005009AE"/>
    <w:rsid w:val="00501200"/>
    <w:rsid w:val="00501889"/>
    <w:rsid w:val="0050203D"/>
    <w:rsid w:val="005039CB"/>
    <w:rsid w:val="00503A11"/>
    <w:rsid w:val="00503C5D"/>
    <w:rsid w:val="00503E34"/>
    <w:rsid w:val="0050558F"/>
    <w:rsid w:val="00505615"/>
    <w:rsid w:val="00505C87"/>
    <w:rsid w:val="00506286"/>
    <w:rsid w:val="0050688A"/>
    <w:rsid w:val="00506D31"/>
    <w:rsid w:val="0050739F"/>
    <w:rsid w:val="005079FB"/>
    <w:rsid w:val="00507A93"/>
    <w:rsid w:val="00507C4E"/>
    <w:rsid w:val="0051022D"/>
    <w:rsid w:val="00510813"/>
    <w:rsid w:val="00510C04"/>
    <w:rsid w:val="005113D9"/>
    <w:rsid w:val="0051140B"/>
    <w:rsid w:val="00511990"/>
    <w:rsid w:val="00511ABC"/>
    <w:rsid w:val="00511AFE"/>
    <w:rsid w:val="00511DE0"/>
    <w:rsid w:val="00511F50"/>
    <w:rsid w:val="00512013"/>
    <w:rsid w:val="00512ACC"/>
    <w:rsid w:val="00513411"/>
    <w:rsid w:val="0051396D"/>
    <w:rsid w:val="00514870"/>
    <w:rsid w:val="00514B9B"/>
    <w:rsid w:val="00514FAF"/>
    <w:rsid w:val="005154A6"/>
    <w:rsid w:val="00516328"/>
    <w:rsid w:val="0051653D"/>
    <w:rsid w:val="005170BB"/>
    <w:rsid w:val="0051779D"/>
    <w:rsid w:val="005178F7"/>
    <w:rsid w:val="00517925"/>
    <w:rsid w:val="00517F02"/>
    <w:rsid w:val="005213E0"/>
    <w:rsid w:val="005216B7"/>
    <w:rsid w:val="005216E4"/>
    <w:rsid w:val="00521877"/>
    <w:rsid w:val="00521D81"/>
    <w:rsid w:val="005221FF"/>
    <w:rsid w:val="00522DF4"/>
    <w:rsid w:val="005233F2"/>
    <w:rsid w:val="0052350E"/>
    <w:rsid w:val="00523943"/>
    <w:rsid w:val="0052409C"/>
    <w:rsid w:val="00524303"/>
    <w:rsid w:val="00524341"/>
    <w:rsid w:val="00524755"/>
    <w:rsid w:val="00524FD7"/>
    <w:rsid w:val="005253D9"/>
    <w:rsid w:val="005258A2"/>
    <w:rsid w:val="00525B93"/>
    <w:rsid w:val="00526773"/>
    <w:rsid w:val="0052798A"/>
    <w:rsid w:val="00527AE3"/>
    <w:rsid w:val="005301BF"/>
    <w:rsid w:val="0053071F"/>
    <w:rsid w:val="00530A41"/>
    <w:rsid w:val="00530B53"/>
    <w:rsid w:val="00530FB2"/>
    <w:rsid w:val="0053100E"/>
    <w:rsid w:val="00531A11"/>
    <w:rsid w:val="00531A5A"/>
    <w:rsid w:val="00531B68"/>
    <w:rsid w:val="00531E9F"/>
    <w:rsid w:val="00531EC9"/>
    <w:rsid w:val="0053209F"/>
    <w:rsid w:val="005322D8"/>
    <w:rsid w:val="00532E68"/>
    <w:rsid w:val="0053306A"/>
    <w:rsid w:val="00533AE1"/>
    <w:rsid w:val="00533BC6"/>
    <w:rsid w:val="00534663"/>
    <w:rsid w:val="00534707"/>
    <w:rsid w:val="00534BD1"/>
    <w:rsid w:val="00534FE8"/>
    <w:rsid w:val="00535A62"/>
    <w:rsid w:val="00535AF2"/>
    <w:rsid w:val="00536659"/>
    <w:rsid w:val="00536BBD"/>
    <w:rsid w:val="00536D35"/>
    <w:rsid w:val="00537C28"/>
    <w:rsid w:val="00537DED"/>
    <w:rsid w:val="005401AE"/>
    <w:rsid w:val="0054032E"/>
    <w:rsid w:val="00540383"/>
    <w:rsid w:val="00540449"/>
    <w:rsid w:val="00540C6B"/>
    <w:rsid w:val="0054122D"/>
    <w:rsid w:val="00541835"/>
    <w:rsid w:val="00541DC4"/>
    <w:rsid w:val="005420E9"/>
    <w:rsid w:val="00542240"/>
    <w:rsid w:val="00542C55"/>
    <w:rsid w:val="00542CB3"/>
    <w:rsid w:val="00542E07"/>
    <w:rsid w:val="00542FD3"/>
    <w:rsid w:val="005432A1"/>
    <w:rsid w:val="00543429"/>
    <w:rsid w:val="005438B6"/>
    <w:rsid w:val="00543CD2"/>
    <w:rsid w:val="005442EC"/>
    <w:rsid w:val="00544C2F"/>
    <w:rsid w:val="00544D61"/>
    <w:rsid w:val="005453A1"/>
    <w:rsid w:val="00545424"/>
    <w:rsid w:val="0054650D"/>
    <w:rsid w:val="00546553"/>
    <w:rsid w:val="00546936"/>
    <w:rsid w:val="00546BC9"/>
    <w:rsid w:val="00546FCA"/>
    <w:rsid w:val="00547CA4"/>
    <w:rsid w:val="005506B3"/>
    <w:rsid w:val="00550A37"/>
    <w:rsid w:val="0055127C"/>
    <w:rsid w:val="00551A5D"/>
    <w:rsid w:val="00551A7F"/>
    <w:rsid w:val="00551F02"/>
    <w:rsid w:val="005523A8"/>
    <w:rsid w:val="005523EB"/>
    <w:rsid w:val="0055267F"/>
    <w:rsid w:val="005532D1"/>
    <w:rsid w:val="00553556"/>
    <w:rsid w:val="0055388D"/>
    <w:rsid w:val="00553B31"/>
    <w:rsid w:val="0055402C"/>
    <w:rsid w:val="00554735"/>
    <w:rsid w:val="0055492F"/>
    <w:rsid w:val="00554A7B"/>
    <w:rsid w:val="005553FC"/>
    <w:rsid w:val="005555F5"/>
    <w:rsid w:val="0055572C"/>
    <w:rsid w:val="00555B3C"/>
    <w:rsid w:val="005560C4"/>
    <w:rsid w:val="00556D3F"/>
    <w:rsid w:val="005575B7"/>
    <w:rsid w:val="005603A4"/>
    <w:rsid w:val="0056106A"/>
    <w:rsid w:val="0056145F"/>
    <w:rsid w:val="00562110"/>
    <w:rsid w:val="005624A4"/>
    <w:rsid w:val="00563D8A"/>
    <w:rsid w:val="00563E40"/>
    <w:rsid w:val="00564A6E"/>
    <w:rsid w:val="00564D2B"/>
    <w:rsid w:val="00564EFD"/>
    <w:rsid w:val="005652DA"/>
    <w:rsid w:val="005653F0"/>
    <w:rsid w:val="005658B8"/>
    <w:rsid w:val="005659A5"/>
    <w:rsid w:val="005660C3"/>
    <w:rsid w:val="00566257"/>
    <w:rsid w:val="005666E1"/>
    <w:rsid w:val="00566E13"/>
    <w:rsid w:val="00567C88"/>
    <w:rsid w:val="0057016C"/>
    <w:rsid w:val="005702DA"/>
    <w:rsid w:val="00570AE1"/>
    <w:rsid w:val="00570BA4"/>
    <w:rsid w:val="00571320"/>
    <w:rsid w:val="00571455"/>
    <w:rsid w:val="00571B56"/>
    <w:rsid w:val="005720AE"/>
    <w:rsid w:val="0057247C"/>
    <w:rsid w:val="00572A83"/>
    <w:rsid w:val="005732EF"/>
    <w:rsid w:val="00573B00"/>
    <w:rsid w:val="005742E3"/>
    <w:rsid w:val="00574C7D"/>
    <w:rsid w:val="0057504F"/>
    <w:rsid w:val="0057519F"/>
    <w:rsid w:val="005751AE"/>
    <w:rsid w:val="005752DB"/>
    <w:rsid w:val="00575937"/>
    <w:rsid w:val="00575C02"/>
    <w:rsid w:val="00575CBE"/>
    <w:rsid w:val="0057673B"/>
    <w:rsid w:val="00576A5C"/>
    <w:rsid w:val="00576AA1"/>
    <w:rsid w:val="00576AD7"/>
    <w:rsid w:val="005771DF"/>
    <w:rsid w:val="0057749C"/>
    <w:rsid w:val="0057799F"/>
    <w:rsid w:val="00577DC9"/>
    <w:rsid w:val="0058039D"/>
    <w:rsid w:val="005805E1"/>
    <w:rsid w:val="005806FD"/>
    <w:rsid w:val="00580CAD"/>
    <w:rsid w:val="00581AF0"/>
    <w:rsid w:val="00581F62"/>
    <w:rsid w:val="00582424"/>
    <w:rsid w:val="00582FD8"/>
    <w:rsid w:val="005836CF"/>
    <w:rsid w:val="00583F70"/>
    <w:rsid w:val="00584B54"/>
    <w:rsid w:val="00584DE8"/>
    <w:rsid w:val="00584F87"/>
    <w:rsid w:val="00585B68"/>
    <w:rsid w:val="00586341"/>
    <w:rsid w:val="00586A50"/>
    <w:rsid w:val="00586BBA"/>
    <w:rsid w:val="005900A3"/>
    <w:rsid w:val="00590109"/>
    <w:rsid w:val="005911B0"/>
    <w:rsid w:val="0059147F"/>
    <w:rsid w:val="00591869"/>
    <w:rsid w:val="005919D8"/>
    <w:rsid w:val="00591E26"/>
    <w:rsid w:val="00592211"/>
    <w:rsid w:val="005922DD"/>
    <w:rsid w:val="00592A20"/>
    <w:rsid w:val="00593490"/>
    <w:rsid w:val="005934AE"/>
    <w:rsid w:val="0059395B"/>
    <w:rsid w:val="00593D53"/>
    <w:rsid w:val="005940F7"/>
    <w:rsid w:val="005941BE"/>
    <w:rsid w:val="0059461C"/>
    <w:rsid w:val="00594D77"/>
    <w:rsid w:val="00596197"/>
    <w:rsid w:val="005962A6"/>
    <w:rsid w:val="005969E4"/>
    <w:rsid w:val="00596ED6"/>
    <w:rsid w:val="00597BEF"/>
    <w:rsid w:val="005A06B7"/>
    <w:rsid w:val="005A1759"/>
    <w:rsid w:val="005A1D42"/>
    <w:rsid w:val="005A1E0B"/>
    <w:rsid w:val="005A2091"/>
    <w:rsid w:val="005A26E7"/>
    <w:rsid w:val="005A28B0"/>
    <w:rsid w:val="005A3105"/>
    <w:rsid w:val="005A33AA"/>
    <w:rsid w:val="005A3688"/>
    <w:rsid w:val="005A3B81"/>
    <w:rsid w:val="005A3D2F"/>
    <w:rsid w:val="005A412E"/>
    <w:rsid w:val="005A43BE"/>
    <w:rsid w:val="005A43EE"/>
    <w:rsid w:val="005A4605"/>
    <w:rsid w:val="005A4AEE"/>
    <w:rsid w:val="005A4E1F"/>
    <w:rsid w:val="005A55CF"/>
    <w:rsid w:val="005A56C0"/>
    <w:rsid w:val="005A5B20"/>
    <w:rsid w:val="005A5EE6"/>
    <w:rsid w:val="005A6113"/>
    <w:rsid w:val="005A68A7"/>
    <w:rsid w:val="005A749A"/>
    <w:rsid w:val="005A7641"/>
    <w:rsid w:val="005A76B4"/>
    <w:rsid w:val="005A791B"/>
    <w:rsid w:val="005A7A55"/>
    <w:rsid w:val="005A7B11"/>
    <w:rsid w:val="005B05A6"/>
    <w:rsid w:val="005B05DC"/>
    <w:rsid w:val="005B114C"/>
    <w:rsid w:val="005B141A"/>
    <w:rsid w:val="005B18E2"/>
    <w:rsid w:val="005B1C4B"/>
    <w:rsid w:val="005B1CBB"/>
    <w:rsid w:val="005B1E66"/>
    <w:rsid w:val="005B30F2"/>
    <w:rsid w:val="005B406D"/>
    <w:rsid w:val="005B411D"/>
    <w:rsid w:val="005B4DCC"/>
    <w:rsid w:val="005B4F4C"/>
    <w:rsid w:val="005B541A"/>
    <w:rsid w:val="005B5605"/>
    <w:rsid w:val="005B59B0"/>
    <w:rsid w:val="005B5BCF"/>
    <w:rsid w:val="005B6909"/>
    <w:rsid w:val="005B7E0A"/>
    <w:rsid w:val="005B7F2C"/>
    <w:rsid w:val="005C066A"/>
    <w:rsid w:val="005C0E77"/>
    <w:rsid w:val="005C135D"/>
    <w:rsid w:val="005C2496"/>
    <w:rsid w:val="005C3DC2"/>
    <w:rsid w:val="005C426D"/>
    <w:rsid w:val="005C43D5"/>
    <w:rsid w:val="005C45B7"/>
    <w:rsid w:val="005C487F"/>
    <w:rsid w:val="005C5A20"/>
    <w:rsid w:val="005C6562"/>
    <w:rsid w:val="005C712D"/>
    <w:rsid w:val="005C72CA"/>
    <w:rsid w:val="005C75A8"/>
    <w:rsid w:val="005D026A"/>
    <w:rsid w:val="005D0E82"/>
    <w:rsid w:val="005D0F65"/>
    <w:rsid w:val="005D22AB"/>
    <w:rsid w:val="005D2B17"/>
    <w:rsid w:val="005D2F05"/>
    <w:rsid w:val="005D31AA"/>
    <w:rsid w:val="005D33FC"/>
    <w:rsid w:val="005D3681"/>
    <w:rsid w:val="005D36AB"/>
    <w:rsid w:val="005D3FA3"/>
    <w:rsid w:val="005D42FA"/>
    <w:rsid w:val="005D4A6C"/>
    <w:rsid w:val="005D4F45"/>
    <w:rsid w:val="005D54F6"/>
    <w:rsid w:val="005D5C71"/>
    <w:rsid w:val="005D5C88"/>
    <w:rsid w:val="005D634E"/>
    <w:rsid w:val="005D65AE"/>
    <w:rsid w:val="005D65BC"/>
    <w:rsid w:val="005D67B5"/>
    <w:rsid w:val="005D686C"/>
    <w:rsid w:val="005D6F34"/>
    <w:rsid w:val="005D71AE"/>
    <w:rsid w:val="005D7B5F"/>
    <w:rsid w:val="005E0782"/>
    <w:rsid w:val="005E0E66"/>
    <w:rsid w:val="005E120C"/>
    <w:rsid w:val="005E1536"/>
    <w:rsid w:val="005E1B2F"/>
    <w:rsid w:val="005E1E95"/>
    <w:rsid w:val="005E2EDE"/>
    <w:rsid w:val="005E31F9"/>
    <w:rsid w:val="005E36D9"/>
    <w:rsid w:val="005E3ED4"/>
    <w:rsid w:val="005E4724"/>
    <w:rsid w:val="005E4AE3"/>
    <w:rsid w:val="005E4B8D"/>
    <w:rsid w:val="005E4C4A"/>
    <w:rsid w:val="005E50F3"/>
    <w:rsid w:val="005E53E7"/>
    <w:rsid w:val="005E53F0"/>
    <w:rsid w:val="005E636A"/>
    <w:rsid w:val="005E67C2"/>
    <w:rsid w:val="005E7100"/>
    <w:rsid w:val="005E72C8"/>
    <w:rsid w:val="005E7771"/>
    <w:rsid w:val="005F068E"/>
    <w:rsid w:val="005F0BB7"/>
    <w:rsid w:val="005F1568"/>
    <w:rsid w:val="005F1931"/>
    <w:rsid w:val="005F351F"/>
    <w:rsid w:val="005F3F9A"/>
    <w:rsid w:val="005F403C"/>
    <w:rsid w:val="005F441A"/>
    <w:rsid w:val="005F441B"/>
    <w:rsid w:val="005F4B6B"/>
    <w:rsid w:val="005F5219"/>
    <w:rsid w:val="005F54F2"/>
    <w:rsid w:val="005F5644"/>
    <w:rsid w:val="005F6CD2"/>
    <w:rsid w:val="005F75C9"/>
    <w:rsid w:val="005F7A73"/>
    <w:rsid w:val="005F7AAC"/>
    <w:rsid w:val="00600BA1"/>
    <w:rsid w:val="00600E06"/>
    <w:rsid w:val="0060114A"/>
    <w:rsid w:val="00601252"/>
    <w:rsid w:val="00601319"/>
    <w:rsid w:val="0060157B"/>
    <w:rsid w:val="00601769"/>
    <w:rsid w:val="00601A3B"/>
    <w:rsid w:val="00601B17"/>
    <w:rsid w:val="00601D9C"/>
    <w:rsid w:val="006023F1"/>
    <w:rsid w:val="0060242B"/>
    <w:rsid w:val="00602560"/>
    <w:rsid w:val="006030BB"/>
    <w:rsid w:val="00603227"/>
    <w:rsid w:val="00603763"/>
    <w:rsid w:val="00603F1B"/>
    <w:rsid w:val="0060415C"/>
    <w:rsid w:val="006043C7"/>
    <w:rsid w:val="00604A3D"/>
    <w:rsid w:val="00604CDE"/>
    <w:rsid w:val="00605388"/>
    <w:rsid w:val="00605F0F"/>
    <w:rsid w:val="00606006"/>
    <w:rsid w:val="0060641B"/>
    <w:rsid w:val="00606848"/>
    <w:rsid w:val="00606DD7"/>
    <w:rsid w:val="00606F4B"/>
    <w:rsid w:val="00607047"/>
    <w:rsid w:val="006076A7"/>
    <w:rsid w:val="00607E7D"/>
    <w:rsid w:val="0061037C"/>
    <w:rsid w:val="006104CD"/>
    <w:rsid w:val="006108B6"/>
    <w:rsid w:val="0061090D"/>
    <w:rsid w:val="00610AA1"/>
    <w:rsid w:val="00610AA2"/>
    <w:rsid w:val="00610F17"/>
    <w:rsid w:val="00610FD3"/>
    <w:rsid w:val="00611586"/>
    <w:rsid w:val="006118B8"/>
    <w:rsid w:val="00611AFF"/>
    <w:rsid w:val="00611EA4"/>
    <w:rsid w:val="00612D38"/>
    <w:rsid w:val="00613156"/>
    <w:rsid w:val="00613B51"/>
    <w:rsid w:val="00613C3B"/>
    <w:rsid w:val="00613F1F"/>
    <w:rsid w:val="00613F89"/>
    <w:rsid w:val="00614AB7"/>
    <w:rsid w:val="0061513A"/>
    <w:rsid w:val="006152EC"/>
    <w:rsid w:val="00615937"/>
    <w:rsid w:val="00615B0C"/>
    <w:rsid w:val="0061634F"/>
    <w:rsid w:val="00616355"/>
    <w:rsid w:val="00616B12"/>
    <w:rsid w:val="00616CB9"/>
    <w:rsid w:val="00617BD2"/>
    <w:rsid w:val="00617C97"/>
    <w:rsid w:val="00617CC3"/>
    <w:rsid w:val="00620B1A"/>
    <w:rsid w:val="00621222"/>
    <w:rsid w:val="00621AB7"/>
    <w:rsid w:val="00621E8A"/>
    <w:rsid w:val="00622EC1"/>
    <w:rsid w:val="00623616"/>
    <w:rsid w:val="00623816"/>
    <w:rsid w:val="00623ABE"/>
    <w:rsid w:val="00623CC2"/>
    <w:rsid w:val="00623CEE"/>
    <w:rsid w:val="006241A7"/>
    <w:rsid w:val="006243D8"/>
    <w:rsid w:val="00624B54"/>
    <w:rsid w:val="00624E45"/>
    <w:rsid w:val="00624F49"/>
    <w:rsid w:val="00625335"/>
    <w:rsid w:val="00625D79"/>
    <w:rsid w:val="00626967"/>
    <w:rsid w:val="006306DB"/>
    <w:rsid w:val="00630986"/>
    <w:rsid w:val="00630AA0"/>
    <w:rsid w:val="00631A82"/>
    <w:rsid w:val="00631B38"/>
    <w:rsid w:val="00631BA8"/>
    <w:rsid w:val="00631E64"/>
    <w:rsid w:val="00632CF0"/>
    <w:rsid w:val="00633662"/>
    <w:rsid w:val="00633C62"/>
    <w:rsid w:val="00633DA2"/>
    <w:rsid w:val="00633DD7"/>
    <w:rsid w:val="006342BF"/>
    <w:rsid w:val="0063453F"/>
    <w:rsid w:val="00634D23"/>
    <w:rsid w:val="00634DBB"/>
    <w:rsid w:val="00634F95"/>
    <w:rsid w:val="0063540A"/>
    <w:rsid w:val="00635AF0"/>
    <w:rsid w:val="00635B50"/>
    <w:rsid w:val="006360E9"/>
    <w:rsid w:val="00636658"/>
    <w:rsid w:val="00636C5F"/>
    <w:rsid w:val="0063716B"/>
    <w:rsid w:val="006377A6"/>
    <w:rsid w:val="00637A3D"/>
    <w:rsid w:val="00640C38"/>
    <w:rsid w:val="006411D1"/>
    <w:rsid w:val="006411EF"/>
    <w:rsid w:val="00641517"/>
    <w:rsid w:val="006417A5"/>
    <w:rsid w:val="00641832"/>
    <w:rsid w:val="00641E37"/>
    <w:rsid w:val="00642234"/>
    <w:rsid w:val="00642341"/>
    <w:rsid w:val="006429F6"/>
    <w:rsid w:val="00642ABD"/>
    <w:rsid w:val="00642C5D"/>
    <w:rsid w:val="00642CE6"/>
    <w:rsid w:val="0064388D"/>
    <w:rsid w:val="00643C9E"/>
    <w:rsid w:val="00643D4A"/>
    <w:rsid w:val="006441E4"/>
    <w:rsid w:val="00644328"/>
    <w:rsid w:val="00644C11"/>
    <w:rsid w:val="006459BC"/>
    <w:rsid w:val="00645C43"/>
    <w:rsid w:val="00646361"/>
    <w:rsid w:val="00646D3E"/>
    <w:rsid w:val="00646D96"/>
    <w:rsid w:val="0064714D"/>
    <w:rsid w:val="00647208"/>
    <w:rsid w:val="00647644"/>
    <w:rsid w:val="00647E01"/>
    <w:rsid w:val="006507A7"/>
    <w:rsid w:val="00650E9B"/>
    <w:rsid w:val="00650F9A"/>
    <w:rsid w:val="006515BF"/>
    <w:rsid w:val="006517B9"/>
    <w:rsid w:val="00651C1E"/>
    <w:rsid w:val="00651D81"/>
    <w:rsid w:val="00653137"/>
    <w:rsid w:val="0065390A"/>
    <w:rsid w:val="00653A6C"/>
    <w:rsid w:val="00654B13"/>
    <w:rsid w:val="0065563D"/>
    <w:rsid w:val="00655907"/>
    <w:rsid w:val="00655ED6"/>
    <w:rsid w:val="0065634E"/>
    <w:rsid w:val="00656605"/>
    <w:rsid w:val="00656929"/>
    <w:rsid w:val="00657004"/>
    <w:rsid w:val="00657DD6"/>
    <w:rsid w:val="0066038F"/>
    <w:rsid w:val="00660BB7"/>
    <w:rsid w:val="00660D79"/>
    <w:rsid w:val="00661B5F"/>
    <w:rsid w:val="00661D3A"/>
    <w:rsid w:val="00661F14"/>
    <w:rsid w:val="0066237E"/>
    <w:rsid w:val="006624CD"/>
    <w:rsid w:val="00662C8D"/>
    <w:rsid w:val="006641D0"/>
    <w:rsid w:val="006644D1"/>
    <w:rsid w:val="00664582"/>
    <w:rsid w:val="006645E2"/>
    <w:rsid w:val="00664BB5"/>
    <w:rsid w:val="00664C1F"/>
    <w:rsid w:val="00664D21"/>
    <w:rsid w:val="006655F7"/>
    <w:rsid w:val="00665EA4"/>
    <w:rsid w:val="00665FB2"/>
    <w:rsid w:val="00666578"/>
    <w:rsid w:val="00666C5E"/>
    <w:rsid w:val="006676FA"/>
    <w:rsid w:val="00667F9D"/>
    <w:rsid w:val="006700FC"/>
    <w:rsid w:val="0067042E"/>
    <w:rsid w:val="00671F36"/>
    <w:rsid w:val="0067296B"/>
    <w:rsid w:val="00672DD3"/>
    <w:rsid w:val="006748B8"/>
    <w:rsid w:val="00674961"/>
    <w:rsid w:val="00674FD7"/>
    <w:rsid w:val="00675018"/>
    <w:rsid w:val="006752E0"/>
    <w:rsid w:val="006755B8"/>
    <w:rsid w:val="006757B4"/>
    <w:rsid w:val="00675AB9"/>
    <w:rsid w:val="0067627F"/>
    <w:rsid w:val="006762F1"/>
    <w:rsid w:val="006763CE"/>
    <w:rsid w:val="00677083"/>
    <w:rsid w:val="00677412"/>
    <w:rsid w:val="006775C3"/>
    <w:rsid w:val="00680405"/>
    <w:rsid w:val="00680CFA"/>
    <w:rsid w:val="00680F91"/>
    <w:rsid w:val="006810FE"/>
    <w:rsid w:val="006811ED"/>
    <w:rsid w:val="00681640"/>
    <w:rsid w:val="00681CE2"/>
    <w:rsid w:val="00681E52"/>
    <w:rsid w:val="00681F35"/>
    <w:rsid w:val="00682659"/>
    <w:rsid w:val="00682D7B"/>
    <w:rsid w:val="00682FD8"/>
    <w:rsid w:val="00684460"/>
    <w:rsid w:val="00685599"/>
    <w:rsid w:val="00685887"/>
    <w:rsid w:val="006859F7"/>
    <w:rsid w:val="00686251"/>
    <w:rsid w:val="0068666C"/>
    <w:rsid w:val="0068674D"/>
    <w:rsid w:val="006878C9"/>
    <w:rsid w:val="00687B3E"/>
    <w:rsid w:val="0069098F"/>
    <w:rsid w:val="00690C40"/>
    <w:rsid w:val="00690CF2"/>
    <w:rsid w:val="00690F5E"/>
    <w:rsid w:val="00691122"/>
    <w:rsid w:val="0069152C"/>
    <w:rsid w:val="00691881"/>
    <w:rsid w:val="00691CC5"/>
    <w:rsid w:val="0069209C"/>
    <w:rsid w:val="0069290A"/>
    <w:rsid w:val="00692936"/>
    <w:rsid w:val="00692ED4"/>
    <w:rsid w:val="00693642"/>
    <w:rsid w:val="00694447"/>
    <w:rsid w:val="00694653"/>
    <w:rsid w:val="00694685"/>
    <w:rsid w:val="00694ABD"/>
    <w:rsid w:val="00695306"/>
    <w:rsid w:val="0069587E"/>
    <w:rsid w:val="00695BF7"/>
    <w:rsid w:val="006962E7"/>
    <w:rsid w:val="0069681D"/>
    <w:rsid w:val="00696881"/>
    <w:rsid w:val="00696DB3"/>
    <w:rsid w:val="0069706E"/>
    <w:rsid w:val="006970F4"/>
    <w:rsid w:val="0069733B"/>
    <w:rsid w:val="00697534"/>
    <w:rsid w:val="0069775A"/>
    <w:rsid w:val="00697813"/>
    <w:rsid w:val="00697A3E"/>
    <w:rsid w:val="00697BF4"/>
    <w:rsid w:val="00697CB3"/>
    <w:rsid w:val="00697D33"/>
    <w:rsid w:val="006A0AD1"/>
    <w:rsid w:val="006A12F0"/>
    <w:rsid w:val="006A1A79"/>
    <w:rsid w:val="006A1F3F"/>
    <w:rsid w:val="006A224C"/>
    <w:rsid w:val="006A2338"/>
    <w:rsid w:val="006A23BA"/>
    <w:rsid w:val="006A2956"/>
    <w:rsid w:val="006A2A15"/>
    <w:rsid w:val="006A3705"/>
    <w:rsid w:val="006A3EE8"/>
    <w:rsid w:val="006A3FFD"/>
    <w:rsid w:val="006A418E"/>
    <w:rsid w:val="006A4EBC"/>
    <w:rsid w:val="006A4FC0"/>
    <w:rsid w:val="006A4FC1"/>
    <w:rsid w:val="006A5DD4"/>
    <w:rsid w:val="006A6588"/>
    <w:rsid w:val="006A6FED"/>
    <w:rsid w:val="006A72BF"/>
    <w:rsid w:val="006A739F"/>
    <w:rsid w:val="006A7579"/>
    <w:rsid w:val="006B02B7"/>
    <w:rsid w:val="006B02F1"/>
    <w:rsid w:val="006B03F2"/>
    <w:rsid w:val="006B0731"/>
    <w:rsid w:val="006B13CB"/>
    <w:rsid w:val="006B1B67"/>
    <w:rsid w:val="006B258A"/>
    <w:rsid w:val="006B29A1"/>
    <w:rsid w:val="006B3081"/>
    <w:rsid w:val="006B34C8"/>
    <w:rsid w:val="006B37DC"/>
    <w:rsid w:val="006B3C0F"/>
    <w:rsid w:val="006B4116"/>
    <w:rsid w:val="006B454F"/>
    <w:rsid w:val="006B4730"/>
    <w:rsid w:val="006B4D6E"/>
    <w:rsid w:val="006B4F68"/>
    <w:rsid w:val="006B519A"/>
    <w:rsid w:val="006B578D"/>
    <w:rsid w:val="006B5FCF"/>
    <w:rsid w:val="006B60E7"/>
    <w:rsid w:val="006B668F"/>
    <w:rsid w:val="006B6B22"/>
    <w:rsid w:val="006B6EC2"/>
    <w:rsid w:val="006B7E46"/>
    <w:rsid w:val="006B7F76"/>
    <w:rsid w:val="006C0037"/>
    <w:rsid w:val="006C0205"/>
    <w:rsid w:val="006C03E0"/>
    <w:rsid w:val="006C0592"/>
    <w:rsid w:val="006C1304"/>
    <w:rsid w:val="006C1EA4"/>
    <w:rsid w:val="006C20FD"/>
    <w:rsid w:val="006C272E"/>
    <w:rsid w:val="006C2747"/>
    <w:rsid w:val="006C2EE8"/>
    <w:rsid w:val="006C2EF1"/>
    <w:rsid w:val="006C39A4"/>
    <w:rsid w:val="006C3DD8"/>
    <w:rsid w:val="006C3EC0"/>
    <w:rsid w:val="006C41E1"/>
    <w:rsid w:val="006C421A"/>
    <w:rsid w:val="006C4537"/>
    <w:rsid w:val="006C494E"/>
    <w:rsid w:val="006C4D82"/>
    <w:rsid w:val="006C5479"/>
    <w:rsid w:val="006C56ED"/>
    <w:rsid w:val="006C5A3E"/>
    <w:rsid w:val="006C5D08"/>
    <w:rsid w:val="006C6251"/>
    <w:rsid w:val="006C62A9"/>
    <w:rsid w:val="006C635E"/>
    <w:rsid w:val="006C6603"/>
    <w:rsid w:val="006C69EB"/>
    <w:rsid w:val="006C6DA5"/>
    <w:rsid w:val="006C7F52"/>
    <w:rsid w:val="006C7FED"/>
    <w:rsid w:val="006D0157"/>
    <w:rsid w:val="006D021E"/>
    <w:rsid w:val="006D0D11"/>
    <w:rsid w:val="006D0E31"/>
    <w:rsid w:val="006D13B5"/>
    <w:rsid w:val="006D165D"/>
    <w:rsid w:val="006D1A57"/>
    <w:rsid w:val="006D2312"/>
    <w:rsid w:val="006D26CE"/>
    <w:rsid w:val="006D2C4B"/>
    <w:rsid w:val="006D308C"/>
    <w:rsid w:val="006D35D3"/>
    <w:rsid w:val="006D3677"/>
    <w:rsid w:val="006D3ABC"/>
    <w:rsid w:val="006D3E2B"/>
    <w:rsid w:val="006D3F2B"/>
    <w:rsid w:val="006D3FF9"/>
    <w:rsid w:val="006D477E"/>
    <w:rsid w:val="006D4DEA"/>
    <w:rsid w:val="006D5A86"/>
    <w:rsid w:val="006D5DDA"/>
    <w:rsid w:val="006D66B9"/>
    <w:rsid w:val="006D6E50"/>
    <w:rsid w:val="006D70B5"/>
    <w:rsid w:val="006D73C4"/>
    <w:rsid w:val="006D7479"/>
    <w:rsid w:val="006D7547"/>
    <w:rsid w:val="006D75E0"/>
    <w:rsid w:val="006D7C25"/>
    <w:rsid w:val="006D7E3C"/>
    <w:rsid w:val="006E02ED"/>
    <w:rsid w:val="006E0874"/>
    <w:rsid w:val="006E0A26"/>
    <w:rsid w:val="006E1041"/>
    <w:rsid w:val="006E12FF"/>
    <w:rsid w:val="006E142B"/>
    <w:rsid w:val="006E145E"/>
    <w:rsid w:val="006E1A3A"/>
    <w:rsid w:val="006E1B47"/>
    <w:rsid w:val="006E22D0"/>
    <w:rsid w:val="006E24BF"/>
    <w:rsid w:val="006E2633"/>
    <w:rsid w:val="006E29EE"/>
    <w:rsid w:val="006E2AB3"/>
    <w:rsid w:val="006E2BAC"/>
    <w:rsid w:val="006E3298"/>
    <w:rsid w:val="006E358F"/>
    <w:rsid w:val="006E3681"/>
    <w:rsid w:val="006E36F3"/>
    <w:rsid w:val="006E410B"/>
    <w:rsid w:val="006E46E3"/>
    <w:rsid w:val="006E5051"/>
    <w:rsid w:val="006E5085"/>
    <w:rsid w:val="006E58A3"/>
    <w:rsid w:val="006E5BCE"/>
    <w:rsid w:val="006E5C0C"/>
    <w:rsid w:val="006E607E"/>
    <w:rsid w:val="006E6391"/>
    <w:rsid w:val="006E6714"/>
    <w:rsid w:val="006E6AB5"/>
    <w:rsid w:val="006E6ABB"/>
    <w:rsid w:val="006F1210"/>
    <w:rsid w:val="006F12C3"/>
    <w:rsid w:val="006F1341"/>
    <w:rsid w:val="006F1EC8"/>
    <w:rsid w:val="006F232C"/>
    <w:rsid w:val="006F2E4D"/>
    <w:rsid w:val="006F331D"/>
    <w:rsid w:val="006F3CBD"/>
    <w:rsid w:val="006F3EFE"/>
    <w:rsid w:val="006F42D0"/>
    <w:rsid w:val="006F49B1"/>
    <w:rsid w:val="006F4EF7"/>
    <w:rsid w:val="006F519B"/>
    <w:rsid w:val="006F5859"/>
    <w:rsid w:val="006F5D56"/>
    <w:rsid w:val="006F600C"/>
    <w:rsid w:val="006F626F"/>
    <w:rsid w:val="006F69A2"/>
    <w:rsid w:val="006F6A2B"/>
    <w:rsid w:val="006F6BAD"/>
    <w:rsid w:val="006F6CFB"/>
    <w:rsid w:val="007008C4"/>
    <w:rsid w:val="00700FEA"/>
    <w:rsid w:val="007014F9"/>
    <w:rsid w:val="00701DB0"/>
    <w:rsid w:val="00701F44"/>
    <w:rsid w:val="007024E5"/>
    <w:rsid w:val="007035E5"/>
    <w:rsid w:val="007036C8"/>
    <w:rsid w:val="0070449F"/>
    <w:rsid w:val="00704514"/>
    <w:rsid w:val="00704C92"/>
    <w:rsid w:val="00705064"/>
    <w:rsid w:val="0070532E"/>
    <w:rsid w:val="007056F2"/>
    <w:rsid w:val="0070609E"/>
    <w:rsid w:val="007063DE"/>
    <w:rsid w:val="00706C5D"/>
    <w:rsid w:val="007073AC"/>
    <w:rsid w:val="007078AD"/>
    <w:rsid w:val="007109A2"/>
    <w:rsid w:val="00710A63"/>
    <w:rsid w:val="00711379"/>
    <w:rsid w:val="00711A98"/>
    <w:rsid w:val="00711DA1"/>
    <w:rsid w:val="00712398"/>
    <w:rsid w:val="007128B0"/>
    <w:rsid w:val="00712A6A"/>
    <w:rsid w:val="00712BED"/>
    <w:rsid w:val="00713222"/>
    <w:rsid w:val="007134FA"/>
    <w:rsid w:val="00713753"/>
    <w:rsid w:val="00713E13"/>
    <w:rsid w:val="00714AD2"/>
    <w:rsid w:val="00715218"/>
    <w:rsid w:val="00715A1D"/>
    <w:rsid w:val="00715B56"/>
    <w:rsid w:val="00715CC9"/>
    <w:rsid w:val="00715F3B"/>
    <w:rsid w:val="007160C4"/>
    <w:rsid w:val="007161CC"/>
    <w:rsid w:val="007162BD"/>
    <w:rsid w:val="0071643D"/>
    <w:rsid w:val="0071650D"/>
    <w:rsid w:val="0071670F"/>
    <w:rsid w:val="007169AB"/>
    <w:rsid w:val="00716BAB"/>
    <w:rsid w:val="00716BBA"/>
    <w:rsid w:val="00716D12"/>
    <w:rsid w:val="0071715F"/>
    <w:rsid w:val="00720FB3"/>
    <w:rsid w:val="0072111F"/>
    <w:rsid w:val="00721282"/>
    <w:rsid w:val="00721380"/>
    <w:rsid w:val="00721C46"/>
    <w:rsid w:val="00722450"/>
    <w:rsid w:val="00722774"/>
    <w:rsid w:val="00722AF7"/>
    <w:rsid w:val="0072316A"/>
    <w:rsid w:val="00723866"/>
    <w:rsid w:val="007238E6"/>
    <w:rsid w:val="00724747"/>
    <w:rsid w:val="00724816"/>
    <w:rsid w:val="00724826"/>
    <w:rsid w:val="0072502D"/>
    <w:rsid w:val="007250BC"/>
    <w:rsid w:val="0072510F"/>
    <w:rsid w:val="00725381"/>
    <w:rsid w:val="007255AA"/>
    <w:rsid w:val="00725753"/>
    <w:rsid w:val="0072584C"/>
    <w:rsid w:val="007260BB"/>
    <w:rsid w:val="007265B2"/>
    <w:rsid w:val="00726A5F"/>
    <w:rsid w:val="00727BB8"/>
    <w:rsid w:val="00727DCB"/>
    <w:rsid w:val="00727FD0"/>
    <w:rsid w:val="00730199"/>
    <w:rsid w:val="0073052C"/>
    <w:rsid w:val="007309B0"/>
    <w:rsid w:val="00730BBB"/>
    <w:rsid w:val="00731427"/>
    <w:rsid w:val="007316DF"/>
    <w:rsid w:val="00731819"/>
    <w:rsid w:val="0073188C"/>
    <w:rsid w:val="00731F2D"/>
    <w:rsid w:val="007321A4"/>
    <w:rsid w:val="007324FA"/>
    <w:rsid w:val="00732922"/>
    <w:rsid w:val="007329DC"/>
    <w:rsid w:val="00733092"/>
    <w:rsid w:val="0073355E"/>
    <w:rsid w:val="00733A28"/>
    <w:rsid w:val="00733F8B"/>
    <w:rsid w:val="0073455C"/>
    <w:rsid w:val="00734B4B"/>
    <w:rsid w:val="0073545A"/>
    <w:rsid w:val="00735D9C"/>
    <w:rsid w:val="0073648F"/>
    <w:rsid w:val="0073664B"/>
    <w:rsid w:val="007372B0"/>
    <w:rsid w:val="00737B0A"/>
    <w:rsid w:val="00737B12"/>
    <w:rsid w:val="00737C59"/>
    <w:rsid w:val="00740225"/>
    <w:rsid w:val="007407E6"/>
    <w:rsid w:val="00740947"/>
    <w:rsid w:val="00740C0B"/>
    <w:rsid w:val="00741B43"/>
    <w:rsid w:val="00741B55"/>
    <w:rsid w:val="00741D55"/>
    <w:rsid w:val="00742048"/>
    <w:rsid w:val="00742185"/>
    <w:rsid w:val="00742814"/>
    <w:rsid w:val="00743054"/>
    <w:rsid w:val="00743495"/>
    <w:rsid w:val="007442BC"/>
    <w:rsid w:val="0074440B"/>
    <w:rsid w:val="007446FC"/>
    <w:rsid w:val="00744A70"/>
    <w:rsid w:val="00744CC3"/>
    <w:rsid w:val="00744EB4"/>
    <w:rsid w:val="0074501C"/>
    <w:rsid w:val="007455C1"/>
    <w:rsid w:val="00745E1E"/>
    <w:rsid w:val="0074640A"/>
    <w:rsid w:val="00746B45"/>
    <w:rsid w:val="00747548"/>
    <w:rsid w:val="00747DC5"/>
    <w:rsid w:val="0075004A"/>
    <w:rsid w:val="0075045E"/>
    <w:rsid w:val="007506E1"/>
    <w:rsid w:val="00750BE9"/>
    <w:rsid w:val="007514CF"/>
    <w:rsid w:val="0075162E"/>
    <w:rsid w:val="0075199A"/>
    <w:rsid w:val="00751C89"/>
    <w:rsid w:val="00751DE8"/>
    <w:rsid w:val="0075237F"/>
    <w:rsid w:val="007523EF"/>
    <w:rsid w:val="00752762"/>
    <w:rsid w:val="00753056"/>
    <w:rsid w:val="00753351"/>
    <w:rsid w:val="007537BA"/>
    <w:rsid w:val="00753C83"/>
    <w:rsid w:val="00754034"/>
    <w:rsid w:val="007547A3"/>
    <w:rsid w:val="00755397"/>
    <w:rsid w:val="007562B8"/>
    <w:rsid w:val="00756338"/>
    <w:rsid w:val="00756556"/>
    <w:rsid w:val="007569D7"/>
    <w:rsid w:val="007574CC"/>
    <w:rsid w:val="00757515"/>
    <w:rsid w:val="0075777E"/>
    <w:rsid w:val="007578A8"/>
    <w:rsid w:val="00757C87"/>
    <w:rsid w:val="00760A55"/>
    <w:rsid w:val="00760B03"/>
    <w:rsid w:val="0076140C"/>
    <w:rsid w:val="007615BB"/>
    <w:rsid w:val="007617D2"/>
    <w:rsid w:val="007618C4"/>
    <w:rsid w:val="00761C98"/>
    <w:rsid w:val="00762722"/>
    <w:rsid w:val="00763695"/>
    <w:rsid w:val="00763D9B"/>
    <w:rsid w:val="00764181"/>
    <w:rsid w:val="007646FF"/>
    <w:rsid w:val="0076480A"/>
    <w:rsid w:val="0076557A"/>
    <w:rsid w:val="00765975"/>
    <w:rsid w:val="00765A58"/>
    <w:rsid w:val="007666DC"/>
    <w:rsid w:val="00766711"/>
    <w:rsid w:val="0076692F"/>
    <w:rsid w:val="00766A10"/>
    <w:rsid w:val="00767028"/>
    <w:rsid w:val="00767343"/>
    <w:rsid w:val="0076780B"/>
    <w:rsid w:val="0076794C"/>
    <w:rsid w:val="00767980"/>
    <w:rsid w:val="00767A2F"/>
    <w:rsid w:val="00767F93"/>
    <w:rsid w:val="00770AAD"/>
    <w:rsid w:val="00770B19"/>
    <w:rsid w:val="00770F5B"/>
    <w:rsid w:val="00771347"/>
    <w:rsid w:val="0077164E"/>
    <w:rsid w:val="00771A55"/>
    <w:rsid w:val="00771D56"/>
    <w:rsid w:val="00772155"/>
    <w:rsid w:val="007725B4"/>
    <w:rsid w:val="00772764"/>
    <w:rsid w:val="00772910"/>
    <w:rsid w:val="007729C3"/>
    <w:rsid w:val="007734F8"/>
    <w:rsid w:val="00773839"/>
    <w:rsid w:val="00773926"/>
    <w:rsid w:val="0077395C"/>
    <w:rsid w:val="00773E66"/>
    <w:rsid w:val="0077406B"/>
    <w:rsid w:val="007742DB"/>
    <w:rsid w:val="007742F8"/>
    <w:rsid w:val="00774479"/>
    <w:rsid w:val="0077463F"/>
    <w:rsid w:val="00774AB6"/>
    <w:rsid w:val="0077532F"/>
    <w:rsid w:val="00775F66"/>
    <w:rsid w:val="007767A0"/>
    <w:rsid w:val="00776D94"/>
    <w:rsid w:val="00776F0D"/>
    <w:rsid w:val="007775E5"/>
    <w:rsid w:val="00777A65"/>
    <w:rsid w:val="007803E6"/>
    <w:rsid w:val="00780485"/>
    <w:rsid w:val="0078092E"/>
    <w:rsid w:val="00780A6C"/>
    <w:rsid w:val="00780E18"/>
    <w:rsid w:val="00781D82"/>
    <w:rsid w:val="00782651"/>
    <w:rsid w:val="00782894"/>
    <w:rsid w:val="00782A6D"/>
    <w:rsid w:val="00782BEE"/>
    <w:rsid w:val="00782F7E"/>
    <w:rsid w:val="007836EA"/>
    <w:rsid w:val="007838C6"/>
    <w:rsid w:val="007839B2"/>
    <w:rsid w:val="00783B8D"/>
    <w:rsid w:val="007840AA"/>
    <w:rsid w:val="00784720"/>
    <w:rsid w:val="00784733"/>
    <w:rsid w:val="00784CDA"/>
    <w:rsid w:val="00784E40"/>
    <w:rsid w:val="0078503E"/>
    <w:rsid w:val="007855E9"/>
    <w:rsid w:val="00785AC3"/>
    <w:rsid w:val="00786195"/>
    <w:rsid w:val="0078650D"/>
    <w:rsid w:val="00787199"/>
    <w:rsid w:val="00787E5C"/>
    <w:rsid w:val="0079035A"/>
    <w:rsid w:val="007906C4"/>
    <w:rsid w:val="00790ACA"/>
    <w:rsid w:val="00791C31"/>
    <w:rsid w:val="00791CB5"/>
    <w:rsid w:val="00792479"/>
    <w:rsid w:val="00792D12"/>
    <w:rsid w:val="00793737"/>
    <w:rsid w:val="00793C0F"/>
    <w:rsid w:val="00793C8F"/>
    <w:rsid w:val="007940EA"/>
    <w:rsid w:val="0079435B"/>
    <w:rsid w:val="007949BA"/>
    <w:rsid w:val="007950E0"/>
    <w:rsid w:val="007951C3"/>
    <w:rsid w:val="0079587B"/>
    <w:rsid w:val="0079593B"/>
    <w:rsid w:val="00795B42"/>
    <w:rsid w:val="00795C71"/>
    <w:rsid w:val="00795EE7"/>
    <w:rsid w:val="00796002"/>
    <w:rsid w:val="007962B6"/>
    <w:rsid w:val="00796581"/>
    <w:rsid w:val="0079678C"/>
    <w:rsid w:val="0079679B"/>
    <w:rsid w:val="007967E8"/>
    <w:rsid w:val="00797A00"/>
    <w:rsid w:val="00797D56"/>
    <w:rsid w:val="00797EDC"/>
    <w:rsid w:val="007A01E5"/>
    <w:rsid w:val="007A0232"/>
    <w:rsid w:val="007A1421"/>
    <w:rsid w:val="007A1A2D"/>
    <w:rsid w:val="007A2170"/>
    <w:rsid w:val="007A22BF"/>
    <w:rsid w:val="007A2369"/>
    <w:rsid w:val="007A251D"/>
    <w:rsid w:val="007A270B"/>
    <w:rsid w:val="007A295D"/>
    <w:rsid w:val="007A2B0B"/>
    <w:rsid w:val="007A2C51"/>
    <w:rsid w:val="007A2E4C"/>
    <w:rsid w:val="007A3323"/>
    <w:rsid w:val="007A4A72"/>
    <w:rsid w:val="007A4A9C"/>
    <w:rsid w:val="007A4C21"/>
    <w:rsid w:val="007A5137"/>
    <w:rsid w:val="007A5C8B"/>
    <w:rsid w:val="007A5FD2"/>
    <w:rsid w:val="007A6478"/>
    <w:rsid w:val="007A685B"/>
    <w:rsid w:val="007A6C8F"/>
    <w:rsid w:val="007A6E37"/>
    <w:rsid w:val="007B120C"/>
    <w:rsid w:val="007B176E"/>
    <w:rsid w:val="007B2256"/>
    <w:rsid w:val="007B23AD"/>
    <w:rsid w:val="007B2EF4"/>
    <w:rsid w:val="007B3154"/>
    <w:rsid w:val="007B3784"/>
    <w:rsid w:val="007B3B64"/>
    <w:rsid w:val="007B4426"/>
    <w:rsid w:val="007B450A"/>
    <w:rsid w:val="007B4AAC"/>
    <w:rsid w:val="007B519B"/>
    <w:rsid w:val="007B52BF"/>
    <w:rsid w:val="007B532E"/>
    <w:rsid w:val="007B6A31"/>
    <w:rsid w:val="007B6E01"/>
    <w:rsid w:val="007B71F9"/>
    <w:rsid w:val="007B72B8"/>
    <w:rsid w:val="007B7345"/>
    <w:rsid w:val="007B7405"/>
    <w:rsid w:val="007B769C"/>
    <w:rsid w:val="007B778D"/>
    <w:rsid w:val="007B78E0"/>
    <w:rsid w:val="007B7908"/>
    <w:rsid w:val="007B7A58"/>
    <w:rsid w:val="007B7B0A"/>
    <w:rsid w:val="007B7D5A"/>
    <w:rsid w:val="007C0B19"/>
    <w:rsid w:val="007C0D9C"/>
    <w:rsid w:val="007C12CD"/>
    <w:rsid w:val="007C13BF"/>
    <w:rsid w:val="007C1492"/>
    <w:rsid w:val="007C16A3"/>
    <w:rsid w:val="007C18D5"/>
    <w:rsid w:val="007C1BE3"/>
    <w:rsid w:val="007C1D18"/>
    <w:rsid w:val="007C1DC9"/>
    <w:rsid w:val="007C1FC4"/>
    <w:rsid w:val="007C21B5"/>
    <w:rsid w:val="007C21CB"/>
    <w:rsid w:val="007C2CDB"/>
    <w:rsid w:val="007C2EF3"/>
    <w:rsid w:val="007C390F"/>
    <w:rsid w:val="007C3B62"/>
    <w:rsid w:val="007C4E6D"/>
    <w:rsid w:val="007C5ACA"/>
    <w:rsid w:val="007C60AE"/>
    <w:rsid w:val="007C657F"/>
    <w:rsid w:val="007C6C4A"/>
    <w:rsid w:val="007C6E30"/>
    <w:rsid w:val="007C7465"/>
    <w:rsid w:val="007C76AF"/>
    <w:rsid w:val="007C78E5"/>
    <w:rsid w:val="007D092D"/>
    <w:rsid w:val="007D13BC"/>
    <w:rsid w:val="007D26B6"/>
    <w:rsid w:val="007D38D3"/>
    <w:rsid w:val="007D3F01"/>
    <w:rsid w:val="007D4132"/>
    <w:rsid w:val="007D4536"/>
    <w:rsid w:val="007D4DA5"/>
    <w:rsid w:val="007D6883"/>
    <w:rsid w:val="007D709C"/>
    <w:rsid w:val="007D7282"/>
    <w:rsid w:val="007D7326"/>
    <w:rsid w:val="007E01C3"/>
    <w:rsid w:val="007E1175"/>
    <w:rsid w:val="007E124B"/>
    <w:rsid w:val="007E146B"/>
    <w:rsid w:val="007E14C5"/>
    <w:rsid w:val="007E21DD"/>
    <w:rsid w:val="007E268A"/>
    <w:rsid w:val="007E2F02"/>
    <w:rsid w:val="007E3BB6"/>
    <w:rsid w:val="007E4041"/>
    <w:rsid w:val="007E4087"/>
    <w:rsid w:val="007E46BE"/>
    <w:rsid w:val="007E4ADC"/>
    <w:rsid w:val="007E4BB5"/>
    <w:rsid w:val="007E4BD2"/>
    <w:rsid w:val="007E5B34"/>
    <w:rsid w:val="007E5C23"/>
    <w:rsid w:val="007E6BA2"/>
    <w:rsid w:val="007E79CA"/>
    <w:rsid w:val="007F02BB"/>
    <w:rsid w:val="007F052C"/>
    <w:rsid w:val="007F05EB"/>
    <w:rsid w:val="007F0ABB"/>
    <w:rsid w:val="007F1B52"/>
    <w:rsid w:val="007F3E53"/>
    <w:rsid w:val="007F3E65"/>
    <w:rsid w:val="007F411D"/>
    <w:rsid w:val="007F63F7"/>
    <w:rsid w:val="007F6470"/>
    <w:rsid w:val="007F6735"/>
    <w:rsid w:val="007F681C"/>
    <w:rsid w:val="007F713A"/>
    <w:rsid w:val="007F7726"/>
    <w:rsid w:val="007F7C96"/>
    <w:rsid w:val="00800557"/>
    <w:rsid w:val="00800976"/>
    <w:rsid w:val="00800A45"/>
    <w:rsid w:val="00801393"/>
    <w:rsid w:val="008021CB"/>
    <w:rsid w:val="008026B7"/>
    <w:rsid w:val="00802798"/>
    <w:rsid w:val="008027EB"/>
    <w:rsid w:val="00802A57"/>
    <w:rsid w:val="00802EA4"/>
    <w:rsid w:val="00802F88"/>
    <w:rsid w:val="00803140"/>
    <w:rsid w:val="00803948"/>
    <w:rsid w:val="00804C7C"/>
    <w:rsid w:val="00805604"/>
    <w:rsid w:val="0080561C"/>
    <w:rsid w:val="00805AA1"/>
    <w:rsid w:val="00805B34"/>
    <w:rsid w:val="00805B8F"/>
    <w:rsid w:val="00806024"/>
    <w:rsid w:val="008067C0"/>
    <w:rsid w:val="00806A9B"/>
    <w:rsid w:val="00806B23"/>
    <w:rsid w:val="0080707A"/>
    <w:rsid w:val="00807861"/>
    <w:rsid w:val="00807D95"/>
    <w:rsid w:val="008100BE"/>
    <w:rsid w:val="008105F4"/>
    <w:rsid w:val="008106BE"/>
    <w:rsid w:val="0081085B"/>
    <w:rsid w:val="00810A92"/>
    <w:rsid w:val="00810BD9"/>
    <w:rsid w:val="0081149B"/>
    <w:rsid w:val="008119E9"/>
    <w:rsid w:val="0081293E"/>
    <w:rsid w:val="00813298"/>
    <w:rsid w:val="00813585"/>
    <w:rsid w:val="0081389F"/>
    <w:rsid w:val="008138B3"/>
    <w:rsid w:val="00813CC7"/>
    <w:rsid w:val="00814A1A"/>
    <w:rsid w:val="00814E6D"/>
    <w:rsid w:val="00815465"/>
    <w:rsid w:val="00815545"/>
    <w:rsid w:val="00815915"/>
    <w:rsid w:val="00815D02"/>
    <w:rsid w:val="00816AC5"/>
    <w:rsid w:val="00817466"/>
    <w:rsid w:val="008175B5"/>
    <w:rsid w:val="00817838"/>
    <w:rsid w:val="00817D73"/>
    <w:rsid w:val="00817E82"/>
    <w:rsid w:val="00817E9A"/>
    <w:rsid w:val="00817FDC"/>
    <w:rsid w:val="008201BA"/>
    <w:rsid w:val="008202A7"/>
    <w:rsid w:val="00820D0C"/>
    <w:rsid w:val="00821027"/>
    <w:rsid w:val="0082233F"/>
    <w:rsid w:val="00822364"/>
    <w:rsid w:val="008225FC"/>
    <w:rsid w:val="00822A0F"/>
    <w:rsid w:val="00823395"/>
    <w:rsid w:val="00823D05"/>
    <w:rsid w:val="00824088"/>
    <w:rsid w:val="00825012"/>
    <w:rsid w:val="008250CD"/>
    <w:rsid w:val="008255C4"/>
    <w:rsid w:val="00825B11"/>
    <w:rsid w:val="0082641E"/>
    <w:rsid w:val="00826656"/>
    <w:rsid w:val="00826677"/>
    <w:rsid w:val="00827928"/>
    <w:rsid w:val="00827C42"/>
    <w:rsid w:val="00827CC7"/>
    <w:rsid w:val="0083023E"/>
    <w:rsid w:val="008302F5"/>
    <w:rsid w:val="008303F4"/>
    <w:rsid w:val="008306BD"/>
    <w:rsid w:val="00830914"/>
    <w:rsid w:val="00830BA1"/>
    <w:rsid w:val="00831224"/>
    <w:rsid w:val="00831798"/>
    <w:rsid w:val="00831A80"/>
    <w:rsid w:val="0083252F"/>
    <w:rsid w:val="00833512"/>
    <w:rsid w:val="00833743"/>
    <w:rsid w:val="00833BA9"/>
    <w:rsid w:val="008340A4"/>
    <w:rsid w:val="008347D0"/>
    <w:rsid w:val="00834DD0"/>
    <w:rsid w:val="0083538B"/>
    <w:rsid w:val="0083561B"/>
    <w:rsid w:val="008359FF"/>
    <w:rsid w:val="00835A0D"/>
    <w:rsid w:val="00835C7E"/>
    <w:rsid w:val="00835E1E"/>
    <w:rsid w:val="00836333"/>
    <w:rsid w:val="00836F49"/>
    <w:rsid w:val="008378C3"/>
    <w:rsid w:val="00837999"/>
    <w:rsid w:val="0084053D"/>
    <w:rsid w:val="00840A2D"/>
    <w:rsid w:val="00840BB8"/>
    <w:rsid w:val="00840F98"/>
    <w:rsid w:val="008411CD"/>
    <w:rsid w:val="0084171C"/>
    <w:rsid w:val="00841759"/>
    <w:rsid w:val="0084223E"/>
    <w:rsid w:val="008429DF"/>
    <w:rsid w:val="00842A5E"/>
    <w:rsid w:val="00842ADB"/>
    <w:rsid w:val="00843A6C"/>
    <w:rsid w:val="00843FA9"/>
    <w:rsid w:val="0084460E"/>
    <w:rsid w:val="0084543E"/>
    <w:rsid w:val="00846154"/>
    <w:rsid w:val="00846E32"/>
    <w:rsid w:val="008474B3"/>
    <w:rsid w:val="008476B9"/>
    <w:rsid w:val="008477ED"/>
    <w:rsid w:val="00847A04"/>
    <w:rsid w:val="00847A83"/>
    <w:rsid w:val="00847B03"/>
    <w:rsid w:val="00847F1D"/>
    <w:rsid w:val="00850B71"/>
    <w:rsid w:val="00850C09"/>
    <w:rsid w:val="00850C7D"/>
    <w:rsid w:val="00850D73"/>
    <w:rsid w:val="00850E30"/>
    <w:rsid w:val="008511F5"/>
    <w:rsid w:val="00851361"/>
    <w:rsid w:val="00851D18"/>
    <w:rsid w:val="00851E27"/>
    <w:rsid w:val="008526CB"/>
    <w:rsid w:val="0085286A"/>
    <w:rsid w:val="00852DB4"/>
    <w:rsid w:val="00852F4A"/>
    <w:rsid w:val="00853652"/>
    <w:rsid w:val="00853885"/>
    <w:rsid w:val="00853967"/>
    <w:rsid w:val="00853F4C"/>
    <w:rsid w:val="00854499"/>
    <w:rsid w:val="00854580"/>
    <w:rsid w:val="008548D0"/>
    <w:rsid w:val="0085499F"/>
    <w:rsid w:val="00854C77"/>
    <w:rsid w:val="00855569"/>
    <w:rsid w:val="00855655"/>
    <w:rsid w:val="008559A7"/>
    <w:rsid w:val="00856179"/>
    <w:rsid w:val="0085659B"/>
    <w:rsid w:val="00860084"/>
    <w:rsid w:val="00860617"/>
    <w:rsid w:val="00860CE0"/>
    <w:rsid w:val="00860ECF"/>
    <w:rsid w:val="0086147E"/>
    <w:rsid w:val="008618C9"/>
    <w:rsid w:val="00861BEA"/>
    <w:rsid w:val="008623D6"/>
    <w:rsid w:val="00862767"/>
    <w:rsid w:val="00862839"/>
    <w:rsid w:val="00862C03"/>
    <w:rsid w:val="008631B6"/>
    <w:rsid w:val="008636ED"/>
    <w:rsid w:val="00863983"/>
    <w:rsid w:val="00864249"/>
    <w:rsid w:val="0086470C"/>
    <w:rsid w:val="00865839"/>
    <w:rsid w:val="00865866"/>
    <w:rsid w:val="008666EC"/>
    <w:rsid w:val="00867136"/>
    <w:rsid w:val="008671DF"/>
    <w:rsid w:val="0086734C"/>
    <w:rsid w:val="008675C3"/>
    <w:rsid w:val="00867834"/>
    <w:rsid w:val="00867A18"/>
    <w:rsid w:val="008704A2"/>
    <w:rsid w:val="00870E21"/>
    <w:rsid w:val="0087127E"/>
    <w:rsid w:val="0087135F"/>
    <w:rsid w:val="00871981"/>
    <w:rsid w:val="00872C7D"/>
    <w:rsid w:val="00872D94"/>
    <w:rsid w:val="00872E66"/>
    <w:rsid w:val="00873819"/>
    <w:rsid w:val="00874402"/>
    <w:rsid w:val="00874AB9"/>
    <w:rsid w:val="008754AB"/>
    <w:rsid w:val="00875BD5"/>
    <w:rsid w:val="00876A30"/>
    <w:rsid w:val="00876FBE"/>
    <w:rsid w:val="00877820"/>
    <w:rsid w:val="0087790C"/>
    <w:rsid w:val="00877E75"/>
    <w:rsid w:val="00880364"/>
    <w:rsid w:val="008808AE"/>
    <w:rsid w:val="00880C50"/>
    <w:rsid w:val="00881532"/>
    <w:rsid w:val="008817FE"/>
    <w:rsid w:val="0088190F"/>
    <w:rsid w:val="0088195E"/>
    <w:rsid w:val="00882AD8"/>
    <w:rsid w:val="00882F56"/>
    <w:rsid w:val="00882F77"/>
    <w:rsid w:val="008835BB"/>
    <w:rsid w:val="00883D2D"/>
    <w:rsid w:val="00883D30"/>
    <w:rsid w:val="00883DB3"/>
    <w:rsid w:val="00883F6C"/>
    <w:rsid w:val="00884375"/>
    <w:rsid w:val="00884CBC"/>
    <w:rsid w:val="00885433"/>
    <w:rsid w:val="008860BF"/>
    <w:rsid w:val="00886214"/>
    <w:rsid w:val="00886DD8"/>
    <w:rsid w:val="008878D2"/>
    <w:rsid w:val="008904EB"/>
    <w:rsid w:val="00890847"/>
    <w:rsid w:val="00891592"/>
    <w:rsid w:val="00891D83"/>
    <w:rsid w:val="00891E9E"/>
    <w:rsid w:val="00892A9A"/>
    <w:rsid w:val="00892C85"/>
    <w:rsid w:val="00893199"/>
    <w:rsid w:val="008933AC"/>
    <w:rsid w:val="0089364E"/>
    <w:rsid w:val="00893ADD"/>
    <w:rsid w:val="00893EF4"/>
    <w:rsid w:val="00893FB2"/>
    <w:rsid w:val="00894B83"/>
    <w:rsid w:val="00894BB9"/>
    <w:rsid w:val="00895081"/>
    <w:rsid w:val="0089587A"/>
    <w:rsid w:val="00895E5E"/>
    <w:rsid w:val="00896050"/>
    <w:rsid w:val="00896AE0"/>
    <w:rsid w:val="00896FCD"/>
    <w:rsid w:val="008977ED"/>
    <w:rsid w:val="00897D64"/>
    <w:rsid w:val="008A0305"/>
    <w:rsid w:val="008A050B"/>
    <w:rsid w:val="008A051C"/>
    <w:rsid w:val="008A16A6"/>
    <w:rsid w:val="008A2E61"/>
    <w:rsid w:val="008A2E7C"/>
    <w:rsid w:val="008A2F68"/>
    <w:rsid w:val="008A32C3"/>
    <w:rsid w:val="008A3767"/>
    <w:rsid w:val="008A43BF"/>
    <w:rsid w:val="008A450D"/>
    <w:rsid w:val="008A4A8F"/>
    <w:rsid w:val="008A5383"/>
    <w:rsid w:val="008A5421"/>
    <w:rsid w:val="008A555F"/>
    <w:rsid w:val="008B00E0"/>
    <w:rsid w:val="008B0A86"/>
    <w:rsid w:val="008B1F3C"/>
    <w:rsid w:val="008B2AEA"/>
    <w:rsid w:val="008B2B5E"/>
    <w:rsid w:val="008B33D0"/>
    <w:rsid w:val="008B3FFC"/>
    <w:rsid w:val="008B40AB"/>
    <w:rsid w:val="008B40DC"/>
    <w:rsid w:val="008B46EF"/>
    <w:rsid w:val="008B4907"/>
    <w:rsid w:val="008B4A40"/>
    <w:rsid w:val="008B4BC2"/>
    <w:rsid w:val="008B4F63"/>
    <w:rsid w:val="008B4FA6"/>
    <w:rsid w:val="008B5282"/>
    <w:rsid w:val="008B55B2"/>
    <w:rsid w:val="008B5EC6"/>
    <w:rsid w:val="008B5F62"/>
    <w:rsid w:val="008B62DD"/>
    <w:rsid w:val="008B66E6"/>
    <w:rsid w:val="008B6EE7"/>
    <w:rsid w:val="008B7521"/>
    <w:rsid w:val="008B7C17"/>
    <w:rsid w:val="008C0250"/>
    <w:rsid w:val="008C0D2E"/>
    <w:rsid w:val="008C2031"/>
    <w:rsid w:val="008C206E"/>
    <w:rsid w:val="008C2330"/>
    <w:rsid w:val="008C2D01"/>
    <w:rsid w:val="008C3F40"/>
    <w:rsid w:val="008C4071"/>
    <w:rsid w:val="008C40E6"/>
    <w:rsid w:val="008C4138"/>
    <w:rsid w:val="008C46B2"/>
    <w:rsid w:val="008C53CC"/>
    <w:rsid w:val="008C569B"/>
    <w:rsid w:val="008C58DE"/>
    <w:rsid w:val="008C5E75"/>
    <w:rsid w:val="008C638F"/>
    <w:rsid w:val="008C640B"/>
    <w:rsid w:val="008C653C"/>
    <w:rsid w:val="008C7203"/>
    <w:rsid w:val="008C7578"/>
    <w:rsid w:val="008C7A08"/>
    <w:rsid w:val="008D02FC"/>
    <w:rsid w:val="008D05C1"/>
    <w:rsid w:val="008D096C"/>
    <w:rsid w:val="008D0B41"/>
    <w:rsid w:val="008D0F7A"/>
    <w:rsid w:val="008D112D"/>
    <w:rsid w:val="008D285A"/>
    <w:rsid w:val="008D33C0"/>
    <w:rsid w:val="008D35E1"/>
    <w:rsid w:val="008D4437"/>
    <w:rsid w:val="008D476F"/>
    <w:rsid w:val="008D4AAD"/>
    <w:rsid w:val="008D4E95"/>
    <w:rsid w:val="008D4F7C"/>
    <w:rsid w:val="008D5378"/>
    <w:rsid w:val="008D5423"/>
    <w:rsid w:val="008D5998"/>
    <w:rsid w:val="008D5A86"/>
    <w:rsid w:val="008D5C0B"/>
    <w:rsid w:val="008D5FD4"/>
    <w:rsid w:val="008D5FED"/>
    <w:rsid w:val="008D60B0"/>
    <w:rsid w:val="008D68E4"/>
    <w:rsid w:val="008D6950"/>
    <w:rsid w:val="008D76F9"/>
    <w:rsid w:val="008D7C23"/>
    <w:rsid w:val="008D7FF6"/>
    <w:rsid w:val="008E0506"/>
    <w:rsid w:val="008E0CFF"/>
    <w:rsid w:val="008E1162"/>
    <w:rsid w:val="008E11F1"/>
    <w:rsid w:val="008E14AB"/>
    <w:rsid w:val="008E2830"/>
    <w:rsid w:val="008E2834"/>
    <w:rsid w:val="008E31E0"/>
    <w:rsid w:val="008E361B"/>
    <w:rsid w:val="008E3B06"/>
    <w:rsid w:val="008E3CE0"/>
    <w:rsid w:val="008E4B52"/>
    <w:rsid w:val="008E4D6F"/>
    <w:rsid w:val="008E4DF1"/>
    <w:rsid w:val="008E4FEA"/>
    <w:rsid w:val="008E503A"/>
    <w:rsid w:val="008E52A4"/>
    <w:rsid w:val="008E5D6B"/>
    <w:rsid w:val="008E629D"/>
    <w:rsid w:val="008E69D9"/>
    <w:rsid w:val="008E6E53"/>
    <w:rsid w:val="008E72B7"/>
    <w:rsid w:val="008E73AD"/>
    <w:rsid w:val="008E76F0"/>
    <w:rsid w:val="008F00B2"/>
    <w:rsid w:val="008F0486"/>
    <w:rsid w:val="008F098B"/>
    <w:rsid w:val="008F0C70"/>
    <w:rsid w:val="008F1161"/>
    <w:rsid w:val="008F1433"/>
    <w:rsid w:val="008F15FE"/>
    <w:rsid w:val="008F1797"/>
    <w:rsid w:val="008F195E"/>
    <w:rsid w:val="008F1A1C"/>
    <w:rsid w:val="008F1BA3"/>
    <w:rsid w:val="008F21D1"/>
    <w:rsid w:val="008F2421"/>
    <w:rsid w:val="008F2434"/>
    <w:rsid w:val="008F28D0"/>
    <w:rsid w:val="008F2AA3"/>
    <w:rsid w:val="008F2D29"/>
    <w:rsid w:val="008F2E8E"/>
    <w:rsid w:val="008F2ED4"/>
    <w:rsid w:val="008F321C"/>
    <w:rsid w:val="008F3A15"/>
    <w:rsid w:val="008F446D"/>
    <w:rsid w:val="008F4C8D"/>
    <w:rsid w:val="008F4E3C"/>
    <w:rsid w:val="008F5187"/>
    <w:rsid w:val="008F523B"/>
    <w:rsid w:val="008F596E"/>
    <w:rsid w:val="008F5A7B"/>
    <w:rsid w:val="008F60D8"/>
    <w:rsid w:val="008F68FC"/>
    <w:rsid w:val="008F72A4"/>
    <w:rsid w:val="008F7C30"/>
    <w:rsid w:val="008F7CF4"/>
    <w:rsid w:val="009003A4"/>
    <w:rsid w:val="00900484"/>
    <w:rsid w:val="00900ABB"/>
    <w:rsid w:val="00900BF7"/>
    <w:rsid w:val="00900D18"/>
    <w:rsid w:val="00900D2C"/>
    <w:rsid w:val="0090180A"/>
    <w:rsid w:val="00901845"/>
    <w:rsid w:val="00901904"/>
    <w:rsid w:val="00901A85"/>
    <w:rsid w:val="00901FEB"/>
    <w:rsid w:val="00902727"/>
    <w:rsid w:val="00902853"/>
    <w:rsid w:val="009029E5"/>
    <w:rsid w:val="00902F93"/>
    <w:rsid w:val="00903049"/>
    <w:rsid w:val="0090312B"/>
    <w:rsid w:val="009033E9"/>
    <w:rsid w:val="00903487"/>
    <w:rsid w:val="00903824"/>
    <w:rsid w:val="00903A48"/>
    <w:rsid w:val="00904143"/>
    <w:rsid w:val="00904EE6"/>
    <w:rsid w:val="00905474"/>
    <w:rsid w:val="009057FB"/>
    <w:rsid w:val="00905B7E"/>
    <w:rsid w:val="00905E3F"/>
    <w:rsid w:val="00906978"/>
    <w:rsid w:val="00906A32"/>
    <w:rsid w:val="00906FBF"/>
    <w:rsid w:val="0090732C"/>
    <w:rsid w:val="0090733C"/>
    <w:rsid w:val="009104DE"/>
    <w:rsid w:val="00910608"/>
    <w:rsid w:val="00910A0E"/>
    <w:rsid w:val="00910B91"/>
    <w:rsid w:val="00910EF7"/>
    <w:rsid w:val="00910FF5"/>
    <w:rsid w:val="00911DF7"/>
    <w:rsid w:val="00911E76"/>
    <w:rsid w:val="00911EAE"/>
    <w:rsid w:val="009121D8"/>
    <w:rsid w:val="009135D1"/>
    <w:rsid w:val="009136B3"/>
    <w:rsid w:val="0091378D"/>
    <w:rsid w:val="00913AEB"/>
    <w:rsid w:val="00913AEE"/>
    <w:rsid w:val="00914248"/>
    <w:rsid w:val="00914776"/>
    <w:rsid w:val="00914782"/>
    <w:rsid w:val="00914A82"/>
    <w:rsid w:val="009150C2"/>
    <w:rsid w:val="009152D0"/>
    <w:rsid w:val="00915A87"/>
    <w:rsid w:val="00915B2E"/>
    <w:rsid w:val="00915D96"/>
    <w:rsid w:val="0091618F"/>
    <w:rsid w:val="0091736D"/>
    <w:rsid w:val="00917547"/>
    <w:rsid w:val="00917858"/>
    <w:rsid w:val="0092013D"/>
    <w:rsid w:val="0092034E"/>
    <w:rsid w:val="00920596"/>
    <w:rsid w:val="009205B8"/>
    <w:rsid w:val="00920E0B"/>
    <w:rsid w:val="00921612"/>
    <w:rsid w:val="00921A22"/>
    <w:rsid w:val="00923F2E"/>
    <w:rsid w:val="009244CC"/>
    <w:rsid w:val="009253A9"/>
    <w:rsid w:val="00925795"/>
    <w:rsid w:val="00925D31"/>
    <w:rsid w:val="00925F92"/>
    <w:rsid w:val="009263D3"/>
    <w:rsid w:val="00926882"/>
    <w:rsid w:val="0093037A"/>
    <w:rsid w:val="009305BE"/>
    <w:rsid w:val="0093085B"/>
    <w:rsid w:val="009318C5"/>
    <w:rsid w:val="00931F25"/>
    <w:rsid w:val="009325B1"/>
    <w:rsid w:val="0093297F"/>
    <w:rsid w:val="0093330C"/>
    <w:rsid w:val="009336C8"/>
    <w:rsid w:val="009337E6"/>
    <w:rsid w:val="0093425E"/>
    <w:rsid w:val="009342AD"/>
    <w:rsid w:val="0093476A"/>
    <w:rsid w:val="009348C6"/>
    <w:rsid w:val="00934AEA"/>
    <w:rsid w:val="009352CA"/>
    <w:rsid w:val="00935B84"/>
    <w:rsid w:val="009362B7"/>
    <w:rsid w:val="009370CE"/>
    <w:rsid w:val="009376BC"/>
    <w:rsid w:val="009377B4"/>
    <w:rsid w:val="00937D55"/>
    <w:rsid w:val="00941365"/>
    <w:rsid w:val="0094154D"/>
    <w:rsid w:val="0094188C"/>
    <w:rsid w:val="00941942"/>
    <w:rsid w:val="00941A7A"/>
    <w:rsid w:val="00941BCF"/>
    <w:rsid w:val="00941F01"/>
    <w:rsid w:val="009421B6"/>
    <w:rsid w:val="00942605"/>
    <w:rsid w:val="00942A8C"/>
    <w:rsid w:val="00942BC3"/>
    <w:rsid w:val="00942C49"/>
    <w:rsid w:val="00943BBB"/>
    <w:rsid w:val="00943DF6"/>
    <w:rsid w:val="00943E62"/>
    <w:rsid w:val="0094423A"/>
    <w:rsid w:val="009444C5"/>
    <w:rsid w:val="00944564"/>
    <w:rsid w:val="0094487A"/>
    <w:rsid w:val="009449A9"/>
    <w:rsid w:val="00944FA3"/>
    <w:rsid w:val="009451F0"/>
    <w:rsid w:val="00945842"/>
    <w:rsid w:val="009465B8"/>
    <w:rsid w:val="00946B47"/>
    <w:rsid w:val="00946C08"/>
    <w:rsid w:val="00947949"/>
    <w:rsid w:val="009506D0"/>
    <w:rsid w:val="00950AFF"/>
    <w:rsid w:val="00950B22"/>
    <w:rsid w:val="00950D92"/>
    <w:rsid w:val="009510A9"/>
    <w:rsid w:val="009512A7"/>
    <w:rsid w:val="0095155F"/>
    <w:rsid w:val="00951950"/>
    <w:rsid w:val="00952343"/>
    <w:rsid w:val="00952679"/>
    <w:rsid w:val="00954429"/>
    <w:rsid w:val="009545C7"/>
    <w:rsid w:val="0095490B"/>
    <w:rsid w:val="0095538A"/>
    <w:rsid w:val="009559A8"/>
    <w:rsid w:val="0095624A"/>
    <w:rsid w:val="009563CE"/>
    <w:rsid w:val="0095686F"/>
    <w:rsid w:val="00956A01"/>
    <w:rsid w:val="00957160"/>
    <w:rsid w:val="009572C9"/>
    <w:rsid w:val="00957416"/>
    <w:rsid w:val="00957A04"/>
    <w:rsid w:val="00960B8D"/>
    <w:rsid w:val="00960BCB"/>
    <w:rsid w:val="009615F0"/>
    <w:rsid w:val="0096178E"/>
    <w:rsid w:val="00961B5A"/>
    <w:rsid w:val="00961F07"/>
    <w:rsid w:val="009620CF"/>
    <w:rsid w:val="0096256C"/>
    <w:rsid w:val="009628CE"/>
    <w:rsid w:val="00962E15"/>
    <w:rsid w:val="009633B4"/>
    <w:rsid w:val="00963BC0"/>
    <w:rsid w:val="00964ABF"/>
    <w:rsid w:val="00964C02"/>
    <w:rsid w:val="009653A0"/>
    <w:rsid w:val="00965D8C"/>
    <w:rsid w:val="00966BF0"/>
    <w:rsid w:val="00967950"/>
    <w:rsid w:val="00970309"/>
    <w:rsid w:val="00971124"/>
    <w:rsid w:val="00971228"/>
    <w:rsid w:val="009713B4"/>
    <w:rsid w:val="00972279"/>
    <w:rsid w:val="009722B5"/>
    <w:rsid w:val="00972413"/>
    <w:rsid w:val="00972912"/>
    <w:rsid w:val="00972B77"/>
    <w:rsid w:val="00972F03"/>
    <w:rsid w:val="0097345F"/>
    <w:rsid w:val="00973A5F"/>
    <w:rsid w:val="00973DAA"/>
    <w:rsid w:val="00974071"/>
    <w:rsid w:val="0097409D"/>
    <w:rsid w:val="00975573"/>
    <w:rsid w:val="009755B1"/>
    <w:rsid w:val="00975B1F"/>
    <w:rsid w:val="00976108"/>
    <w:rsid w:val="009761A6"/>
    <w:rsid w:val="00976328"/>
    <w:rsid w:val="009765DF"/>
    <w:rsid w:val="0097680D"/>
    <w:rsid w:val="0097698C"/>
    <w:rsid w:val="00976C15"/>
    <w:rsid w:val="00977457"/>
    <w:rsid w:val="009774B0"/>
    <w:rsid w:val="00977535"/>
    <w:rsid w:val="00977575"/>
    <w:rsid w:val="009807AD"/>
    <w:rsid w:val="00980903"/>
    <w:rsid w:val="00980BA3"/>
    <w:rsid w:val="009815BF"/>
    <w:rsid w:val="00981853"/>
    <w:rsid w:val="00981D4B"/>
    <w:rsid w:val="00982438"/>
    <w:rsid w:val="009828D3"/>
    <w:rsid w:val="00982F69"/>
    <w:rsid w:val="0098404C"/>
    <w:rsid w:val="009850B7"/>
    <w:rsid w:val="00985283"/>
    <w:rsid w:val="00985897"/>
    <w:rsid w:val="009860F9"/>
    <w:rsid w:val="00986408"/>
    <w:rsid w:val="0098646E"/>
    <w:rsid w:val="00986FFD"/>
    <w:rsid w:val="009871C4"/>
    <w:rsid w:val="0098732E"/>
    <w:rsid w:val="00987417"/>
    <w:rsid w:val="00990523"/>
    <w:rsid w:val="0099087F"/>
    <w:rsid w:val="00990D2B"/>
    <w:rsid w:val="00990D80"/>
    <w:rsid w:val="00991130"/>
    <w:rsid w:val="0099191B"/>
    <w:rsid w:val="00991FE1"/>
    <w:rsid w:val="0099218C"/>
    <w:rsid w:val="00992EDF"/>
    <w:rsid w:val="00992F19"/>
    <w:rsid w:val="009933CF"/>
    <w:rsid w:val="009933EC"/>
    <w:rsid w:val="009937A9"/>
    <w:rsid w:val="00993AF3"/>
    <w:rsid w:val="00994F9E"/>
    <w:rsid w:val="00995992"/>
    <w:rsid w:val="00995A31"/>
    <w:rsid w:val="00995D04"/>
    <w:rsid w:val="009972D4"/>
    <w:rsid w:val="00997E27"/>
    <w:rsid w:val="00997F4B"/>
    <w:rsid w:val="009A03E5"/>
    <w:rsid w:val="009A08A0"/>
    <w:rsid w:val="009A0BB1"/>
    <w:rsid w:val="009A0D28"/>
    <w:rsid w:val="009A0D8E"/>
    <w:rsid w:val="009A0F3B"/>
    <w:rsid w:val="009A0FC5"/>
    <w:rsid w:val="009A138E"/>
    <w:rsid w:val="009A172F"/>
    <w:rsid w:val="009A187E"/>
    <w:rsid w:val="009A18E0"/>
    <w:rsid w:val="009A1B24"/>
    <w:rsid w:val="009A1BB4"/>
    <w:rsid w:val="009A22C9"/>
    <w:rsid w:val="009A245C"/>
    <w:rsid w:val="009A25D9"/>
    <w:rsid w:val="009A2628"/>
    <w:rsid w:val="009A29E5"/>
    <w:rsid w:val="009A2C6D"/>
    <w:rsid w:val="009A30F2"/>
    <w:rsid w:val="009A3200"/>
    <w:rsid w:val="009A3C27"/>
    <w:rsid w:val="009A3C51"/>
    <w:rsid w:val="009A4989"/>
    <w:rsid w:val="009A4BED"/>
    <w:rsid w:val="009A4D67"/>
    <w:rsid w:val="009A4DC5"/>
    <w:rsid w:val="009A5022"/>
    <w:rsid w:val="009A5176"/>
    <w:rsid w:val="009A5D21"/>
    <w:rsid w:val="009A6744"/>
    <w:rsid w:val="009A67D4"/>
    <w:rsid w:val="009A6AF4"/>
    <w:rsid w:val="009A7A77"/>
    <w:rsid w:val="009B012D"/>
    <w:rsid w:val="009B0897"/>
    <w:rsid w:val="009B0D13"/>
    <w:rsid w:val="009B1360"/>
    <w:rsid w:val="009B1A4D"/>
    <w:rsid w:val="009B2BBD"/>
    <w:rsid w:val="009B2F46"/>
    <w:rsid w:val="009B41FE"/>
    <w:rsid w:val="009B45A8"/>
    <w:rsid w:val="009B4C83"/>
    <w:rsid w:val="009B5196"/>
    <w:rsid w:val="009B5273"/>
    <w:rsid w:val="009B562E"/>
    <w:rsid w:val="009B608E"/>
    <w:rsid w:val="009B694E"/>
    <w:rsid w:val="009B77FC"/>
    <w:rsid w:val="009B7BD9"/>
    <w:rsid w:val="009C0319"/>
    <w:rsid w:val="009C03E9"/>
    <w:rsid w:val="009C0AEE"/>
    <w:rsid w:val="009C1FB5"/>
    <w:rsid w:val="009C213E"/>
    <w:rsid w:val="009C287D"/>
    <w:rsid w:val="009C2C1B"/>
    <w:rsid w:val="009C30AD"/>
    <w:rsid w:val="009C3166"/>
    <w:rsid w:val="009C3A7F"/>
    <w:rsid w:val="009C436B"/>
    <w:rsid w:val="009C535A"/>
    <w:rsid w:val="009C5587"/>
    <w:rsid w:val="009C566D"/>
    <w:rsid w:val="009C69D6"/>
    <w:rsid w:val="009C7BF7"/>
    <w:rsid w:val="009C7C50"/>
    <w:rsid w:val="009C7DD5"/>
    <w:rsid w:val="009C7E33"/>
    <w:rsid w:val="009D06B0"/>
    <w:rsid w:val="009D0BB4"/>
    <w:rsid w:val="009D11C0"/>
    <w:rsid w:val="009D15E8"/>
    <w:rsid w:val="009D1C67"/>
    <w:rsid w:val="009D1C78"/>
    <w:rsid w:val="009D219A"/>
    <w:rsid w:val="009D24DC"/>
    <w:rsid w:val="009D2F0A"/>
    <w:rsid w:val="009D3075"/>
    <w:rsid w:val="009D354D"/>
    <w:rsid w:val="009D3952"/>
    <w:rsid w:val="009D45B9"/>
    <w:rsid w:val="009D54F1"/>
    <w:rsid w:val="009D568C"/>
    <w:rsid w:val="009D5A21"/>
    <w:rsid w:val="009D630A"/>
    <w:rsid w:val="009D65C8"/>
    <w:rsid w:val="009D6C36"/>
    <w:rsid w:val="009D6CFF"/>
    <w:rsid w:val="009D6F42"/>
    <w:rsid w:val="009D7222"/>
    <w:rsid w:val="009D7BF6"/>
    <w:rsid w:val="009D7D0C"/>
    <w:rsid w:val="009E0067"/>
    <w:rsid w:val="009E06AF"/>
    <w:rsid w:val="009E0A29"/>
    <w:rsid w:val="009E0A6F"/>
    <w:rsid w:val="009E19C8"/>
    <w:rsid w:val="009E1B67"/>
    <w:rsid w:val="009E20CD"/>
    <w:rsid w:val="009E227D"/>
    <w:rsid w:val="009E2976"/>
    <w:rsid w:val="009E3966"/>
    <w:rsid w:val="009E39A1"/>
    <w:rsid w:val="009E4210"/>
    <w:rsid w:val="009E4254"/>
    <w:rsid w:val="009E4368"/>
    <w:rsid w:val="009E4867"/>
    <w:rsid w:val="009E5019"/>
    <w:rsid w:val="009E51B9"/>
    <w:rsid w:val="009E53D9"/>
    <w:rsid w:val="009E55B2"/>
    <w:rsid w:val="009E56BC"/>
    <w:rsid w:val="009E5B0C"/>
    <w:rsid w:val="009E66CD"/>
    <w:rsid w:val="009E6718"/>
    <w:rsid w:val="009E690D"/>
    <w:rsid w:val="009E691B"/>
    <w:rsid w:val="009E6AAC"/>
    <w:rsid w:val="009E6EBA"/>
    <w:rsid w:val="009E6F83"/>
    <w:rsid w:val="009E71DB"/>
    <w:rsid w:val="009E750E"/>
    <w:rsid w:val="009E79D5"/>
    <w:rsid w:val="009F0FE7"/>
    <w:rsid w:val="009F18D7"/>
    <w:rsid w:val="009F1904"/>
    <w:rsid w:val="009F201C"/>
    <w:rsid w:val="009F2587"/>
    <w:rsid w:val="009F2698"/>
    <w:rsid w:val="009F2AA0"/>
    <w:rsid w:val="009F32BC"/>
    <w:rsid w:val="009F3949"/>
    <w:rsid w:val="009F50C3"/>
    <w:rsid w:val="009F7981"/>
    <w:rsid w:val="009F7C1D"/>
    <w:rsid w:val="009F7F83"/>
    <w:rsid w:val="00A0057C"/>
    <w:rsid w:val="00A00711"/>
    <w:rsid w:val="00A00719"/>
    <w:rsid w:val="00A01219"/>
    <w:rsid w:val="00A01C19"/>
    <w:rsid w:val="00A026B5"/>
    <w:rsid w:val="00A0274C"/>
    <w:rsid w:val="00A02830"/>
    <w:rsid w:val="00A02A9B"/>
    <w:rsid w:val="00A03074"/>
    <w:rsid w:val="00A0315A"/>
    <w:rsid w:val="00A032C2"/>
    <w:rsid w:val="00A0384A"/>
    <w:rsid w:val="00A03D34"/>
    <w:rsid w:val="00A048D7"/>
    <w:rsid w:val="00A049DB"/>
    <w:rsid w:val="00A04F1B"/>
    <w:rsid w:val="00A0501B"/>
    <w:rsid w:val="00A0533F"/>
    <w:rsid w:val="00A05A4B"/>
    <w:rsid w:val="00A05DEA"/>
    <w:rsid w:val="00A06103"/>
    <w:rsid w:val="00A070B0"/>
    <w:rsid w:val="00A0734B"/>
    <w:rsid w:val="00A0751E"/>
    <w:rsid w:val="00A076C2"/>
    <w:rsid w:val="00A07CDF"/>
    <w:rsid w:val="00A1047B"/>
    <w:rsid w:val="00A1091D"/>
    <w:rsid w:val="00A11959"/>
    <w:rsid w:val="00A12247"/>
    <w:rsid w:val="00A1391B"/>
    <w:rsid w:val="00A141CB"/>
    <w:rsid w:val="00A14947"/>
    <w:rsid w:val="00A14987"/>
    <w:rsid w:val="00A14A8D"/>
    <w:rsid w:val="00A151FD"/>
    <w:rsid w:val="00A16500"/>
    <w:rsid w:val="00A20BD7"/>
    <w:rsid w:val="00A218F0"/>
    <w:rsid w:val="00A221D5"/>
    <w:rsid w:val="00A2237E"/>
    <w:rsid w:val="00A2246F"/>
    <w:rsid w:val="00A22C74"/>
    <w:rsid w:val="00A22DEF"/>
    <w:rsid w:val="00A22E37"/>
    <w:rsid w:val="00A22F4C"/>
    <w:rsid w:val="00A2313A"/>
    <w:rsid w:val="00A2314E"/>
    <w:rsid w:val="00A23153"/>
    <w:rsid w:val="00A23239"/>
    <w:rsid w:val="00A237CC"/>
    <w:rsid w:val="00A23B08"/>
    <w:rsid w:val="00A24BE0"/>
    <w:rsid w:val="00A24F5A"/>
    <w:rsid w:val="00A25461"/>
    <w:rsid w:val="00A26260"/>
    <w:rsid w:val="00A266CA"/>
    <w:rsid w:val="00A2671F"/>
    <w:rsid w:val="00A26D17"/>
    <w:rsid w:val="00A26D38"/>
    <w:rsid w:val="00A26FD3"/>
    <w:rsid w:val="00A2739F"/>
    <w:rsid w:val="00A274BA"/>
    <w:rsid w:val="00A27A5B"/>
    <w:rsid w:val="00A305E4"/>
    <w:rsid w:val="00A30756"/>
    <w:rsid w:val="00A30782"/>
    <w:rsid w:val="00A30BA7"/>
    <w:rsid w:val="00A30CE2"/>
    <w:rsid w:val="00A30EEE"/>
    <w:rsid w:val="00A30FC3"/>
    <w:rsid w:val="00A31540"/>
    <w:rsid w:val="00A317AB"/>
    <w:rsid w:val="00A318A0"/>
    <w:rsid w:val="00A31C44"/>
    <w:rsid w:val="00A31E21"/>
    <w:rsid w:val="00A32424"/>
    <w:rsid w:val="00A32A83"/>
    <w:rsid w:val="00A32AB3"/>
    <w:rsid w:val="00A32EEF"/>
    <w:rsid w:val="00A33B9B"/>
    <w:rsid w:val="00A33E89"/>
    <w:rsid w:val="00A34587"/>
    <w:rsid w:val="00A34768"/>
    <w:rsid w:val="00A34F65"/>
    <w:rsid w:val="00A35105"/>
    <w:rsid w:val="00A368DB"/>
    <w:rsid w:val="00A36DB1"/>
    <w:rsid w:val="00A36E0B"/>
    <w:rsid w:val="00A36FD6"/>
    <w:rsid w:val="00A37040"/>
    <w:rsid w:val="00A37276"/>
    <w:rsid w:val="00A37F6A"/>
    <w:rsid w:val="00A403D6"/>
    <w:rsid w:val="00A405C3"/>
    <w:rsid w:val="00A4081F"/>
    <w:rsid w:val="00A40F68"/>
    <w:rsid w:val="00A41550"/>
    <w:rsid w:val="00A422CC"/>
    <w:rsid w:val="00A423AA"/>
    <w:rsid w:val="00A424A6"/>
    <w:rsid w:val="00A4254E"/>
    <w:rsid w:val="00A42C4A"/>
    <w:rsid w:val="00A42D3A"/>
    <w:rsid w:val="00A43158"/>
    <w:rsid w:val="00A434CF"/>
    <w:rsid w:val="00A436C2"/>
    <w:rsid w:val="00A438B5"/>
    <w:rsid w:val="00A43AA4"/>
    <w:rsid w:val="00A43C92"/>
    <w:rsid w:val="00A44AB4"/>
    <w:rsid w:val="00A44D5F"/>
    <w:rsid w:val="00A44E76"/>
    <w:rsid w:val="00A44EA9"/>
    <w:rsid w:val="00A45457"/>
    <w:rsid w:val="00A456C6"/>
    <w:rsid w:val="00A4588D"/>
    <w:rsid w:val="00A458AD"/>
    <w:rsid w:val="00A45BE3"/>
    <w:rsid w:val="00A46372"/>
    <w:rsid w:val="00A47F79"/>
    <w:rsid w:val="00A502C6"/>
    <w:rsid w:val="00A50E4E"/>
    <w:rsid w:val="00A51E1C"/>
    <w:rsid w:val="00A52671"/>
    <w:rsid w:val="00A5293D"/>
    <w:rsid w:val="00A53559"/>
    <w:rsid w:val="00A53867"/>
    <w:rsid w:val="00A53A9F"/>
    <w:rsid w:val="00A53CC8"/>
    <w:rsid w:val="00A53CCB"/>
    <w:rsid w:val="00A53EC6"/>
    <w:rsid w:val="00A549AC"/>
    <w:rsid w:val="00A5540F"/>
    <w:rsid w:val="00A55957"/>
    <w:rsid w:val="00A559EB"/>
    <w:rsid w:val="00A55C0F"/>
    <w:rsid w:val="00A55F76"/>
    <w:rsid w:val="00A56178"/>
    <w:rsid w:val="00A561AC"/>
    <w:rsid w:val="00A569E3"/>
    <w:rsid w:val="00A56AE8"/>
    <w:rsid w:val="00A56C93"/>
    <w:rsid w:val="00A56E80"/>
    <w:rsid w:val="00A579E9"/>
    <w:rsid w:val="00A602A2"/>
    <w:rsid w:val="00A607F4"/>
    <w:rsid w:val="00A61270"/>
    <w:rsid w:val="00A62455"/>
    <w:rsid w:val="00A627C5"/>
    <w:rsid w:val="00A62C73"/>
    <w:rsid w:val="00A62C7A"/>
    <w:rsid w:val="00A62D26"/>
    <w:rsid w:val="00A62E23"/>
    <w:rsid w:val="00A6305A"/>
    <w:rsid w:val="00A63308"/>
    <w:rsid w:val="00A63A58"/>
    <w:rsid w:val="00A63C2D"/>
    <w:rsid w:val="00A63CAC"/>
    <w:rsid w:val="00A6402B"/>
    <w:rsid w:val="00A641C3"/>
    <w:rsid w:val="00A6420E"/>
    <w:rsid w:val="00A645A2"/>
    <w:rsid w:val="00A65596"/>
    <w:rsid w:val="00A65871"/>
    <w:rsid w:val="00A65A9D"/>
    <w:rsid w:val="00A65FA9"/>
    <w:rsid w:val="00A65FAC"/>
    <w:rsid w:val="00A66449"/>
    <w:rsid w:val="00A66667"/>
    <w:rsid w:val="00A667EB"/>
    <w:rsid w:val="00A66C7C"/>
    <w:rsid w:val="00A66F1B"/>
    <w:rsid w:val="00A673DD"/>
    <w:rsid w:val="00A67943"/>
    <w:rsid w:val="00A67B2C"/>
    <w:rsid w:val="00A67DDF"/>
    <w:rsid w:val="00A7008A"/>
    <w:rsid w:val="00A700EA"/>
    <w:rsid w:val="00A70260"/>
    <w:rsid w:val="00A71FE0"/>
    <w:rsid w:val="00A720A0"/>
    <w:rsid w:val="00A72563"/>
    <w:rsid w:val="00A72F0C"/>
    <w:rsid w:val="00A73192"/>
    <w:rsid w:val="00A732B1"/>
    <w:rsid w:val="00A73408"/>
    <w:rsid w:val="00A73975"/>
    <w:rsid w:val="00A74A4A"/>
    <w:rsid w:val="00A74B8B"/>
    <w:rsid w:val="00A74EAB"/>
    <w:rsid w:val="00A75015"/>
    <w:rsid w:val="00A75B11"/>
    <w:rsid w:val="00A75C7F"/>
    <w:rsid w:val="00A75F8E"/>
    <w:rsid w:val="00A76145"/>
    <w:rsid w:val="00A768FC"/>
    <w:rsid w:val="00A76CB6"/>
    <w:rsid w:val="00A775D7"/>
    <w:rsid w:val="00A802AD"/>
    <w:rsid w:val="00A8056D"/>
    <w:rsid w:val="00A80A35"/>
    <w:rsid w:val="00A80F64"/>
    <w:rsid w:val="00A813F6"/>
    <w:rsid w:val="00A815C4"/>
    <w:rsid w:val="00A8161E"/>
    <w:rsid w:val="00A81F44"/>
    <w:rsid w:val="00A824CA"/>
    <w:rsid w:val="00A83261"/>
    <w:rsid w:val="00A83288"/>
    <w:rsid w:val="00A83FE0"/>
    <w:rsid w:val="00A8446B"/>
    <w:rsid w:val="00A84F61"/>
    <w:rsid w:val="00A86032"/>
    <w:rsid w:val="00A86294"/>
    <w:rsid w:val="00A864A7"/>
    <w:rsid w:val="00A86DF7"/>
    <w:rsid w:val="00A86EC6"/>
    <w:rsid w:val="00A8713F"/>
    <w:rsid w:val="00A90300"/>
    <w:rsid w:val="00A90524"/>
    <w:rsid w:val="00A90B9C"/>
    <w:rsid w:val="00A90BA1"/>
    <w:rsid w:val="00A90BFB"/>
    <w:rsid w:val="00A91156"/>
    <w:rsid w:val="00A912EF"/>
    <w:rsid w:val="00A918AE"/>
    <w:rsid w:val="00A91E73"/>
    <w:rsid w:val="00A91EBB"/>
    <w:rsid w:val="00A91EE4"/>
    <w:rsid w:val="00A920BB"/>
    <w:rsid w:val="00A92232"/>
    <w:rsid w:val="00A930FF"/>
    <w:rsid w:val="00A93502"/>
    <w:rsid w:val="00A95723"/>
    <w:rsid w:val="00A9593E"/>
    <w:rsid w:val="00A9595A"/>
    <w:rsid w:val="00A95C4D"/>
    <w:rsid w:val="00A95D84"/>
    <w:rsid w:val="00A96672"/>
    <w:rsid w:val="00A9726D"/>
    <w:rsid w:val="00A972E5"/>
    <w:rsid w:val="00A97A9A"/>
    <w:rsid w:val="00AA063B"/>
    <w:rsid w:val="00AA0671"/>
    <w:rsid w:val="00AA0968"/>
    <w:rsid w:val="00AA128D"/>
    <w:rsid w:val="00AA1659"/>
    <w:rsid w:val="00AA178F"/>
    <w:rsid w:val="00AA2029"/>
    <w:rsid w:val="00AA2531"/>
    <w:rsid w:val="00AA2921"/>
    <w:rsid w:val="00AA3DA1"/>
    <w:rsid w:val="00AA43CD"/>
    <w:rsid w:val="00AA4CBC"/>
    <w:rsid w:val="00AA5530"/>
    <w:rsid w:val="00AA5A2A"/>
    <w:rsid w:val="00AA5C92"/>
    <w:rsid w:val="00AA5E36"/>
    <w:rsid w:val="00AA61AC"/>
    <w:rsid w:val="00AA636A"/>
    <w:rsid w:val="00AA63BD"/>
    <w:rsid w:val="00AA719B"/>
    <w:rsid w:val="00AA7498"/>
    <w:rsid w:val="00AA7898"/>
    <w:rsid w:val="00AA7B38"/>
    <w:rsid w:val="00AA7FEC"/>
    <w:rsid w:val="00AB0640"/>
    <w:rsid w:val="00AB0A2C"/>
    <w:rsid w:val="00AB0E8C"/>
    <w:rsid w:val="00AB1CFC"/>
    <w:rsid w:val="00AB1E09"/>
    <w:rsid w:val="00AB230B"/>
    <w:rsid w:val="00AB247F"/>
    <w:rsid w:val="00AB2E19"/>
    <w:rsid w:val="00AB368D"/>
    <w:rsid w:val="00AB4610"/>
    <w:rsid w:val="00AB5330"/>
    <w:rsid w:val="00AB53FD"/>
    <w:rsid w:val="00AB5676"/>
    <w:rsid w:val="00AB6393"/>
    <w:rsid w:val="00AB6516"/>
    <w:rsid w:val="00AB660B"/>
    <w:rsid w:val="00AB6D9F"/>
    <w:rsid w:val="00AB70F0"/>
    <w:rsid w:val="00AB7747"/>
    <w:rsid w:val="00AC0092"/>
    <w:rsid w:val="00AC045D"/>
    <w:rsid w:val="00AC14CE"/>
    <w:rsid w:val="00AC1554"/>
    <w:rsid w:val="00AC2236"/>
    <w:rsid w:val="00AC2A56"/>
    <w:rsid w:val="00AC2E33"/>
    <w:rsid w:val="00AC3459"/>
    <w:rsid w:val="00AC36B0"/>
    <w:rsid w:val="00AC39D3"/>
    <w:rsid w:val="00AC41EC"/>
    <w:rsid w:val="00AC4CBB"/>
    <w:rsid w:val="00AC4FC8"/>
    <w:rsid w:val="00AC5D11"/>
    <w:rsid w:val="00AC687C"/>
    <w:rsid w:val="00AC7E2D"/>
    <w:rsid w:val="00AC7F78"/>
    <w:rsid w:val="00AD055E"/>
    <w:rsid w:val="00AD0652"/>
    <w:rsid w:val="00AD0A8A"/>
    <w:rsid w:val="00AD0F3E"/>
    <w:rsid w:val="00AD1016"/>
    <w:rsid w:val="00AD103F"/>
    <w:rsid w:val="00AD20A0"/>
    <w:rsid w:val="00AD2432"/>
    <w:rsid w:val="00AD2889"/>
    <w:rsid w:val="00AD2C6B"/>
    <w:rsid w:val="00AD322E"/>
    <w:rsid w:val="00AD420B"/>
    <w:rsid w:val="00AD47A7"/>
    <w:rsid w:val="00AD4A07"/>
    <w:rsid w:val="00AD4B4D"/>
    <w:rsid w:val="00AD4C9F"/>
    <w:rsid w:val="00AD4D55"/>
    <w:rsid w:val="00AD5115"/>
    <w:rsid w:val="00AD55EE"/>
    <w:rsid w:val="00AD5789"/>
    <w:rsid w:val="00AD58F1"/>
    <w:rsid w:val="00AD5C4E"/>
    <w:rsid w:val="00AD5FA2"/>
    <w:rsid w:val="00AD6A27"/>
    <w:rsid w:val="00AD6CEC"/>
    <w:rsid w:val="00AE0005"/>
    <w:rsid w:val="00AE095A"/>
    <w:rsid w:val="00AE0EF4"/>
    <w:rsid w:val="00AE1854"/>
    <w:rsid w:val="00AE2238"/>
    <w:rsid w:val="00AE2251"/>
    <w:rsid w:val="00AE303C"/>
    <w:rsid w:val="00AE3CBB"/>
    <w:rsid w:val="00AE3F02"/>
    <w:rsid w:val="00AE4207"/>
    <w:rsid w:val="00AE4602"/>
    <w:rsid w:val="00AE47BB"/>
    <w:rsid w:val="00AE4E5E"/>
    <w:rsid w:val="00AE4FB6"/>
    <w:rsid w:val="00AE5006"/>
    <w:rsid w:val="00AE5233"/>
    <w:rsid w:val="00AE54D5"/>
    <w:rsid w:val="00AE5D81"/>
    <w:rsid w:val="00AE765A"/>
    <w:rsid w:val="00AE79C1"/>
    <w:rsid w:val="00AE7D62"/>
    <w:rsid w:val="00AE7DB1"/>
    <w:rsid w:val="00AF04C9"/>
    <w:rsid w:val="00AF0CBF"/>
    <w:rsid w:val="00AF0D73"/>
    <w:rsid w:val="00AF1111"/>
    <w:rsid w:val="00AF1F5A"/>
    <w:rsid w:val="00AF257F"/>
    <w:rsid w:val="00AF2B6A"/>
    <w:rsid w:val="00AF33CF"/>
    <w:rsid w:val="00AF37A1"/>
    <w:rsid w:val="00AF47AB"/>
    <w:rsid w:val="00AF4D50"/>
    <w:rsid w:val="00AF5895"/>
    <w:rsid w:val="00AF5BA0"/>
    <w:rsid w:val="00AF6179"/>
    <w:rsid w:val="00AF62DC"/>
    <w:rsid w:val="00AF62FE"/>
    <w:rsid w:val="00AF6557"/>
    <w:rsid w:val="00AF6617"/>
    <w:rsid w:val="00AF6E78"/>
    <w:rsid w:val="00AF73D8"/>
    <w:rsid w:val="00AF7D76"/>
    <w:rsid w:val="00AF7DF0"/>
    <w:rsid w:val="00AF7F9D"/>
    <w:rsid w:val="00B00232"/>
    <w:rsid w:val="00B00626"/>
    <w:rsid w:val="00B00643"/>
    <w:rsid w:val="00B01817"/>
    <w:rsid w:val="00B01F79"/>
    <w:rsid w:val="00B025BA"/>
    <w:rsid w:val="00B02757"/>
    <w:rsid w:val="00B02A12"/>
    <w:rsid w:val="00B02B15"/>
    <w:rsid w:val="00B02C21"/>
    <w:rsid w:val="00B02DB5"/>
    <w:rsid w:val="00B04264"/>
    <w:rsid w:val="00B04307"/>
    <w:rsid w:val="00B054D5"/>
    <w:rsid w:val="00B05DDB"/>
    <w:rsid w:val="00B06574"/>
    <w:rsid w:val="00B0677A"/>
    <w:rsid w:val="00B068DA"/>
    <w:rsid w:val="00B072D1"/>
    <w:rsid w:val="00B073B4"/>
    <w:rsid w:val="00B07A51"/>
    <w:rsid w:val="00B07B54"/>
    <w:rsid w:val="00B07B6B"/>
    <w:rsid w:val="00B07C76"/>
    <w:rsid w:val="00B07F73"/>
    <w:rsid w:val="00B07F87"/>
    <w:rsid w:val="00B07FFE"/>
    <w:rsid w:val="00B10536"/>
    <w:rsid w:val="00B105FB"/>
    <w:rsid w:val="00B1086D"/>
    <w:rsid w:val="00B109B3"/>
    <w:rsid w:val="00B10C53"/>
    <w:rsid w:val="00B10F69"/>
    <w:rsid w:val="00B112B3"/>
    <w:rsid w:val="00B11A7A"/>
    <w:rsid w:val="00B11B41"/>
    <w:rsid w:val="00B11DC4"/>
    <w:rsid w:val="00B1247D"/>
    <w:rsid w:val="00B1295A"/>
    <w:rsid w:val="00B12AF6"/>
    <w:rsid w:val="00B13482"/>
    <w:rsid w:val="00B1438B"/>
    <w:rsid w:val="00B14C06"/>
    <w:rsid w:val="00B14F18"/>
    <w:rsid w:val="00B154AF"/>
    <w:rsid w:val="00B15D8D"/>
    <w:rsid w:val="00B15F70"/>
    <w:rsid w:val="00B16A38"/>
    <w:rsid w:val="00B16C12"/>
    <w:rsid w:val="00B177EE"/>
    <w:rsid w:val="00B177F3"/>
    <w:rsid w:val="00B2055D"/>
    <w:rsid w:val="00B20808"/>
    <w:rsid w:val="00B20873"/>
    <w:rsid w:val="00B20A45"/>
    <w:rsid w:val="00B20E69"/>
    <w:rsid w:val="00B21189"/>
    <w:rsid w:val="00B21235"/>
    <w:rsid w:val="00B21566"/>
    <w:rsid w:val="00B21D05"/>
    <w:rsid w:val="00B21E29"/>
    <w:rsid w:val="00B2204E"/>
    <w:rsid w:val="00B225B8"/>
    <w:rsid w:val="00B22805"/>
    <w:rsid w:val="00B2282F"/>
    <w:rsid w:val="00B22C5C"/>
    <w:rsid w:val="00B23274"/>
    <w:rsid w:val="00B233CD"/>
    <w:rsid w:val="00B234D6"/>
    <w:rsid w:val="00B23841"/>
    <w:rsid w:val="00B23952"/>
    <w:rsid w:val="00B23AE6"/>
    <w:rsid w:val="00B23C25"/>
    <w:rsid w:val="00B23E20"/>
    <w:rsid w:val="00B23F24"/>
    <w:rsid w:val="00B23FD3"/>
    <w:rsid w:val="00B24F30"/>
    <w:rsid w:val="00B26BEE"/>
    <w:rsid w:val="00B272ED"/>
    <w:rsid w:val="00B27733"/>
    <w:rsid w:val="00B30541"/>
    <w:rsid w:val="00B305C9"/>
    <w:rsid w:val="00B305E3"/>
    <w:rsid w:val="00B30CB1"/>
    <w:rsid w:val="00B30D93"/>
    <w:rsid w:val="00B31ABF"/>
    <w:rsid w:val="00B31AFB"/>
    <w:rsid w:val="00B31C38"/>
    <w:rsid w:val="00B31DBE"/>
    <w:rsid w:val="00B323B1"/>
    <w:rsid w:val="00B32938"/>
    <w:rsid w:val="00B33443"/>
    <w:rsid w:val="00B3350A"/>
    <w:rsid w:val="00B33BE3"/>
    <w:rsid w:val="00B33EAE"/>
    <w:rsid w:val="00B340EC"/>
    <w:rsid w:val="00B34A91"/>
    <w:rsid w:val="00B34DF8"/>
    <w:rsid w:val="00B34F90"/>
    <w:rsid w:val="00B355E2"/>
    <w:rsid w:val="00B356B5"/>
    <w:rsid w:val="00B3577D"/>
    <w:rsid w:val="00B359E1"/>
    <w:rsid w:val="00B35B4F"/>
    <w:rsid w:val="00B35D5F"/>
    <w:rsid w:val="00B35ECC"/>
    <w:rsid w:val="00B36671"/>
    <w:rsid w:val="00B36D7D"/>
    <w:rsid w:val="00B3777D"/>
    <w:rsid w:val="00B37876"/>
    <w:rsid w:val="00B37D9F"/>
    <w:rsid w:val="00B37DCE"/>
    <w:rsid w:val="00B408F7"/>
    <w:rsid w:val="00B40B10"/>
    <w:rsid w:val="00B41131"/>
    <w:rsid w:val="00B41769"/>
    <w:rsid w:val="00B41F9B"/>
    <w:rsid w:val="00B4246B"/>
    <w:rsid w:val="00B42659"/>
    <w:rsid w:val="00B42693"/>
    <w:rsid w:val="00B42B43"/>
    <w:rsid w:val="00B42E88"/>
    <w:rsid w:val="00B442CC"/>
    <w:rsid w:val="00B4455A"/>
    <w:rsid w:val="00B448F6"/>
    <w:rsid w:val="00B44986"/>
    <w:rsid w:val="00B44C0C"/>
    <w:rsid w:val="00B454DF"/>
    <w:rsid w:val="00B45B32"/>
    <w:rsid w:val="00B462DD"/>
    <w:rsid w:val="00B46DC3"/>
    <w:rsid w:val="00B4759A"/>
    <w:rsid w:val="00B47737"/>
    <w:rsid w:val="00B479C5"/>
    <w:rsid w:val="00B47CC5"/>
    <w:rsid w:val="00B5001A"/>
    <w:rsid w:val="00B5028F"/>
    <w:rsid w:val="00B50884"/>
    <w:rsid w:val="00B510A0"/>
    <w:rsid w:val="00B51346"/>
    <w:rsid w:val="00B519E7"/>
    <w:rsid w:val="00B51F89"/>
    <w:rsid w:val="00B52143"/>
    <w:rsid w:val="00B52267"/>
    <w:rsid w:val="00B5285D"/>
    <w:rsid w:val="00B52BF7"/>
    <w:rsid w:val="00B532D6"/>
    <w:rsid w:val="00B53B5D"/>
    <w:rsid w:val="00B53D5E"/>
    <w:rsid w:val="00B54209"/>
    <w:rsid w:val="00B544E9"/>
    <w:rsid w:val="00B5480A"/>
    <w:rsid w:val="00B54CBD"/>
    <w:rsid w:val="00B552FE"/>
    <w:rsid w:val="00B558C0"/>
    <w:rsid w:val="00B55A7B"/>
    <w:rsid w:val="00B55F1C"/>
    <w:rsid w:val="00B571B0"/>
    <w:rsid w:val="00B5761F"/>
    <w:rsid w:val="00B579A3"/>
    <w:rsid w:val="00B57EA6"/>
    <w:rsid w:val="00B60190"/>
    <w:rsid w:val="00B60249"/>
    <w:rsid w:val="00B6055E"/>
    <w:rsid w:val="00B6098E"/>
    <w:rsid w:val="00B60EF5"/>
    <w:rsid w:val="00B610ED"/>
    <w:rsid w:val="00B61636"/>
    <w:rsid w:val="00B617CF"/>
    <w:rsid w:val="00B61CF2"/>
    <w:rsid w:val="00B61F13"/>
    <w:rsid w:val="00B62407"/>
    <w:rsid w:val="00B62768"/>
    <w:rsid w:val="00B6317D"/>
    <w:rsid w:val="00B631ED"/>
    <w:rsid w:val="00B63525"/>
    <w:rsid w:val="00B63B4F"/>
    <w:rsid w:val="00B64798"/>
    <w:rsid w:val="00B64B70"/>
    <w:rsid w:val="00B64D86"/>
    <w:rsid w:val="00B65684"/>
    <w:rsid w:val="00B66096"/>
    <w:rsid w:val="00B66233"/>
    <w:rsid w:val="00B66373"/>
    <w:rsid w:val="00B667F9"/>
    <w:rsid w:val="00B66B44"/>
    <w:rsid w:val="00B67330"/>
    <w:rsid w:val="00B67657"/>
    <w:rsid w:val="00B711E2"/>
    <w:rsid w:val="00B71AEB"/>
    <w:rsid w:val="00B71D51"/>
    <w:rsid w:val="00B727ED"/>
    <w:rsid w:val="00B72952"/>
    <w:rsid w:val="00B729AE"/>
    <w:rsid w:val="00B72A3A"/>
    <w:rsid w:val="00B7308D"/>
    <w:rsid w:val="00B730C8"/>
    <w:rsid w:val="00B73ADB"/>
    <w:rsid w:val="00B7459B"/>
    <w:rsid w:val="00B745FF"/>
    <w:rsid w:val="00B74623"/>
    <w:rsid w:val="00B74DF5"/>
    <w:rsid w:val="00B75ED8"/>
    <w:rsid w:val="00B75F69"/>
    <w:rsid w:val="00B76393"/>
    <w:rsid w:val="00B76757"/>
    <w:rsid w:val="00B768B4"/>
    <w:rsid w:val="00B76ACC"/>
    <w:rsid w:val="00B76BD3"/>
    <w:rsid w:val="00B76C70"/>
    <w:rsid w:val="00B76D2A"/>
    <w:rsid w:val="00B76DEE"/>
    <w:rsid w:val="00B76DF7"/>
    <w:rsid w:val="00B7723F"/>
    <w:rsid w:val="00B77D62"/>
    <w:rsid w:val="00B77FFE"/>
    <w:rsid w:val="00B80534"/>
    <w:rsid w:val="00B805A7"/>
    <w:rsid w:val="00B8161D"/>
    <w:rsid w:val="00B81BCF"/>
    <w:rsid w:val="00B8202C"/>
    <w:rsid w:val="00B822D2"/>
    <w:rsid w:val="00B82B2A"/>
    <w:rsid w:val="00B82F34"/>
    <w:rsid w:val="00B82F76"/>
    <w:rsid w:val="00B83011"/>
    <w:rsid w:val="00B83072"/>
    <w:rsid w:val="00B832EB"/>
    <w:rsid w:val="00B83D78"/>
    <w:rsid w:val="00B8433C"/>
    <w:rsid w:val="00B844BC"/>
    <w:rsid w:val="00B8472A"/>
    <w:rsid w:val="00B84805"/>
    <w:rsid w:val="00B84A87"/>
    <w:rsid w:val="00B84AA7"/>
    <w:rsid w:val="00B85B8B"/>
    <w:rsid w:val="00B8684C"/>
    <w:rsid w:val="00B87104"/>
    <w:rsid w:val="00B87491"/>
    <w:rsid w:val="00B87859"/>
    <w:rsid w:val="00B879AB"/>
    <w:rsid w:val="00B87C07"/>
    <w:rsid w:val="00B90893"/>
    <w:rsid w:val="00B90B94"/>
    <w:rsid w:val="00B91975"/>
    <w:rsid w:val="00B91C48"/>
    <w:rsid w:val="00B9249D"/>
    <w:rsid w:val="00B935FA"/>
    <w:rsid w:val="00B935FD"/>
    <w:rsid w:val="00B93761"/>
    <w:rsid w:val="00B9384E"/>
    <w:rsid w:val="00B93D4D"/>
    <w:rsid w:val="00B9401F"/>
    <w:rsid w:val="00B94316"/>
    <w:rsid w:val="00B95623"/>
    <w:rsid w:val="00B9730A"/>
    <w:rsid w:val="00B97403"/>
    <w:rsid w:val="00BA19F5"/>
    <w:rsid w:val="00BA206F"/>
    <w:rsid w:val="00BA249A"/>
    <w:rsid w:val="00BA2951"/>
    <w:rsid w:val="00BA29E9"/>
    <w:rsid w:val="00BA33CF"/>
    <w:rsid w:val="00BA38F3"/>
    <w:rsid w:val="00BA3BA6"/>
    <w:rsid w:val="00BA4330"/>
    <w:rsid w:val="00BA4337"/>
    <w:rsid w:val="00BA45E3"/>
    <w:rsid w:val="00BA4A59"/>
    <w:rsid w:val="00BA4E79"/>
    <w:rsid w:val="00BA5031"/>
    <w:rsid w:val="00BA511F"/>
    <w:rsid w:val="00BA5554"/>
    <w:rsid w:val="00BA60D4"/>
    <w:rsid w:val="00BA631C"/>
    <w:rsid w:val="00BA6D77"/>
    <w:rsid w:val="00BA7013"/>
    <w:rsid w:val="00BA7142"/>
    <w:rsid w:val="00BA77EB"/>
    <w:rsid w:val="00BB0A10"/>
    <w:rsid w:val="00BB0B95"/>
    <w:rsid w:val="00BB2204"/>
    <w:rsid w:val="00BB237C"/>
    <w:rsid w:val="00BB25E2"/>
    <w:rsid w:val="00BB2992"/>
    <w:rsid w:val="00BB3394"/>
    <w:rsid w:val="00BB35F4"/>
    <w:rsid w:val="00BB399C"/>
    <w:rsid w:val="00BB3F46"/>
    <w:rsid w:val="00BB41A3"/>
    <w:rsid w:val="00BB47AF"/>
    <w:rsid w:val="00BB4D67"/>
    <w:rsid w:val="00BB583D"/>
    <w:rsid w:val="00BB5AB6"/>
    <w:rsid w:val="00BB5B2F"/>
    <w:rsid w:val="00BB5F5A"/>
    <w:rsid w:val="00BB5FBD"/>
    <w:rsid w:val="00BB67E2"/>
    <w:rsid w:val="00BB6CD0"/>
    <w:rsid w:val="00BB6E38"/>
    <w:rsid w:val="00BB6FC7"/>
    <w:rsid w:val="00BB7492"/>
    <w:rsid w:val="00BB7791"/>
    <w:rsid w:val="00BB77EB"/>
    <w:rsid w:val="00BB79B2"/>
    <w:rsid w:val="00BB7A9B"/>
    <w:rsid w:val="00BB7CAC"/>
    <w:rsid w:val="00BC00B2"/>
    <w:rsid w:val="00BC0BD9"/>
    <w:rsid w:val="00BC129F"/>
    <w:rsid w:val="00BC1E0E"/>
    <w:rsid w:val="00BC20BD"/>
    <w:rsid w:val="00BC2C59"/>
    <w:rsid w:val="00BC2F47"/>
    <w:rsid w:val="00BC32DC"/>
    <w:rsid w:val="00BC35B6"/>
    <w:rsid w:val="00BC37C6"/>
    <w:rsid w:val="00BC3B36"/>
    <w:rsid w:val="00BC3EB9"/>
    <w:rsid w:val="00BC440A"/>
    <w:rsid w:val="00BC48B5"/>
    <w:rsid w:val="00BC6837"/>
    <w:rsid w:val="00BC6858"/>
    <w:rsid w:val="00BC6EF9"/>
    <w:rsid w:val="00BC7849"/>
    <w:rsid w:val="00BD0154"/>
    <w:rsid w:val="00BD0437"/>
    <w:rsid w:val="00BD0817"/>
    <w:rsid w:val="00BD0BBE"/>
    <w:rsid w:val="00BD13DF"/>
    <w:rsid w:val="00BD1B51"/>
    <w:rsid w:val="00BD1B67"/>
    <w:rsid w:val="00BD23AE"/>
    <w:rsid w:val="00BD2FCA"/>
    <w:rsid w:val="00BD323C"/>
    <w:rsid w:val="00BD3D8C"/>
    <w:rsid w:val="00BD425A"/>
    <w:rsid w:val="00BD4315"/>
    <w:rsid w:val="00BD4593"/>
    <w:rsid w:val="00BD4596"/>
    <w:rsid w:val="00BD4A98"/>
    <w:rsid w:val="00BD51C6"/>
    <w:rsid w:val="00BD59E8"/>
    <w:rsid w:val="00BD63D6"/>
    <w:rsid w:val="00BD6422"/>
    <w:rsid w:val="00BD64B9"/>
    <w:rsid w:val="00BD7279"/>
    <w:rsid w:val="00BD7320"/>
    <w:rsid w:val="00BD7844"/>
    <w:rsid w:val="00BD7952"/>
    <w:rsid w:val="00BE08B2"/>
    <w:rsid w:val="00BE0D80"/>
    <w:rsid w:val="00BE0E22"/>
    <w:rsid w:val="00BE0E70"/>
    <w:rsid w:val="00BE1405"/>
    <w:rsid w:val="00BE18CE"/>
    <w:rsid w:val="00BE227A"/>
    <w:rsid w:val="00BE26A5"/>
    <w:rsid w:val="00BE2C66"/>
    <w:rsid w:val="00BE3027"/>
    <w:rsid w:val="00BE312D"/>
    <w:rsid w:val="00BE33CB"/>
    <w:rsid w:val="00BE37DB"/>
    <w:rsid w:val="00BE3D01"/>
    <w:rsid w:val="00BE453A"/>
    <w:rsid w:val="00BE461C"/>
    <w:rsid w:val="00BE4639"/>
    <w:rsid w:val="00BE4948"/>
    <w:rsid w:val="00BE4B85"/>
    <w:rsid w:val="00BE4FD0"/>
    <w:rsid w:val="00BE5653"/>
    <w:rsid w:val="00BE5697"/>
    <w:rsid w:val="00BE5B4B"/>
    <w:rsid w:val="00BE69E9"/>
    <w:rsid w:val="00BE76A0"/>
    <w:rsid w:val="00BE7A8F"/>
    <w:rsid w:val="00BE7CAB"/>
    <w:rsid w:val="00BE7F10"/>
    <w:rsid w:val="00BF0990"/>
    <w:rsid w:val="00BF1310"/>
    <w:rsid w:val="00BF14B6"/>
    <w:rsid w:val="00BF1C20"/>
    <w:rsid w:val="00BF1CBA"/>
    <w:rsid w:val="00BF2267"/>
    <w:rsid w:val="00BF2702"/>
    <w:rsid w:val="00BF282B"/>
    <w:rsid w:val="00BF2C55"/>
    <w:rsid w:val="00BF391E"/>
    <w:rsid w:val="00BF3E35"/>
    <w:rsid w:val="00BF4CAD"/>
    <w:rsid w:val="00BF5534"/>
    <w:rsid w:val="00BF5A5E"/>
    <w:rsid w:val="00BF69BC"/>
    <w:rsid w:val="00BF6CB1"/>
    <w:rsid w:val="00BF7300"/>
    <w:rsid w:val="00BF775A"/>
    <w:rsid w:val="00BF7B1C"/>
    <w:rsid w:val="00BF7D4D"/>
    <w:rsid w:val="00C005DC"/>
    <w:rsid w:val="00C00F0F"/>
    <w:rsid w:val="00C0138F"/>
    <w:rsid w:val="00C018FF"/>
    <w:rsid w:val="00C01A96"/>
    <w:rsid w:val="00C01B14"/>
    <w:rsid w:val="00C01C5F"/>
    <w:rsid w:val="00C033C4"/>
    <w:rsid w:val="00C039D6"/>
    <w:rsid w:val="00C03F47"/>
    <w:rsid w:val="00C0430C"/>
    <w:rsid w:val="00C0441F"/>
    <w:rsid w:val="00C044E8"/>
    <w:rsid w:val="00C04502"/>
    <w:rsid w:val="00C049B1"/>
    <w:rsid w:val="00C052CD"/>
    <w:rsid w:val="00C060EF"/>
    <w:rsid w:val="00C065A1"/>
    <w:rsid w:val="00C06F24"/>
    <w:rsid w:val="00C073FE"/>
    <w:rsid w:val="00C07937"/>
    <w:rsid w:val="00C07D2C"/>
    <w:rsid w:val="00C07DF0"/>
    <w:rsid w:val="00C07E42"/>
    <w:rsid w:val="00C102E2"/>
    <w:rsid w:val="00C10578"/>
    <w:rsid w:val="00C10947"/>
    <w:rsid w:val="00C10CA4"/>
    <w:rsid w:val="00C11035"/>
    <w:rsid w:val="00C11227"/>
    <w:rsid w:val="00C11531"/>
    <w:rsid w:val="00C1164C"/>
    <w:rsid w:val="00C11A96"/>
    <w:rsid w:val="00C11D62"/>
    <w:rsid w:val="00C12C38"/>
    <w:rsid w:val="00C12E82"/>
    <w:rsid w:val="00C135BC"/>
    <w:rsid w:val="00C14619"/>
    <w:rsid w:val="00C157AF"/>
    <w:rsid w:val="00C158AB"/>
    <w:rsid w:val="00C15C95"/>
    <w:rsid w:val="00C16131"/>
    <w:rsid w:val="00C175F6"/>
    <w:rsid w:val="00C177E6"/>
    <w:rsid w:val="00C204B8"/>
    <w:rsid w:val="00C20BD4"/>
    <w:rsid w:val="00C21E1F"/>
    <w:rsid w:val="00C22D7C"/>
    <w:rsid w:val="00C23140"/>
    <w:rsid w:val="00C232DC"/>
    <w:rsid w:val="00C23367"/>
    <w:rsid w:val="00C23698"/>
    <w:rsid w:val="00C238C8"/>
    <w:rsid w:val="00C23BBD"/>
    <w:rsid w:val="00C23CA2"/>
    <w:rsid w:val="00C24668"/>
    <w:rsid w:val="00C258D2"/>
    <w:rsid w:val="00C2596A"/>
    <w:rsid w:val="00C266D2"/>
    <w:rsid w:val="00C26F73"/>
    <w:rsid w:val="00C27537"/>
    <w:rsid w:val="00C276BB"/>
    <w:rsid w:val="00C27A09"/>
    <w:rsid w:val="00C27D34"/>
    <w:rsid w:val="00C3017F"/>
    <w:rsid w:val="00C307EB"/>
    <w:rsid w:val="00C30BF0"/>
    <w:rsid w:val="00C311C0"/>
    <w:rsid w:val="00C311D8"/>
    <w:rsid w:val="00C31262"/>
    <w:rsid w:val="00C31519"/>
    <w:rsid w:val="00C3177B"/>
    <w:rsid w:val="00C31938"/>
    <w:rsid w:val="00C3195D"/>
    <w:rsid w:val="00C324AB"/>
    <w:rsid w:val="00C32671"/>
    <w:rsid w:val="00C328FE"/>
    <w:rsid w:val="00C33257"/>
    <w:rsid w:val="00C33507"/>
    <w:rsid w:val="00C335C3"/>
    <w:rsid w:val="00C337AC"/>
    <w:rsid w:val="00C33B0E"/>
    <w:rsid w:val="00C33D13"/>
    <w:rsid w:val="00C33F50"/>
    <w:rsid w:val="00C342EF"/>
    <w:rsid w:val="00C34945"/>
    <w:rsid w:val="00C34D1F"/>
    <w:rsid w:val="00C34DAD"/>
    <w:rsid w:val="00C35129"/>
    <w:rsid w:val="00C3541C"/>
    <w:rsid w:val="00C35824"/>
    <w:rsid w:val="00C369C2"/>
    <w:rsid w:val="00C36A6E"/>
    <w:rsid w:val="00C36F7A"/>
    <w:rsid w:val="00C371FC"/>
    <w:rsid w:val="00C373A4"/>
    <w:rsid w:val="00C377C3"/>
    <w:rsid w:val="00C3781B"/>
    <w:rsid w:val="00C37D7D"/>
    <w:rsid w:val="00C413B5"/>
    <w:rsid w:val="00C415C3"/>
    <w:rsid w:val="00C4198D"/>
    <w:rsid w:val="00C41F3C"/>
    <w:rsid w:val="00C4252E"/>
    <w:rsid w:val="00C4295C"/>
    <w:rsid w:val="00C42A60"/>
    <w:rsid w:val="00C42A73"/>
    <w:rsid w:val="00C42AF0"/>
    <w:rsid w:val="00C431BC"/>
    <w:rsid w:val="00C438AB"/>
    <w:rsid w:val="00C438C6"/>
    <w:rsid w:val="00C4409D"/>
    <w:rsid w:val="00C4497E"/>
    <w:rsid w:val="00C44E72"/>
    <w:rsid w:val="00C4554F"/>
    <w:rsid w:val="00C45661"/>
    <w:rsid w:val="00C45740"/>
    <w:rsid w:val="00C4583F"/>
    <w:rsid w:val="00C45A06"/>
    <w:rsid w:val="00C45B05"/>
    <w:rsid w:val="00C460F7"/>
    <w:rsid w:val="00C465EA"/>
    <w:rsid w:val="00C46D34"/>
    <w:rsid w:val="00C473E2"/>
    <w:rsid w:val="00C47669"/>
    <w:rsid w:val="00C47B2C"/>
    <w:rsid w:val="00C47E5B"/>
    <w:rsid w:val="00C47FA0"/>
    <w:rsid w:val="00C5021E"/>
    <w:rsid w:val="00C511EC"/>
    <w:rsid w:val="00C51B20"/>
    <w:rsid w:val="00C51F8E"/>
    <w:rsid w:val="00C53115"/>
    <w:rsid w:val="00C5311E"/>
    <w:rsid w:val="00C53255"/>
    <w:rsid w:val="00C538C8"/>
    <w:rsid w:val="00C53A20"/>
    <w:rsid w:val="00C53DFA"/>
    <w:rsid w:val="00C54062"/>
    <w:rsid w:val="00C5578B"/>
    <w:rsid w:val="00C55CAE"/>
    <w:rsid w:val="00C55E4E"/>
    <w:rsid w:val="00C5608E"/>
    <w:rsid w:val="00C56099"/>
    <w:rsid w:val="00C564B4"/>
    <w:rsid w:val="00C5659C"/>
    <w:rsid w:val="00C609CA"/>
    <w:rsid w:val="00C60AF7"/>
    <w:rsid w:val="00C60F39"/>
    <w:rsid w:val="00C611F4"/>
    <w:rsid w:val="00C61293"/>
    <w:rsid w:val="00C61532"/>
    <w:rsid w:val="00C61638"/>
    <w:rsid w:val="00C61C54"/>
    <w:rsid w:val="00C61D14"/>
    <w:rsid w:val="00C61E4B"/>
    <w:rsid w:val="00C621C7"/>
    <w:rsid w:val="00C62A9F"/>
    <w:rsid w:val="00C62F8D"/>
    <w:rsid w:val="00C63F3A"/>
    <w:rsid w:val="00C63FA6"/>
    <w:rsid w:val="00C645AB"/>
    <w:rsid w:val="00C645C1"/>
    <w:rsid w:val="00C646AB"/>
    <w:rsid w:val="00C648AE"/>
    <w:rsid w:val="00C649FA"/>
    <w:rsid w:val="00C64BFF"/>
    <w:rsid w:val="00C64C1C"/>
    <w:rsid w:val="00C64D46"/>
    <w:rsid w:val="00C64FFB"/>
    <w:rsid w:val="00C65320"/>
    <w:rsid w:val="00C6588B"/>
    <w:rsid w:val="00C65CE8"/>
    <w:rsid w:val="00C660D6"/>
    <w:rsid w:val="00C663CA"/>
    <w:rsid w:val="00C6686D"/>
    <w:rsid w:val="00C67078"/>
    <w:rsid w:val="00C67127"/>
    <w:rsid w:val="00C6715C"/>
    <w:rsid w:val="00C676AA"/>
    <w:rsid w:val="00C67CA1"/>
    <w:rsid w:val="00C7047D"/>
    <w:rsid w:val="00C704E9"/>
    <w:rsid w:val="00C7054D"/>
    <w:rsid w:val="00C713AC"/>
    <w:rsid w:val="00C71401"/>
    <w:rsid w:val="00C71A79"/>
    <w:rsid w:val="00C71CA2"/>
    <w:rsid w:val="00C71DD7"/>
    <w:rsid w:val="00C71E9F"/>
    <w:rsid w:val="00C71F3B"/>
    <w:rsid w:val="00C7276C"/>
    <w:rsid w:val="00C72A15"/>
    <w:rsid w:val="00C7361A"/>
    <w:rsid w:val="00C73C26"/>
    <w:rsid w:val="00C74177"/>
    <w:rsid w:val="00C742B1"/>
    <w:rsid w:val="00C743FC"/>
    <w:rsid w:val="00C7473A"/>
    <w:rsid w:val="00C750C5"/>
    <w:rsid w:val="00C759CE"/>
    <w:rsid w:val="00C76280"/>
    <w:rsid w:val="00C763C4"/>
    <w:rsid w:val="00C763C9"/>
    <w:rsid w:val="00C77AC7"/>
    <w:rsid w:val="00C80057"/>
    <w:rsid w:val="00C804EC"/>
    <w:rsid w:val="00C807FE"/>
    <w:rsid w:val="00C81CFC"/>
    <w:rsid w:val="00C82104"/>
    <w:rsid w:val="00C82232"/>
    <w:rsid w:val="00C82407"/>
    <w:rsid w:val="00C82422"/>
    <w:rsid w:val="00C8255B"/>
    <w:rsid w:val="00C82913"/>
    <w:rsid w:val="00C82A6D"/>
    <w:rsid w:val="00C82E5F"/>
    <w:rsid w:val="00C83F09"/>
    <w:rsid w:val="00C84716"/>
    <w:rsid w:val="00C84820"/>
    <w:rsid w:val="00C85851"/>
    <w:rsid w:val="00C868D4"/>
    <w:rsid w:val="00C86A38"/>
    <w:rsid w:val="00C900BC"/>
    <w:rsid w:val="00C90D79"/>
    <w:rsid w:val="00C9195C"/>
    <w:rsid w:val="00C91E14"/>
    <w:rsid w:val="00C91E2D"/>
    <w:rsid w:val="00C9217C"/>
    <w:rsid w:val="00C92312"/>
    <w:rsid w:val="00C92D0A"/>
    <w:rsid w:val="00C93138"/>
    <w:rsid w:val="00C93B61"/>
    <w:rsid w:val="00C94BBF"/>
    <w:rsid w:val="00C94DDE"/>
    <w:rsid w:val="00C972AD"/>
    <w:rsid w:val="00C972B1"/>
    <w:rsid w:val="00C97383"/>
    <w:rsid w:val="00C97861"/>
    <w:rsid w:val="00C9797C"/>
    <w:rsid w:val="00C97C92"/>
    <w:rsid w:val="00CA04DD"/>
    <w:rsid w:val="00CA0BD1"/>
    <w:rsid w:val="00CA1D9A"/>
    <w:rsid w:val="00CA1E0B"/>
    <w:rsid w:val="00CA22DB"/>
    <w:rsid w:val="00CA22E4"/>
    <w:rsid w:val="00CA2550"/>
    <w:rsid w:val="00CA2BA2"/>
    <w:rsid w:val="00CA2CCE"/>
    <w:rsid w:val="00CA2D84"/>
    <w:rsid w:val="00CA3263"/>
    <w:rsid w:val="00CA3482"/>
    <w:rsid w:val="00CA3E04"/>
    <w:rsid w:val="00CA3E97"/>
    <w:rsid w:val="00CA43FD"/>
    <w:rsid w:val="00CA4A5A"/>
    <w:rsid w:val="00CA4CA3"/>
    <w:rsid w:val="00CA5404"/>
    <w:rsid w:val="00CA583A"/>
    <w:rsid w:val="00CA5AFA"/>
    <w:rsid w:val="00CA5C6C"/>
    <w:rsid w:val="00CA6B0B"/>
    <w:rsid w:val="00CA7786"/>
    <w:rsid w:val="00CA77C7"/>
    <w:rsid w:val="00CA7BD5"/>
    <w:rsid w:val="00CA7EF8"/>
    <w:rsid w:val="00CB02A9"/>
    <w:rsid w:val="00CB170F"/>
    <w:rsid w:val="00CB1A3E"/>
    <w:rsid w:val="00CB214B"/>
    <w:rsid w:val="00CB2183"/>
    <w:rsid w:val="00CB2286"/>
    <w:rsid w:val="00CB2936"/>
    <w:rsid w:val="00CB32B4"/>
    <w:rsid w:val="00CB3D85"/>
    <w:rsid w:val="00CB3E8C"/>
    <w:rsid w:val="00CB4766"/>
    <w:rsid w:val="00CB4B86"/>
    <w:rsid w:val="00CB4BDA"/>
    <w:rsid w:val="00CB4C2F"/>
    <w:rsid w:val="00CB4DC7"/>
    <w:rsid w:val="00CB4EAF"/>
    <w:rsid w:val="00CB54D7"/>
    <w:rsid w:val="00CB55C3"/>
    <w:rsid w:val="00CB5F37"/>
    <w:rsid w:val="00CB645C"/>
    <w:rsid w:val="00CB74FB"/>
    <w:rsid w:val="00CB7629"/>
    <w:rsid w:val="00CB7D27"/>
    <w:rsid w:val="00CB7D41"/>
    <w:rsid w:val="00CB7FAD"/>
    <w:rsid w:val="00CC129A"/>
    <w:rsid w:val="00CC187B"/>
    <w:rsid w:val="00CC1BEE"/>
    <w:rsid w:val="00CC253F"/>
    <w:rsid w:val="00CC25CA"/>
    <w:rsid w:val="00CC3CBA"/>
    <w:rsid w:val="00CC3DFB"/>
    <w:rsid w:val="00CC4013"/>
    <w:rsid w:val="00CC4824"/>
    <w:rsid w:val="00CC4841"/>
    <w:rsid w:val="00CC489B"/>
    <w:rsid w:val="00CC508B"/>
    <w:rsid w:val="00CC57A6"/>
    <w:rsid w:val="00CC5D78"/>
    <w:rsid w:val="00CC60CF"/>
    <w:rsid w:val="00CC639D"/>
    <w:rsid w:val="00CC6657"/>
    <w:rsid w:val="00CC688F"/>
    <w:rsid w:val="00CC6DB2"/>
    <w:rsid w:val="00CC6E17"/>
    <w:rsid w:val="00CC71C5"/>
    <w:rsid w:val="00CD05BC"/>
    <w:rsid w:val="00CD09B5"/>
    <w:rsid w:val="00CD0B53"/>
    <w:rsid w:val="00CD12D0"/>
    <w:rsid w:val="00CD1677"/>
    <w:rsid w:val="00CD1FD6"/>
    <w:rsid w:val="00CD22DB"/>
    <w:rsid w:val="00CD2953"/>
    <w:rsid w:val="00CD2957"/>
    <w:rsid w:val="00CD2BCD"/>
    <w:rsid w:val="00CD3819"/>
    <w:rsid w:val="00CD3A4C"/>
    <w:rsid w:val="00CD41D8"/>
    <w:rsid w:val="00CD4BBC"/>
    <w:rsid w:val="00CD58D0"/>
    <w:rsid w:val="00CD5A22"/>
    <w:rsid w:val="00CD6FAC"/>
    <w:rsid w:val="00CD70C7"/>
    <w:rsid w:val="00CD7200"/>
    <w:rsid w:val="00CD7265"/>
    <w:rsid w:val="00CD792A"/>
    <w:rsid w:val="00CE0AF4"/>
    <w:rsid w:val="00CE0D37"/>
    <w:rsid w:val="00CE10E9"/>
    <w:rsid w:val="00CE10FF"/>
    <w:rsid w:val="00CE1773"/>
    <w:rsid w:val="00CE1977"/>
    <w:rsid w:val="00CE1BEF"/>
    <w:rsid w:val="00CE1C3F"/>
    <w:rsid w:val="00CE1CE8"/>
    <w:rsid w:val="00CE1EC7"/>
    <w:rsid w:val="00CE22CA"/>
    <w:rsid w:val="00CE258B"/>
    <w:rsid w:val="00CE25C7"/>
    <w:rsid w:val="00CE2910"/>
    <w:rsid w:val="00CE2968"/>
    <w:rsid w:val="00CE2C96"/>
    <w:rsid w:val="00CE2F40"/>
    <w:rsid w:val="00CE3713"/>
    <w:rsid w:val="00CE4545"/>
    <w:rsid w:val="00CE471A"/>
    <w:rsid w:val="00CE485A"/>
    <w:rsid w:val="00CE4B5C"/>
    <w:rsid w:val="00CE4FAA"/>
    <w:rsid w:val="00CE5393"/>
    <w:rsid w:val="00CE53A8"/>
    <w:rsid w:val="00CE5AD6"/>
    <w:rsid w:val="00CE5DB2"/>
    <w:rsid w:val="00CE6082"/>
    <w:rsid w:val="00CE6936"/>
    <w:rsid w:val="00CE6D4B"/>
    <w:rsid w:val="00CE6EEE"/>
    <w:rsid w:val="00CE6F3B"/>
    <w:rsid w:val="00CE7161"/>
    <w:rsid w:val="00CF0055"/>
    <w:rsid w:val="00CF0886"/>
    <w:rsid w:val="00CF0DC7"/>
    <w:rsid w:val="00CF1077"/>
    <w:rsid w:val="00CF1B30"/>
    <w:rsid w:val="00CF1D2C"/>
    <w:rsid w:val="00CF1DA6"/>
    <w:rsid w:val="00CF2946"/>
    <w:rsid w:val="00CF2F2F"/>
    <w:rsid w:val="00CF3062"/>
    <w:rsid w:val="00CF31C7"/>
    <w:rsid w:val="00CF335A"/>
    <w:rsid w:val="00CF36BE"/>
    <w:rsid w:val="00CF3977"/>
    <w:rsid w:val="00CF3BD0"/>
    <w:rsid w:val="00CF3F58"/>
    <w:rsid w:val="00CF4D5E"/>
    <w:rsid w:val="00CF4E8C"/>
    <w:rsid w:val="00CF4F0C"/>
    <w:rsid w:val="00CF525E"/>
    <w:rsid w:val="00CF56D2"/>
    <w:rsid w:val="00CF6000"/>
    <w:rsid w:val="00CF603F"/>
    <w:rsid w:val="00CF6055"/>
    <w:rsid w:val="00CF6219"/>
    <w:rsid w:val="00CF647A"/>
    <w:rsid w:val="00CF66CA"/>
    <w:rsid w:val="00CF6B38"/>
    <w:rsid w:val="00CF7188"/>
    <w:rsid w:val="00CF79F0"/>
    <w:rsid w:val="00D0007E"/>
    <w:rsid w:val="00D00125"/>
    <w:rsid w:val="00D002F7"/>
    <w:rsid w:val="00D00374"/>
    <w:rsid w:val="00D003F3"/>
    <w:rsid w:val="00D0046C"/>
    <w:rsid w:val="00D00B40"/>
    <w:rsid w:val="00D013F1"/>
    <w:rsid w:val="00D01A12"/>
    <w:rsid w:val="00D01AED"/>
    <w:rsid w:val="00D01E05"/>
    <w:rsid w:val="00D02193"/>
    <w:rsid w:val="00D026E1"/>
    <w:rsid w:val="00D02924"/>
    <w:rsid w:val="00D02FE5"/>
    <w:rsid w:val="00D030EF"/>
    <w:rsid w:val="00D0343F"/>
    <w:rsid w:val="00D03547"/>
    <w:rsid w:val="00D0364F"/>
    <w:rsid w:val="00D037D2"/>
    <w:rsid w:val="00D03E31"/>
    <w:rsid w:val="00D04CAB"/>
    <w:rsid w:val="00D04D79"/>
    <w:rsid w:val="00D05817"/>
    <w:rsid w:val="00D05AFF"/>
    <w:rsid w:val="00D05DE7"/>
    <w:rsid w:val="00D060A4"/>
    <w:rsid w:val="00D065ED"/>
    <w:rsid w:val="00D066D9"/>
    <w:rsid w:val="00D06774"/>
    <w:rsid w:val="00D06834"/>
    <w:rsid w:val="00D06894"/>
    <w:rsid w:val="00D06EC0"/>
    <w:rsid w:val="00D073FF"/>
    <w:rsid w:val="00D07789"/>
    <w:rsid w:val="00D07A08"/>
    <w:rsid w:val="00D10135"/>
    <w:rsid w:val="00D106FF"/>
    <w:rsid w:val="00D10E3D"/>
    <w:rsid w:val="00D10FEF"/>
    <w:rsid w:val="00D114E0"/>
    <w:rsid w:val="00D119B7"/>
    <w:rsid w:val="00D11D21"/>
    <w:rsid w:val="00D11D5F"/>
    <w:rsid w:val="00D13662"/>
    <w:rsid w:val="00D13855"/>
    <w:rsid w:val="00D138B5"/>
    <w:rsid w:val="00D141FA"/>
    <w:rsid w:val="00D146E9"/>
    <w:rsid w:val="00D15F1D"/>
    <w:rsid w:val="00D163A4"/>
    <w:rsid w:val="00D1651E"/>
    <w:rsid w:val="00D166B8"/>
    <w:rsid w:val="00D167DF"/>
    <w:rsid w:val="00D17079"/>
    <w:rsid w:val="00D1731E"/>
    <w:rsid w:val="00D17733"/>
    <w:rsid w:val="00D17980"/>
    <w:rsid w:val="00D20F08"/>
    <w:rsid w:val="00D211FC"/>
    <w:rsid w:val="00D215D0"/>
    <w:rsid w:val="00D22205"/>
    <w:rsid w:val="00D223C9"/>
    <w:rsid w:val="00D22446"/>
    <w:rsid w:val="00D225F0"/>
    <w:rsid w:val="00D22E6F"/>
    <w:rsid w:val="00D22EC3"/>
    <w:rsid w:val="00D2322F"/>
    <w:rsid w:val="00D23718"/>
    <w:rsid w:val="00D23FE2"/>
    <w:rsid w:val="00D240EF"/>
    <w:rsid w:val="00D24762"/>
    <w:rsid w:val="00D247F0"/>
    <w:rsid w:val="00D25845"/>
    <w:rsid w:val="00D25CD2"/>
    <w:rsid w:val="00D26723"/>
    <w:rsid w:val="00D2683F"/>
    <w:rsid w:val="00D26E15"/>
    <w:rsid w:val="00D26EAB"/>
    <w:rsid w:val="00D26F0F"/>
    <w:rsid w:val="00D27342"/>
    <w:rsid w:val="00D27502"/>
    <w:rsid w:val="00D27B34"/>
    <w:rsid w:val="00D3003E"/>
    <w:rsid w:val="00D303A0"/>
    <w:rsid w:val="00D308ED"/>
    <w:rsid w:val="00D30C3B"/>
    <w:rsid w:val="00D31247"/>
    <w:rsid w:val="00D31451"/>
    <w:rsid w:val="00D314ED"/>
    <w:rsid w:val="00D3177E"/>
    <w:rsid w:val="00D324F4"/>
    <w:rsid w:val="00D32714"/>
    <w:rsid w:val="00D32C82"/>
    <w:rsid w:val="00D331A6"/>
    <w:rsid w:val="00D331D7"/>
    <w:rsid w:val="00D333F7"/>
    <w:rsid w:val="00D33D9D"/>
    <w:rsid w:val="00D3494D"/>
    <w:rsid w:val="00D34A3D"/>
    <w:rsid w:val="00D3524E"/>
    <w:rsid w:val="00D359BE"/>
    <w:rsid w:val="00D35A25"/>
    <w:rsid w:val="00D35AAD"/>
    <w:rsid w:val="00D35CC1"/>
    <w:rsid w:val="00D35EB1"/>
    <w:rsid w:val="00D3660F"/>
    <w:rsid w:val="00D36D86"/>
    <w:rsid w:val="00D37E48"/>
    <w:rsid w:val="00D37FA1"/>
    <w:rsid w:val="00D400C1"/>
    <w:rsid w:val="00D4067B"/>
    <w:rsid w:val="00D40813"/>
    <w:rsid w:val="00D40A27"/>
    <w:rsid w:val="00D415C2"/>
    <w:rsid w:val="00D42578"/>
    <w:rsid w:val="00D42631"/>
    <w:rsid w:val="00D42646"/>
    <w:rsid w:val="00D428AA"/>
    <w:rsid w:val="00D428B0"/>
    <w:rsid w:val="00D42EBD"/>
    <w:rsid w:val="00D434F3"/>
    <w:rsid w:val="00D436FC"/>
    <w:rsid w:val="00D4380D"/>
    <w:rsid w:val="00D43887"/>
    <w:rsid w:val="00D43C6A"/>
    <w:rsid w:val="00D43D92"/>
    <w:rsid w:val="00D43F02"/>
    <w:rsid w:val="00D4417B"/>
    <w:rsid w:val="00D44803"/>
    <w:rsid w:val="00D44B5E"/>
    <w:rsid w:val="00D45DB9"/>
    <w:rsid w:val="00D45E10"/>
    <w:rsid w:val="00D4627B"/>
    <w:rsid w:val="00D463FD"/>
    <w:rsid w:val="00D46F4E"/>
    <w:rsid w:val="00D4786E"/>
    <w:rsid w:val="00D50050"/>
    <w:rsid w:val="00D500A3"/>
    <w:rsid w:val="00D500DA"/>
    <w:rsid w:val="00D50126"/>
    <w:rsid w:val="00D50387"/>
    <w:rsid w:val="00D50A34"/>
    <w:rsid w:val="00D50C05"/>
    <w:rsid w:val="00D50C69"/>
    <w:rsid w:val="00D515BD"/>
    <w:rsid w:val="00D51C1D"/>
    <w:rsid w:val="00D51E1B"/>
    <w:rsid w:val="00D52C76"/>
    <w:rsid w:val="00D52C7A"/>
    <w:rsid w:val="00D5362F"/>
    <w:rsid w:val="00D53EE3"/>
    <w:rsid w:val="00D53EFA"/>
    <w:rsid w:val="00D547EC"/>
    <w:rsid w:val="00D549AF"/>
    <w:rsid w:val="00D549D4"/>
    <w:rsid w:val="00D5502C"/>
    <w:rsid w:val="00D5596A"/>
    <w:rsid w:val="00D559BE"/>
    <w:rsid w:val="00D5764F"/>
    <w:rsid w:val="00D6007F"/>
    <w:rsid w:val="00D604BB"/>
    <w:rsid w:val="00D60F5C"/>
    <w:rsid w:val="00D616B8"/>
    <w:rsid w:val="00D61C6D"/>
    <w:rsid w:val="00D61D08"/>
    <w:rsid w:val="00D61E40"/>
    <w:rsid w:val="00D62464"/>
    <w:rsid w:val="00D62CE0"/>
    <w:rsid w:val="00D63268"/>
    <w:rsid w:val="00D645CB"/>
    <w:rsid w:val="00D64735"/>
    <w:rsid w:val="00D64C7E"/>
    <w:rsid w:val="00D65371"/>
    <w:rsid w:val="00D655C7"/>
    <w:rsid w:val="00D65BC2"/>
    <w:rsid w:val="00D65BFB"/>
    <w:rsid w:val="00D66EBF"/>
    <w:rsid w:val="00D66FE7"/>
    <w:rsid w:val="00D6723B"/>
    <w:rsid w:val="00D67436"/>
    <w:rsid w:val="00D67A27"/>
    <w:rsid w:val="00D703DF"/>
    <w:rsid w:val="00D7053B"/>
    <w:rsid w:val="00D70AB7"/>
    <w:rsid w:val="00D71038"/>
    <w:rsid w:val="00D714D2"/>
    <w:rsid w:val="00D7186A"/>
    <w:rsid w:val="00D718B5"/>
    <w:rsid w:val="00D72006"/>
    <w:rsid w:val="00D72D65"/>
    <w:rsid w:val="00D72F00"/>
    <w:rsid w:val="00D73798"/>
    <w:rsid w:val="00D737C7"/>
    <w:rsid w:val="00D73CA7"/>
    <w:rsid w:val="00D742E6"/>
    <w:rsid w:val="00D74446"/>
    <w:rsid w:val="00D748F2"/>
    <w:rsid w:val="00D74CBA"/>
    <w:rsid w:val="00D74F3F"/>
    <w:rsid w:val="00D767D8"/>
    <w:rsid w:val="00D76CAF"/>
    <w:rsid w:val="00D76D58"/>
    <w:rsid w:val="00D76E06"/>
    <w:rsid w:val="00D77091"/>
    <w:rsid w:val="00D77101"/>
    <w:rsid w:val="00D77359"/>
    <w:rsid w:val="00D77764"/>
    <w:rsid w:val="00D77852"/>
    <w:rsid w:val="00D77C03"/>
    <w:rsid w:val="00D8173A"/>
    <w:rsid w:val="00D81EFD"/>
    <w:rsid w:val="00D82101"/>
    <w:rsid w:val="00D82112"/>
    <w:rsid w:val="00D821D3"/>
    <w:rsid w:val="00D825C4"/>
    <w:rsid w:val="00D82806"/>
    <w:rsid w:val="00D831E7"/>
    <w:rsid w:val="00D843E7"/>
    <w:rsid w:val="00D84687"/>
    <w:rsid w:val="00D84F08"/>
    <w:rsid w:val="00D84FD7"/>
    <w:rsid w:val="00D85802"/>
    <w:rsid w:val="00D85C8C"/>
    <w:rsid w:val="00D85CE2"/>
    <w:rsid w:val="00D86329"/>
    <w:rsid w:val="00D86374"/>
    <w:rsid w:val="00D86F5F"/>
    <w:rsid w:val="00D87124"/>
    <w:rsid w:val="00D8748E"/>
    <w:rsid w:val="00D874F1"/>
    <w:rsid w:val="00D87608"/>
    <w:rsid w:val="00D87857"/>
    <w:rsid w:val="00D87C26"/>
    <w:rsid w:val="00D9015B"/>
    <w:rsid w:val="00D90E9F"/>
    <w:rsid w:val="00D9153F"/>
    <w:rsid w:val="00D91BA5"/>
    <w:rsid w:val="00D91C11"/>
    <w:rsid w:val="00D92121"/>
    <w:rsid w:val="00D92210"/>
    <w:rsid w:val="00D92B81"/>
    <w:rsid w:val="00D93340"/>
    <w:rsid w:val="00D93474"/>
    <w:rsid w:val="00D94A7C"/>
    <w:rsid w:val="00D956C5"/>
    <w:rsid w:val="00D95896"/>
    <w:rsid w:val="00D95E7C"/>
    <w:rsid w:val="00D960AE"/>
    <w:rsid w:val="00D96224"/>
    <w:rsid w:val="00D9674C"/>
    <w:rsid w:val="00D968AA"/>
    <w:rsid w:val="00D97313"/>
    <w:rsid w:val="00D9792A"/>
    <w:rsid w:val="00DA0805"/>
    <w:rsid w:val="00DA110A"/>
    <w:rsid w:val="00DA2B2F"/>
    <w:rsid w:val="00DA3296"/>
    <w:rsid w:val="00DA4FF2"/>
    <w:rsid w:val="00DA5127"/>
    <w:rsid w:val="00DA54E9"/>
    <w:rsid w:val="00DA59ED"/>
    <w:rsid w:val="00DA5C03"/>
    <w:rsid w:val="00DA62F3"/>
    <w:rsid w:val="00DA671D"/>
    <w:rsid w:val="00DA6867"/>
    <w:rsid w:val="00DA6C94"/>
    <w:rsid w:val="00DA6E50"/>
    <w:rsid w:val="00DA6EA0"/>
    <w:rsid w:val="00DA73A9"/>
    <w:rsid w:val="00DA7404"/>
    <w:rsid w:val="00DA74C3"/>
    <w:rsid w:val="00DA791E"/>
    <w:rsid w:val="00DB092E"/>
    <w:rsid w:val="00DB09EA"/>
    <w:rsid w:val="00DB11D5"/>
    <w:rsid w:val="00DB145C"/>
    <w:rsid w:val="00DB15D8"/>
    <w:rsid w:val="00DB1C31"/>
    <w:rsid w:val="00DB1C79"/>
    <w:rsid w:val="00DB24C8"/>
    <w:rsid w:val="00DB2983"/>
    <w:rsid w:val="00DB29AA"/>
    <w:rsid w:val="00DB2BA9"/>
    <w:rsid w:val="00DB2CEA"/>
    <w:rsid w:val="00DB2D57"/>
    <w:rsid w:val="00DB301D"/>
    <w:rsid w:val="00DB305E"/>
    <w:rsid w:val="00DB398C"/>
    <w:rsid w:val="00DB40EE"/>
    <w:rsid w:val="00DB485F"/>
    <w:rsid w:val="00DB5373"/>
    <w:rsid w:val="00DB5440"/>
    <w:rsid w:val="00DB5872"/>
    <w:rsid w:val="00DB5984"/>
    <w:rsid w:val="00DB5F59"/>
    <w:rsid w:val="00DB6075"/>
    <w:rsid w:val="00DB672F"/>
    <w:rsid w:val="00DB6891"/>
    <w:rsid w:val="00DB6CBB"/>
    <w:rsid w:val="00DB73BB"/>
    <w:rsid w:val="00DB75E0"/>
    <w:rsid w:val="00DB7776"/>
    <w:rsid w:val="00DC0185"/>
    <w:rsid w:val="00DC0819"/>
    <w:rsid w:val="00DC1183"/>
    <w:rsid w:val="00DC1257"/>
    <w:rsid w:val="00DC1349"/>
    <w:rsid w:val="00DC156B"/>
    <w:rsid w:val="00DC2557"/>
    <w:rsid w:val="00DC3DC0"/>
    <w:rsid w:val="00DC3E24"/>
    <w:rsid w:val="00DC417C"/>
    <w:rsid w:val="00DC4A5D"/>
    <w:rsid w:val="00DC4D79"/>
    <w:rsid w:val="00DC51F2"/>
    <w:rsid w:val="00DC538E"/>
    <w:rsid w:val="00DC54B8"/>
    <w:rsid w:val="00DC5519"/>
    <w:rsid w:val="00DC5B2B"/>
    <w:rsid w:val="00DC5CED"/>
    <w:rsid w:val="00DC5F7F"/>
    <w:rsid w:val="00DC67AE"/>
    <w:rsid w:val="00DC7372"/>
    <w:rsid w:val="00DC7FBE"/>
    <w:rsid w:val="00DD0223"/>
    <w:rsid w:val="00DD0490"/>
    <w:rsid w:val="00DD0A90"/>
    <w:rsid w:val="00DD0AD6"/>
    <w:rsid w:val="00DD0C01"/>
    <w:rsid w:val="00DD0DBD"/>
    <w:rsid w:val="00DD13B5"/>
    <w:rsid w:val="00DD1470"/>
    <w:rsid w:val="00DD1D19"/>
    <w:rsid w:val="00DD1D1E"/>
    <w:rsid w:val="00DD1E9C"/>
    <w:rsid w:val="00DD1FD9"/>
    <w:rsid w:val="00DD2CA0"/>
    <w:rsid w:val="00DD318D"/>
    <w:rsid w:val="00DD33BC"/>
    <w:rsid w:val="00DD3820"/>
    <w:rsid w:val="00DD53F4"/>
    <w:rsid w:val="00DD5F4E"/>
    <w:rsid w:val="00DD6173"/>
    <w:rsid w:val="00DD619A"/>
    <w:rsid w:val="00DD65DA"/>
    <w:rsid w:val="00DD6650"/>
    <w:rsid w:val="00DD67A4"/>
    <w:rsid w:val="00DD6938"/>
    <w:rsid w:val="00DD76A9"/>
    <w:rsid w:val="00DD7895"/>
    <w:rsid w:val="00DD7DF1"/>
    <w:rsid w:val="00DE02A9"/>
    <w:rsid w:val="00DE077F"/>
    <w:rsid w:val="00DE0ADA"/>
    <w:rsid w:val="00DE0B42"/>
    <w:rsid w:val="00DE0B8B"/>
    <w:rsid w:val="00DE0CF0"/>
    <w:rsid w:val="00DE0E47"/>
    <w:rsid w:val="00DE1286"/>
    <w:rsid w:val="00DE1459"/>
    <w:rsid w:val="00DE14DF"/>
    <w:rsid w:val="00DE15CE"/>
    <w:rsid w:val="00DE1D74"/>
    <w:rsid w:val="00DE1E56"/>
    <w:rsid w:val="00DE2BF5"/>
    <w:rsid w:val="00DE2DD0"/>
    <w:rsid w:val="00DE38EC"/>
    <w:rsid w:val="00DE3DA9"/>
    <w:rsid w:val="00DE4044"/>
    <w:rsid w:val="00DE44B0"/>
    <w:rsid w:val="00DE4718"/>
    <w:rsid w:val="00DE52D4"/>
    <w:rsid w:val="00DE55E9"/>
    <w:rsid w:val="00DE5CB5"/>
    <w:rsid w:val="00DE6778"/>
    <w:rsid w:val="00DE681C"/>
    <w:rsid w:val="00DE6913"/>
    <w:rsid w:val="00DE7419"/>
    <w:rsid w:val="00DE7A19"/>
    <w:rsid w:val="00DE7B0E"/>
    <w:rsid w:val="00DE7E96"/>
    <w:rsid w:val="00DF02A2"/>
    <w:rsid w:val="00DF0326"/>
    <w:rsid w:val="00DF0718"/>
    <w:rsid w:val="00DF09F9"/>
    <w:rsid w:val="00DF1F07"/>
    <w:rsid w:val="00DF2029"/>
    <w:rsid w:val="00DF2A21"/>
    <w:rsid w:val="00DF2A84"/>
    <w:rsid w:val="00DF2D8E"/>
    <w:rsid w:val="00DF2E12"/>
    <w:rsid w:val="00DF30F5"/>
    <w:rsid w:val="00DF34A5"/>
    <w:rsid w:val="00DF380B"/>
    <w:rsid w:val="00DF3E1F"/>
    <w:rsid w:val="00DF404B"/>
    <w:rsid w:val="00DF4193"/>
    <w:rsid w:val="00DF41BA"/>
    <w:rsid w:val="00DF514A"/>
    <w:rsid w:val="00DF5384"/>
    <w:rsid w:val="00DF5B4A"/>
    <w:rsid w:val="00DF5D82"/>
    <w:rsid w:val="00DF5E13"/>
    <w:rsid w:val="00DF6552"/>
    <w:rsid w:val="00DF6690"/>
    <w:rsid w:val="00DF66B7"/>
    <w:rsid w:val="00DF6804"/>
    <w:rsid w:val="00DF6852"/>
    <w:rsid w:val="00DF6D4A"/>
    <w:rsid w:val="00DF73CB"/>
    <w:rsid w:val="00DF7D94"/>
    <w:rsid w:val="00E00977"/>
    <w:rsid w:val="00E0176F"/>
    <w:rsid w:val="00E01802"/>
    <w:rsid w:val="00E02A74"/>
    <w:rsid w:val="00E0324E"/>
    <w:rsid w:val="00E0358D"/>
    <w:rsid w:val="00E036FB"/>
    <w:rsid w:val="00E03C6E"/>
    <w:rsid w:val="00E03F8C"/>
    <w:rsid w:val="00E04323"/>
    <w:rsid w:val="00E04B78"/>
    <w:rsid w:val="00E0655D"/>
    <w:rsid w:val="00E06D99"/>
    <w:rsid w:val="00E070A2"/>
    <w:rsid w:val="00E070A9"/>
    <w:rsid w:val="00E079C3"/>
    <w:rsid w:val="00E07A44"/>
    <w:rsid w:val="00E10945"/>
    <w:rsid w:val="00E10BD1"/>
    <w:rsid w:val="00E10CEA"/>
    <w:rsid w:val="00E10D00"/>
    <w:rsid w:val="00E110F7"/>
    <w:rsid w:val="00E1157B"/>
    <w:rsid w:val="00E1190C"/>
    <w:rsid w:val="00E11F4E"/>
    <w:rsid w:val="00E12393"/>
    <w:rsid w:val="00E133D0"/>
    <w:rsid w:val="00E1353E"/>
    <w:rsid w:val="00E135FE"/>
    <w:rsid w:val="00E13DB6"/>
    <w:rsid w:val="00E13FE2"/>
    <w:rsid w:val="00E14E53"/>
    <w:rsid w:val="00E14EC9"/>
    <w:rsid w:val="00E15691"/>
    <w:rsid w:val="00E15A94"/>
    <w:rsid w:val="00E1630C"/>
    <w:rsid w:val="00E16669"/>
    <w:rsid w:val="00E166E3"/>
    <w:rsid w:val="00E17037"/>
    <w:rsid w:val="00E176C9"/>
    <w:rsid w:val="00E17786"/>
    <w:rsid w:val="00E178F4"/>
    <w:rsid w:val="00E17A03"/>
    <w:rsid w:val="00E20594"/>
    <w:rsid w:val="00E2074D"/>
    <w:rsid w:val="00E215BC"/>
    <w:rsid w:val="00E215CB"/>
    <w:rsid w:val="00E217C3"/>
    <w:rsid w:val="00E2263F"/>
    <w:rsid w:val="00E22B71"/>
    <w:rsid w:val="00E2358F"/>
    <w:rsid w:val="00E23B05"/>
    <w:rsid w:val="00E23DC5"/>
    <w:rsid w:val="00E24159"/>
    <w:rsid w:val="00E2427A"/>
    <w:rsid w:val="00E24EA9"/>
    <w:rsid w:val="00E25732"/>
    <w:rsid w:val="00E25CB8"/>
    <w:rsid w:val="00E25D2C"/>
    <w:rsid w:val="00E260B1"/>
    <w:rsid w:val="00E2656A"/>
    <w:rsid w:val="00E26F9B"/>
    <w:rsid w:val="00E27D25"/>
    <w:rsid w:val="00E27E71"/>
    <w:rsid w:val="00E27F14"/>
    <w:rsid w:val="00E3037B"/>
    <w:rsid w:val="00E303E2"/>
    <w:rsid w:val="00E30EF2"/>
    <w:rsid w:val="00E31627"/>
    <w:rsid w:val="00E31E93"/>
    <w:rsid w:val="00E31EF5"/>
    <w:rsid w:val="00E325EE"/>
    <w:rsid w:val="00E32613"/>
    <w:rsid w:val="00E32959"/>
    <w:rsid w:val="00E3302B"/>
    <w:rsid w:val="00E33208"/>
    <w:rsid w:val="00E333D3"/>
    <w:rsid w:val="00E33589"/>
    <w:rsid w:val="00E346A6"/>
    <w:rsid w:val="00E3551F"/>
    <w:rsid w:val="00E357D4"/>
    <w:rsid w:val="00E35BDD"/>
    <w:rsid w:val="00E35D73"/>
    <w:rsid w:val="00E36636"/>
    <w:rsid w:val="00E375A0"/>
    <w:rsid w:val="00E379D9"/>
    <w:rsid w:val="00E37EEB"/>
    <w:rsid w:val="00E412D0"/>
    <w:rsid w:val="00E4179B"/>
    <w:rsid w:val="00E4198B"/>
    <w:rsid w:val="00E41C68"/>
    <w:rsid w:val="00E41F41"/>
    <w:rsid w:val="00E41F50"/>
    <w:rsid w:val="00E423C5"/>
    <w:rsid w:val="00E42BC1"/>
    <w:rsid w:val="00E42D45"/>
    <w:rsid w:val="00E42E54"/>
    <w:rsid w:val="00E43092"/>
    <w:rsid w:val="00E4349D"/>
    <w:rsid w:val="00E43576"/>
    <w:rsid w:val="00E4361C"/>
    <w:rsid w:val="00E45708"/>
    <w:rsid w:val="00E45709"/>
    <w:rsid w:val="00E46C39"/>
    <w:rsid w:val="00E46C8F"/>
    <w:rsid w:val="00E46CE2"/>
    <w:rsid w:val="00E471C2"/>
    <w:rsid w:val="00E47E93"/>
    <w:rsid w:val="00E47F6B"/>
    <w:rsid w:val="00E503CB"/>
    <w:rsid w:val="00E506DE"/>
    <w:rsid w:val="00E51136"/>
    <w:rsid w:val="00E511D4"/>
    <w:rsid w:val="00E51C1D"/>
    <w:rsid w:val="00E523FC"/>
    <w:rsid w:val="00E52B76"/>
    <w:rsid w:val="00E533FB"/>
    <w:rsid w:val="00E54007"/>
    <w:rsid w:val="00E542FF"/>
    <w:rsid w:val="00E54DF9"/>
    <w:rsid w:val="00E552A0"/>
    <w:rsid w:val="00E560D0"/>
    <w:rsid w:val="00E5615F"/>
    <w:rsid w:val="00E56322"/>
    <w:rsid w:val="00E5671E"/>
    <w:rsid w:val="00E56847"/>
    <w:rsid w:val="00E568C9"/>
    <w:rsid w:val="00E571E7"/>
    <w:rsid w:val="00E57655"/>
    <w:rsid w:val="00E57C65"/>
    <w:rsid w:val="00E57C84"/>
    <w:rsid w:val="00E600A5"/>
    <w:rsid w:val="00E6072A"/>
    <w:rsid w:val="00E60982"/>
    <w:rsid w:val="00E60CAA"/>
    <w:rsid w:val="00E61246"/>
    <w:rsid w:val="00E616B0"/>
    <w:rsid w:val="00E61BBC"/>
    <w:rsid w:val="00E62048"/>
    <w:rsid w:val="00E6230C"/>
    <w:rsid w:val="00E627E2"/>
    <w:rsid w:val="00E62C62"/>
    <w:rsid w:val="00E631A4"/>
    <w:rsid w:val="00E63CD2"/>
    <w:rsid w:val="00E63DA7"/>
    <w:rsid w:val="00E63E43"/>
    <w:rsid w:val="00E6441A"/>
    <w:rsid w:val="00E64581"/>
    <w:rsid w:val="00E64CE9"/>
    <w:rsid w:val="00E654C1"/>
    <w:rsid w:val="00E65D97"/>
    <w:rsid w:val="00E66858"/>
    <w:rsid w:val="00E66C59"/>
    <w:rsid w:val="00E67788"/>
    <w:rsid w:val="00E677BD"/>
    <w:rsid w:val="00E67AEF"/>
    <w:rsid w:val="00E7056D"/>
    <w:rsid w:val="00E7143D"/>
    <w:rsid w:val="00E71F0E"/>
    <w:rsid w:val="00E72805"/>
    <w:rsid w:val="00E72A5A"/>
    <w:rsid w:val="00E72AAB"/>
    <w:rsid w:val="00E72E33"/>
    <w:rsid w:val="00E731EE"/>
    <w:rsid w:val="00E73354"/>
    <w:rsid w:val="00E7378A"/>
    <w:rsid w:val="00E7402B"/>
    <w:rsid w:val="00E75A75"/>
    <w:rsid w:val="00E75C17"/>
    <w:rsid w:val="00E7722C"/>
    <w:rsid w:val="00E773AA"/>
    <w:rsid w:val="00E77686"/>
    <w:rsid w:val="00E77871"/>
    <w:rsid w:val="00E77D1D"/>
    <w:rsid w:val="00E77E8F"/>
    <w:rsid w:val="00E8013D"/>
    <w:rsid w:val="00E824D7"/>
    <w:rsid w:val="00E8268A"/>
    <w:rsid w:val="00E82952"/>
    <w:rsid w:val="00E82B49"/>
    <w:rsid w:val="00E8377D"/>
    <w:rsid w:val="00E83A57"/>
    <w:rsid w:val="00E83CC1"/>
    <w:rsid w:val="00E8425A"/>
    <w:rsid w:val="00E84B52"/>
    <w:rsid w:val="00E84E96"/>
    <w:rsid w:val="00E85391"/>
    <w:rsid w:val="00E853E7"/>
    <w:rsid w:val="00E85504"/>
    <w:rsid w:val="00E85BFE"/>
    <w:rsid w:val="00E86426"/>
    <w:rsid w:val="00E873D4"/>
    <w:rsid w:val="00E8741C"/>
    <w:rsid w:val="00E875B7"/>
    <w:rsid w:val="00E90240"/>
    <w:rsid w:val="00E90CA7"/>
    <w:rsid w:val="00E9242D"/>
    <w:rsid w:val="00E935D6"/>
    <w:rsid w:val="00E93A2F"/>
    <w:rsid w:val="00E93ABB"/>
    <w:rsid w:val="00E93D4F"/>
    <w:rsid w:val="00E947A0"/>
    <w:rsid w:val="00E951E8"/>
    <w:rsid w:val="00E952E4"/>
    <w:rsid w:val="00E95388"/>
    <w:rsid w:val="00E953C7"/>
    <w:rsid w:val="00E95AEA"/>
    <w:rsid w:val="00E962DA"/>
    <w:rsid w:val="00E96763"/>
    <w:rsid w:val="00E971E7"/>
    <w:rsid w:val="00EA06F2"/>
    <w:rsid w:val="00EA07FC"/>
    <w:rsid w:val="00EA1082"/>
    <w:rsid w:val="00EA2397"/>
    <w:rsid w:val="00EA240F"/>
    <w:rsid w:val="00EA25F7"/>
    <w:rsid w:val="00EA280E"/>
    <w:rsid w:val="00EA2BAE"/>
    <w:rsid w:val="00EA2BFF"/>
    <w:rsid w:val="00EA2D30"/>
    <w:rsid w:val="00EA2E9B"/>
    <w:rsid w:val="00EA31B0"/>
    <w:rsid w:val="00EA3BFA"/>
    <w:rsid w:val="00EA40E2"/>
    <w:rsid w:val="00EA42E5"/>
    <w:rsid w:val="00EA4642"/>
    <w:rsid w:val="00EA5125"/>
    <w:rsid w:val="00EA52BC"/>
    <w:rsid w:val="00EA5F82"/>
    <w:rsid w:val="00EA5FAD"/>
    <w:rsid w:val="00EA648A"/>
    <w:rsid w:val="00EA6947"/>
    <w:rsid w:val="00EA74BF"/>
    <w:rsid w:val="00EA7588"/>
    <w:rsid w:val="00EA7EBE"/>
    <w:rsid w:val="00EB006A"/>
    <w:rsid w:val="00EB0FFD"/>
    <w:rsid w:val="00EB1463"/>
    <w:rsid w:val="00EB18DB"/>
    <w:rsid w:val="00EB1C1A"/>
    <w:rsid w:val="00EB1DB2"/>
    <w:rsid w:val="00EB2475"/>
    <w:rsid w:val="00EB3553"/>
    <w:rsid w:val="00EB406E"/>
    <w:rsid w:val="00EB40AE"/>
    <w:rsid w:val="00EB4248"/>
    <w:rsid w:val="00EB43ED"/>
    <w:rsid w:val="00EB48C5"/>
    <w:rsid w:val="00EB4F57"/>
    <w:rsid w:val="00EB5255"/>
    <w:rsid w:val="00EB557F"/>
    <w:rsid w:val="00EB5C47"/>
    <w:rsid w:val="00EB67E9"/>
    <w:rsid w:val="00EB6A0B"/>
    <w:rsid w:val="00EB6A22"/>
    <w:rsid w:val="00EB70B8"/>
    <w:rsid w:val="00EB76F3"/>
    <w:rsid w:val="00EB7DB2"/>
    <w:rsid w:val="00EC038D"/>
    <w:rsid w:val="00EC0CCD"/>
    <w:rsid w:val="00EC0E55"/>
    <w:rsid w:val="00EC16BA"/>
    <w:rsid w:val="00EC19C5"/>
    <w:rsid w:val="00EC2B4E"/>
    <w:rsid w:val="00EC35A9"/>
    <w:rsid w:val="00EC5107"/>
    <w:rsid w:val="00EC51DD"/>
    <w:rsid w:val="00EC563D"/>
    <w:rsid w:val="00EC570D"/>
    <w:rsid w:val="00EC590C"/>
    <w:rsid w:val="00EC5E27"/>
    <w:rsid w:val="00EC6112"/>
    <w:rsid w:val="00EC6A54"/>
    <w:rsid w:val="00EC7760"/>
    <w:rsid w:val="00ED0639"/>
    <w:rsid w:val="00ED0B6D"/>
    <w:rsid w:val="00ED0BDE"/>
    <w:rsid w:val="00ED0DA6"/>
    <w:rsid w:val="00ED1AB1"/>
    <w:rsid w:val="00ED1F9C"/>
    <w:rsid w:val="00ED251F"/>
    <w:rsid w:val="00ED2BF1"/>
    <w:rsid w:val="00ED30CD"/>
    <w:rsid w:val="00ED3B95"/>
    <w:rsid w:val="00ED4203"/>
    <w:rsid w:val="00ED434B"/>
    <w:rsid w:val="00ED4AEF"/>
    <w:rsid w:val="00ED4BCD"/>
    <w:rsid w:val="00ED4D65"/>
    <w:rsid w:val="00ED51B8"/>
    <w:rsid w:val="00ED5365"/>
    <w:rsid w:val="00ED5F02"/>
    <w:rsid w:val="00ED6E3A"/>
    <w:rsid w:val="00ED6E64"/>
    <w:rsid w:val="00ED75E5"/>
    <w:rsid w:val="00ED7C07"/>
    <w:rsid w:val="00ED7D4B"/>
    <w:rsid w:val="00EE070E"/>
    <w:rsid w:val="00EE0893"/>
    <w:rsid w:val="00EE0937"/>
    <w:rsid w:val="00EE0C57"/>
    <w:rsid w:val="00EE15D3"/>
    <w:rsid w:val="00EE1EBA"/>
    <w:rsid w:val="00EE2153"/>
    <w:rsid w:val="00EE21A8"/>
    <w:rsid w:val="00EE2ADC"/>
    <w:rsid w:val="00EE2B45"/>
    <w:rsid w:val="00EE2EA0"/>
    <w:rsid w:val="00EE33D4"/>
    <w:rsid w:val="00EE362B"/>
    <w:rsid w:val="00EE369A"/>
    <w:rsid w:val="00EE3714"/>
    <w:rsid w:val="00EE3D4D"/>
    <w:rsid w:val="00EE3D80"/>
    <w:rsid w:val="00EE3E38"/>
    <w:rsid w:val="00EE3FFD"/>
    <w:rsid w:val="00EE43A7"/>
    <w:rsid w:val="00EE4587"/>
    <w:rsid w:val="00EE4AB6"/>
    <w:rsid w:val="00EE54F7"/>
    <w:rsid w:val="00EE5CB5"/>
    <w:rsid w:val="00EE5D3B"/>
    <w:rsid w:val="00EE7812"/>
    <w:rsid w:val="00EE78C4"/>
    <w:rsid w:val="00EF00E1"/>
    <w:rsid w:val="00EF0C68"/>
    <w:rsid w:val="00EF1006"/>
    <w:rsid w:val="00EF1D8B"/>
    <w:rsid w:val="00EF1E91"/>
    <w:rsid w:val="00EF22F4"/>
    <w:rsid w:val="00EF29D2"/>
    <w:rsid w:val="00EF2C8E"/>
    <w:rsid w:val="00EF379D"/>
    <w:rsid w:val="00EF3E63"/>
    <w:rsid w:val="00EF41C1"/>
    <w:rsid w:val="00EF4460"/>
    <w:rsid w:val="00EF46E6"/>
    <w:rsid w:val="00EF4755"/>
    <w:rsid w:val="00EF4771"/>
    <w:rsid w:val="00EF4856"/>
    <w:rsid w:val="00EF4A20"/>
    <w:rsid w:val="00EF5BA2"/>
    <w:rsid w:val="00EF5E55"/>
    <w:rsid w:val="00EF6035"/>
    <w:rsid w:val="00EF616F"/>
    <w:rsid w:val="00EF655B"/>
    <w:rsid w:val="00EF7135"/>
    <w:rsid w:val="00EF7891"/>
    <w:rsid w:val="00EF7969"/>
    <w:rsid w:val="00EF7ABA"/>
    <w:rsid w:val="00EF7D61"/>
    <w:rsid w:val="00EF7DEB"/>
    <w:rsid w:val="00F011E6"/>
    <w:rsid w:val="00F01314"/>
    <w:rsid w:val="00F01466"/>
    <w:rsid w:val="00F01A26"/>
    <w:rsid w:val="00F01A51"/>
    <w:rsid w:val="00F027DB"/>
    <w:rsid w:val="00F02F5E"/>
    <w:rsid w:val="00F03F05"/>
    <w:rsid w:val="00F0423B"/>
    <w:rsid w:val="00F043B0"/>
    <w:rsid w:val="00F044AB"/>
    <w:rsid w:val="00F04BF0"/>
    <w:rsid w:val="00F054A7"/>
    <w:rsid w:val="00F05597"/>
    <w:rsid w:val="00F05FE9"/>
    <w:rsid w:val="00F06783"/>
    <w:rsid w:val="00F0709A"/>
    <w:rsid w:val="00F072DC"/>
    <w:rsid w:val="00F074C1"/>
    <w:rsid w:val="00F07AFE"/>
    <w:rsid w:val="00F07EA7"/>
    <w:rsid w:val="00F10979"/>
    <w:rsid w:val="00F10A7B"/>
    <w:rsid w:val="00F10AF3"/>
    <w:rsid w:val="00F117B5"/>
    <w:rsid w:val="00F11889"/>
    <w:rsid w:val="00F11F78"/>
    <w:rsid w:val="00F129D3"/>
    <w:rsid w:val="00F129F3"/>
    <w:rsid w:val="00F12A5B"/>
    <w:rsid w:val="00F12BA1"/>
    <w:rsid w:val="00F13680"/>
    <w:rsid w:val="00F14199"/>
    <w:rsid w:val="00F14486"/>
    <w:rsid w:val="00F145C1"/>
    <w:rsid w:val="00F146C7"/>
    <w:rsid w:val="00F14A7A"/>
    <w:rsid w:val="00F14AFF"/>
    <w:rsid w:val="00F1525E"/>
    <w:rsid w:val="00F153AF"/>
    <w:rsid w:val="00F157C0"/>
    <w:rsid w:val="00F15DFF"/>
    <w:rsid w:val="00F15E96"/>
    <w:rsid w:val="00F16067"/>
    <w:rsid w:val="00F16328"/>
    <w:rsid w:val="00F17937"/>
    <w:rsid w:val="00F17C09"/>
    <w:rsid w:val="00F20175"/>
    <w:rsid w:val="00F20F54"/>
    <w:rsid w:val="00F22846"/>
    <w:rsid w:val="00F22985"/>
    <w:rsid w:val="00F23AA1"/>
    <w:rsid w:val="00F24332"/>
    <w:rsid w:val="00F2487C"/>
    <w:rsid w:val="00F256B1"/>
    <w:rsid w:val="00F25A46"/>
    <w:rsid w:val="00F25C07"/>
    <w:rsid w:val="00F25E62"/>
    <w:rsid w:val="00F25EA8"/>
    <w:rsid w:val="00F2600A"/>
    <w:rsid w:val="00F26119"/>
    <w:rsid w:val="00F26687"/>
    <w:rsid w:val="00F26DF9"/>
    <w:rsid w:val="00F26ECA"/>
    <w:rsid w:val="00F27ED8"/>
    <w:rsid w:val="00F27EDC"/>
    <w:rsid w:val="00F30B8D"/>
    <w:rsid w:val="00F30C54"/>
    <w:rsid w:val="00F30DC8"/>
    <w:rsid w:val="00F31BCB"/>
    <w:rsid w:val="00F31C4C"/>
    <w:rsid w:val="00F31F7B"/>
    <w:rsid w:val="00F32BEA"/>
    <w:rsid w:val="00F33821"/>
    <w:rsid w:val="00F3383E"/>
    <w:rsid w:val="00F34631"/>
    <w:rsid w:val="00F34842"/>
    <w:rsid w:val="00F349AF"/>
    <w:rsid w:val="00F34CE9"/>
    <w:rsid w:val="00F34E33"/>
    <w:rsid w:val="00F352C8"/>
    <w:rsid w:val="00F354C9"/>
    <w:rsid w:val="00F3565F"/>
    <w:rsid w:val="00F35759"/>
    <w:rsid w:val="00F3575C"/>
    <w:rsid w:val="00F35D1E"/>
    <w:rsid w:val="00F36669"/>
    <w:rsid w:val="00F36A57"/>
    <w:rsid w:val="00F36E92"/>
    <w:rsid w:val="00F36EBC"/>
    <w:rsid w:val="00F37A70"/>
    <w:rsid w:val="00F37BB8"/>
    <w:rsid w:val="00F37EAC"/>
    <w:rsid w:val="00F40F55"/>
    <w:rsid w:val="00F414C7"/>
    <w:rsid w:val="00F415FE"/>
    <w:rsid w:val="00F4186D"/>
    <w:rsid w:val="00F4276C"/>
    <w:rsid w:val="00F43A0F"/>
    <w:rsid w:val="00F44238"/>
    <w:rsid w:val="00F44585"/>
    <w:rsid w:val="00F44651"/>
    <w:rsid w:val="00F44918"/>
    <w:rsid w:val="00F44977"/>
    <w:rsid w:val="00F4538C"/>
    <w:rsid w:val="00F4545B"/>
    <w:rsid w:val="00F45513"/>
    <w:rsid w:val="00F45514"/>
    <w:rsid w:val="00F45AC3"/>
    <w:rsid w:val="00F45FDA"/>
    <w:rsid w:val="00F465A7"/>
    <w:rsid w:val="00F46E34"/>
    <w:rsid w:val="00F5017D"/>
    <w:rsid w:val="00F508AE"/>
    <w:rsid w:val="00F50B7C"/>
    <w:rsid w:val="00F512C3"/>
    <w:rsid w:val="00F5150E"/>
    <w:rsid w:val="00F515BB"/>
    <w:rsid w:val="00F515DA"/>
    <w:rsid w:val="00F51687"/>
    <w:rsid w:val="00F517D3"/>
    <w:rsid w:val="00F517E1"/>
    <w:rsid w:val="00F51DCE"/>
    <w:rsid w:val="00F51F0E"/>
    <w:rsid w:val="00F51FA6"/>
    <w:rsid w:val="00F524E2"/>
    <w:rsid w:val="00F524F7"/>
    <w:rsid w:val="00F52F43"/>
    <w:rsid w:val="00F53033"/>
    <w:rsid w:val="00F53180"/>
    <w:rsid w:val="00F53594"/>
    <w:rsid w:val="00F54107"/>
    <w:rsid w:val="00F54980"/>
    <w:rsid w:val="00F54C9F"/>
    <w:rsid w:val="00F54D7D"/>
    <w:rsid w:val="00F54E58"/>
    <w:rsid w:val="00F54EA2"/>
    <w:rsid w:val="00F550E6"/>
    <w:rsid w:val="00F5529D"/>
    <w:rsid w:val="00F55883"/>
    <w:rsid w:val="00F55F99"/>
    <w:rsid w:val="00F566CA"/>
    <w:rsid w:val="00F56717"/>
    <w:rsid w:val="00F5689C"/>
    <w:rsid w:val="00F568CA"/>
    <w:rsid w:val="00F56ABB"/>
    <w:rsid w:val="00F56CA1"/>
    <w:rsid w:val="00F570AF"/>
    <w:rsid w:val="00F57269"/>
    <w:rsid w:val="00F6000A"/>
    <w:rsid w:val="00F607E6"/>
    <w:rsid w:val="00F60CD1"/>
    <w:rsid w:val="00F60DC5"/>
    <w:rsid w:val="00F62924"/>
    <w:rsid w:val="00F62F38"/>
    <w:rsid w:val="00F63ABA"/>
    <w:rsid w:val="00F63D11"/>
    <w:rsid w:val="00F645FC"/>
    <w:rsid w:val="00F64947"/>
    <w:rsid w:val="00F64E16"/>
    <w:rsid w:val="00F65166"/>
    <w:rsid w:val="00F65EA2"/>
    <w:rsid w:val="00F65FA0"/>
    <w:rsid w:val="00F67E93"/>
    <w:rsid w:val="00F70586"/>
    <w:rsid w:val="00F7099E"/>
    <w:rsid w:val="00F71573"/>
    <w:rsid w:val="00F71F39"/>
    <w:rsid w:val="00F72D1F"/>
    <w:rsid w:val="00F739C2"/>
    <w:rsid w:val="00F73E0F"/>
    <w:rsid w:val="00F73F5F"/>
    <w:rsid w:val="00F74345"/>
    <w:rsid w:val="00F7553B"/>
    <w:rsid w:val="00F75C61"/>
    <w:rsid w:val="00F75CB8"/>
    <w:rsid w:val="00F768F5"/>
    <w:rsid w:val="00F80824"/>
    <w:rsid w:val="00F80A0A"/>
    <w:rsid w:val="00F812BD"/>
    <w:rsid w:val="00F82206"/>
    <w:rsid w:val="00F82593"/>
    <w:rsid w:val="00F8277E"/>
    <w:rsid w:val="00F82B19"/>
    <w:rsid w:val="00F82E95"/>
    <w:rsid w:val="00F83124"/>
    <w:rsid w:val="00F83655"/>
    <w:rsid w:val="00F83D55"/>
    <w:rsid w:val="00F83EDA"/>
    <w:rsid w:val="00F83F90"/>
    <w:rsid w:val="00F8429F"/>
    <w:rsid w:val="00F846AA"/>
    <w:rsid w:val="00F851C3"/>
    <w:rsid w:val="00F8544B"/>
    <w:rsid w:val="00F8586E"/>
    <w:rsid w:val="00F862A7"/>
    <w:rsid w:val="00F863CE"/>
    <w:rsid w:val="00F86A20"/>
    <w:rsid w:val="00F86AC1"/>
    <w:rsid w:val="00F9001D"/>
    <w:rsid w:val="00F90160"/>
    <w:rsid w:val="00F903A4"/>
    <w:rsid w:val="00F904F8"/>
    <w:rsid w:val="00F90E54"/>
    <w:rsid w:val="00F90FCF"/>
    <w:rsid w:val="00F91047"/>
    <w:rsid w:val="00F913BA"/>
    <w:rsid w:val="00F9212D"/>
    <w:rsid w:val="00F92358"/>
    <w:rsid w:val="00F9244E"/>
    <w:rsid w:val="00F92DEC"/>
    <w:rsid w:val="00F933D5"/>
    <w:rsid w:val="00F93942"/>
    <w:rsid w:val="00F94213"/>
    <w:rsid w:val="00F945DE"/>
    <w:rsid w:val="00F94C19"/>
    <w:rsid w:val="00F95076"/>
    <w:rsid w:val="00F9596F"/>
    <w:rsid w:val="00F95BEE"/>
    <w:rsid w:val="00F95C97"/>
    <w:rsid w:val="00F961F1"/>
    <w:rsid w:val="00F96252"/>
    <w:rsid w:val="00F96560"/>
    <w:rsid w:val="00F965B2"/>
    <w:rsid w:val="00F965DA"/>
    <w:rsid w:val="00F96922"/>
    <w:rsid w:val="00F96EF4"/>
    <w:rsid w:val="00F96EF5"/>
    <w:rsid w:val="00F9725B"/>
    <w:rsid w:val="00F97505"/>
    <w:rsid w:val="00F979E9"/>
    <w:rsid w:val="00FA0179"/>
    <w:rsid w:val="00FA0321"/>
    <w:rsid w:val="00FA04E5"/>
    <w:rsid w:val="00FA1798"/>
    <w:rsid w:val="00FA1DD7"/>
    <w:rsid w:val="00FA3647"/>
    <w:rsid w:val="00FA387B"/>
    <w:rsid w:val="00FA3E01"/>
    <w:rsid w:val="00FA3E2D"/>
    <w:rsid w:val="00FA406A"/>
    <w:rsid w:val="00FA42DA"/>
    <w:rsid w:val="00FA4386"/>
    <w:rsid w:val="00FA45E1"/>
    <w:rsid w:val="00FA511C"/>
    <w:rsid w:val="00FA5FFA"/>
    <w:rsid w:val="00FA6410"/>
    <w:rsid w:val="00FA683E"/>
    <w:rsid w:val="00FA6BF3"/>
    <w:rsid w:val="00FA6CAE"/>
    <w:rsid w:val="00FA7914"/>
    <w:rsid w:val="00FA7C3B"/>
    <w:rsid w:val="00FA7D96"/>
    <w:rsid w:val="00FB050D"/>
    <w:rsid w:val="00FB0C66"/>
    <w:rsid w:val="00FB0EF9"/>
    <w:rsid w:val="00FB1151"/>
    <w:rsid w:val="00FB1375"/>
    <w:rsid w:val="00FB15E9"/>
    <w:rsid w:val="00FB18BA"/>
    <w:rsid w:val="00FB19B8"/>
    <w:rsid w:val="00FB1C89"/>
    <w:rsid w:val="00FB26AD"/>
    <w:rsid w:val="00FB2C8D"/>
    <w:rsid w:val="00FB2D76"/>
    <w:rsid w:val="00FB328B"/>
    <w:rsid w:val="00FB32F6"/>
    <w:rsid w:val="00FB381E"/>
    <w:rsid w:val="00FB3E9F"/>
    <w:rsid w:val="00FB445F"/>
    <w:rsid w:val="00FB4FB1"/>
    <w:rsid w:val="00FB4FE2"/>
    <w:rsid w:val="00FB503A"/>
    <w:rsid w:val="00FB516C"/>
    <w:rsid w:val="00FB53F4"/>
    <w:rsid w:val="00FB565A"/>
    <w:rsid w:val="00FB56A6"/>
    <w:rsid w:val="00FB5DC8"/>
    <w:rsid w:val="00FB5E3C"/>
    <w:rsid w:val="00FB69D0"/>
    <w:rsid w:val="00FB6BC1"/>
    <w:rsid w:val="00FB72D3"/>
    <w:rsid w:val="00FB731A"/>
    <w:rsid w:val="00FB7402"/>
    <w:rsid w:val="00FB7888"/>
    <w:rsid w:val="00FC04EA"/>
    <w:rsid w:val="00FC0A04"/>
    <w:rsid w:val="00FC12D6"/>
    <w:rsid w:val="00FC1CBE"/>
    <w:rsid w:val="00FC2133"/>
    <w:rsid w:val="00FC24D0"/>
    <w:rsid w:val="00FC2B42"/>
    <w:rsid w:val="00FC2C27"/>
    <w:rsid w:val="00FC2E17"/>
    <w:rsid w:val="00FC3134"/>
    <w:rsid w:val="00FC33A9"/>
    <w:rsid w:val="00FC35B0"/>
    <w:rsid w:val="00FC3CB4"/>
    <w:rsid w:val="00FC4682"/>
    <w:rsid w:val="00FC48CC"/>
    <w:rsid w:val="00FC4B0C"/>
    <w:rsid w:val="00FC4B68"/>
    <w:rsid w:val="00FC5018"/>
    <w:rsid w:val="00FC55EB"/>
    <w:rsid w:val="00FC60BC"/>
    <w:rsid w:val="00FC60EE"/>
    <w:rsid w:val="00FC691B"/>
    <w:rsid w:val="00FC6CC0"/>
    <w:rsid w:val="00FC6E5C"/>
    <w:rsid w:val="00FC7D3D"/>
    <w:rsid w:val="00FC7DAA"/>
    <w:rsid w:val="00FD0236"/>
    <w:rsid w:val="00FD0415"/>
    <w:rsid w:val="00FD0494"/>
    <w:rsid w:val="00FD130F"/>
    <w:rsid w:val="00FD18F4"/>
    <w:rsid w:val="00FD1B2B"/>
    <w:rsid w:val="00FD1B3B"/>
    <w:rsid w:val="00FD1BCD"/>
    <w:rsid w:val="00FD1D5D"/>
    <w:rsid w:val="00FD2288"/>
    <w:rsid w:val="00FD2D20"/>
    <w:rsid w:val="00FD339B"/>
    <w:rsid w:val="00FD3584"/>
    <w:rsid w:val="00FD38D5"/>
    <w:rsid w:val="00FD3DBE"/>
    <w:rsid w:val="00FD403C"/>
    <w:rsid w:val="00FD40F1"/>
    <w:rsid w:val="00FD42C1"/>
    <w:rsid w:val="00FD4464"/>
    <w:rsid w:val="00FD4A38"/>
    <w:rsid w:val="00FD4F8D"/>
    <w:rsid w:val="00FD5090"/>
    <w:rsid w:val="00FD5482"/>
    <w:rsid w:val="00FD54DB"/>
    <w:rsid w:val="00FD5697"/>
    <w:rsid w:val="00FD619F"/>
    <w:rsid w:val="00FD64D9"/>
    <w:rsid w:val="00FD6B09"/>
    <w:rsid w:val="00FD6BFD"/>
    <w:rsid w:val="00FD6F6B"/>
    <w:rsid w:val="00FD6FBD"/>
    <w:rsid w:val="00FD7000"/>
    <w:rsid w:val="00FD7289"/>
    <w:rsid w:val="00FD72E0"/>
    <w:rsid w:val="00FD7462"/>
    <w:rsid w:val="00FD7A72"/>
    <w:rsid w:val="00FD7D0C"/>
    <w:rsid w:val="00FE0369"/>
    <w:rsid w:val="00FE06AB"/>
    <w:rsid w:val="00FE0917"/>
    <w:rsid w:val="00FE0B4F"/>
    <w:rsid w:val="00FE0CB2"/>
    <w:rsid w:val="00FE176A"/>
    <w:rsid w:val="00FE1DB8"/>
    <w:rsid w:val="00FE1E8E"/>
    <w:rsid w:val="00FE20EB"/>
    <w:rsid w:val="00FE259A"/>
    <w:rsid w:val="00FE259C"/>
    <w:rsid w:val="00FE25D6"/>
    <w:rsid w:val="00FE2771"/>
    <w:rsid w:val="00FE29AC"/>
    <w:rsid w:val="00FE3704"/>
    <w:rsid w:val="00FE3CCE"/>
    <w:rsid w:val="00FE3E4B"/>
    <w:rsid w:val="00FE41A5"/>
    <w:rsid w:val="00FE4832"/>
    <w:rsid w:val="00FE4BB9"/>
    <w:rsid w:val="00FE5047"/>
    <w:rsid w:val="00FE569B"/>
    <w:rsid w:val="00FE5E68"/>
    <w:rsid w:val="00FE785C"/>
    <w:rsid w:val="00FF0215"/>
    <w:rsid w:val="00FF0A32"/>
    <w:rsid w:val="00FF0D79"/>
    <w:rsid w:val="00FF145F"/>
    <w:rsid w:val="00FF1682"/>
    <w:rsid w:val="00FF170B"/>
    <w:rsid w:val="00FF1781"/>
    <w:rsid w:val="00FF1C88"/>
    <w:rsid w:val="00FF1C8E"/>
    <w:rsid w:val="00FF2314"/>
    <w:rsid w:val="00FF2A8E"/>
    <w:rsid w:val="00FF2D2B"/>
    <w:rsid w:val="00FF3129"/>
    <w:rsid w:val="00FF33D1"/>
    <w:rsid w:val="00FF3A2B"/>
    <w:rsid w:val="00FF3EE7"/>
    <w:rsid w:val="00FF4716"/>
    <w:rsid w:val="00FF4EF8"/>
    <w:rsid w:val="00FF55C1"/>
    <w:rsid w:val="00FF55EB"/>
    <w:rsid w:val="00FF5624"/>
    <w:rsid w:val="00FF58FE"/>
    <w:rsid w:val="00FF5B49"/>
    <w:rsid w:val="00FF5B79"/>
    <w:rsid w:val="00FF61BF"/>
    <w:rsid w:val="00FF68F2"/>
    <w:rsid w:val="00FF6ECF"/>
    <w:rsid w:val="00FF71E0"/>
    <w:rsid w:val="00FF77B6"/>
    <w:rsid w:val="00FF7A30"/>
    <w:rsid w:val="010A6538"/>
    <w:rsid w:val="01290F7E"/>
    <w:rsid w:val="015D1E09"/>
    <w:rsid w:val="01647F99"/>
    <w:rsid w:val="01CB643F"/>
    <w:rsid w:val="01D37272"/>
    <w:rsid w:val="01F80A87"/>
    <w:rsid w:val="02021905"/>
    <w:rsid w:val="02293067"/>
    <w:rsid w:val="02535CBD"/>
    <w:rsid w:val="02697903"/>
    <w:rsid w:val="02753F7E"/>
    <w:rsid w:val="02DC5CB3"/>
    <w:rsid w:val="02F96569"/>
    <w:rsid w:val="03253AFD"/>
    <w:rsid w:val="032633D2"/>
    <w:rsid w:val="032A1114"/>
    <w:rsid w:val="03374714"/>
    <w:rsid w:val="03374D27"/>
    <w:rsid w:val="034A3564"/>
    <w:rsid w:val="03551F3B"/>
    <w:rsid w:val="036F55F6"/>
    <w:rsid w:val="03A5079A"/>
    <w:rsid w:val="03B409DD"/>
    <w:rsid w:val="03D251BA"/>
    <w:rsid w:val="03EA43FF"/>
    <w:rsid w:val="03EA7B21"/>
    <w:rsid w:val="03EB39E8"/>
    <w:rsid w:val="04180F6C"/>
    <w:rsid w:val="0475016D"/>
    <w:rsid w:val="048B5043"/>
    <w:rsid w:val="049802FF"/>
    <w:rsid w:val="04A70542"/>
    <w:rsid w:val="04AB0032"/>
    <w:rsid w:val="04AC7907"/>
    <w:rsid w:val="04D030FA"/>
    <w:rsid w:val="04D56E5D"/>
    <w:rsid w:val="04D87E49"/>
    <w:rsid w:val="04FF212C"/>
    <w:rsid w:val="052A53FB"/>
    <w:rsid w:val="05551D4C"/>
    <w:rsid w:val="05575AC4"/>
    <w:rsid w:val="0566636B"/>
    <w:rsid w:val="05962A91"/>
    <w:rsid w:val="05AD7DDA"/>
    <w:rsid w:val="05BC1DCB"/>
    <w:rsid w:val="05DA7006"/>
    <w:rsid w:val="05F83EAE"/>
    <w:rsid w:val="05FB94E0"/>
    <w:rsid w:val="06035C4C"/>
    <w:rsid w:val="060D7FC3"/>
    <w:rsid w:val="063E7D85"/>
    <w:rsid w:val="064424ED"/>
    <w:rsid w:val="064918B1"/>
    <w:rsid w:val="065B15E4"/>
    <w:rsid w:val="069B5E85"/>
    <w:rsid w:val="06AB256C"/>
    <w:rsid w:val="06B86A37"/>
    <w:rsid w:val="06C75D5D"/>
    <w:rsid w:val="06D7510F"/>
    <w:rsid w:val="06D922CA"/>
    <w:rsid w:val="06E15F8D"/>
    <w:rsid w:val="06FC2DC7"/>
    <w:rsid w:val="06FD269B"/>
    <w:rsid w:val="070B300A"/>
    <w:rsid w:val="07247C28"/>
    <w:rsid w:val="07261BF2"/>
    <w:rsid w:val="07293586"/>
    <w:rsid w:val="07295285"/>
    <w:rsid w:val="07397B77"/>
    <w:rsid w:val="075952DC"/>
    <w:rsid w:val="07636392"/>
    <w:rsid w:val="076A755F"/>
    <w:rsid w:val="076E3F95"/>
    <w:rsid w:val="07770C56"/>
    <w:rsid w:val="07A174CB"/>
    <w:rsid w:val="07A80859"/>
    <w:rsid w:val="07F27D26"/>
    <w:rsid w:val="080D690E"/>
    <w:rsid w:val="08110BBF"/>
    <w:rsid w:val="08253C58"/>
    <w:rsid w:val="083B16CD"/>
    <w:rsid w:val="08430582"/>
    <w:rsid w:val="084F6F27"/>
    <w:rsid w:val="08612B7A"/>
    <w:rsid w:val="0865499C"/>
    <w:rsid w:val="086F1377"/>
    <w:rsid w:val="08966904"/>
    <w:rsid w:val="089A4646"/>
    <w:rsid w:val="08C83AB0"/>
    <w:rsid w:val="08FD4BD5"/>
    <w:rsid w:val="09120680"/>
    <w:rsid w:val="091837BC"/>
    <w:rsid w:val="092217DD"/>
    <w:rsid w:val="0923288D"/>
    <w:rsid w:val="09293C1C"/>
    <w:rsid w:val="092A6F97"/>
    <w:rsid w:val="092B1742"/>
    <w:rsid w:val="093A7294"/>
    <w:rsid w:val="0963712E"/>
    <w:rsid w:val="09727B2F"/>
    <w:rsid w:val="09B23C11"/>
    <w:rsid w:val="09B83AB4"/>
    <w:rsid w:val="09F02B11"/>
    <w:rsid w:val="0A104E7E"/>
    <w:rsid w:val="0A1E12A6"/>
    <w:rsid w:val="0A2368BD"/>
    <w:rsid w:val="0A263993"/>
    <w:rsid w:val="0A2D3AC2"/>
    <w:rsid w:val="0A36039E"/>
    <w:rsid w:val="0A3B3C06"/>
    <w:rsid w:val="0A40121D"/>
    <w:rsid w:val="0A474359"/>
    <w:rsid w:val="0A5D3B7D"/>
    <w:rsid w:val="0A786C09"/>
    <w:rsid w:val="0A8455AD"/>
    <w:rsid w:val="0A8C06AC"/>
    <w:rsid w:val="0AA755DF"/>
    <w:rsid w:val="0ABB4D47"/>
    <w:rsid w:val="0AD61B81"/>
    <w:rsid w:val="0AE47DFA"/>
    <w:rsid w:val="0B016BFE"/>
    <w:rsid w:val="0B0B182B"/>
    <w:rsid w:val="0B120D44"/>
    <w:rsid w:val="0B41349E"/>
    <w:rsid w:val="0B446AEB"/>
    <w:rsid w:val="0B640F3B"/>
    <w:rsid w:val="0B6E4AF7"/>
    <w:rsid w:val="0B957346"/>
    <w:rsid w:val="0B974E6D"/>
    <w:rsid w:val="0BA23811"/>
    <w:rsid w:val="0BA90F35"/>
    <w:rsid w:val="0BB2614A"/>
    <w:rsid w:val="0BD27BF6"/>
    <w:rsid w:val="0BDE6F3F"/>
    <w:rsid w:val="0C0F0EA7"/>
    <w:rsid w:val="0C1110C3"/>
    <w:rsid w:val="0C216291"/>
    <w:rsid w:val="0C331AD7"/>
    <w:rsid w:val="0C3B3C7D"/>
    <w:rsid w:val="0C46590B"/>
    <w:rsid w:val="0C4D7C21"/>
    <w:rsid w:val="0C6236CC"/>
    <w:rsid w:val="0C7B653C"/>
    <w:rsid w:val="0C85560D"/>
    <w:rsid w:val="0C96239D"/>
    <w:rsid w:val="0CAB2EAE"/>
    <w:rsid w:val="0CBF0B1F"/>
    <w:rsid w:val="0CE560AB"/>
    <w:rsid w:val="0CF54541"/>
    <w:rsid w:val="0D0504FC"/>
    <w:rsid w:val="0D093B48"/>
    <w:rsid w:val="0D26294C"/>
    <w:rsid w:val="0D3C666E"/>
    <w:rsid w:val="0D444B80"/>
    <w:rsid w:val="0D4C1A7D"/>
    <w:rsid w:val="0D522AD7"/>
    <w:rsid w:val="0D621C7D"/>
    <w:rsid w:val="0D735465"/>
    <w:rsid w:val="0D8F76E7"/>
    <w:rsid w:val="0DA73361"/>
    <w:rsid w:val="0DB31D06"/>
    <w:rsid w:val="0DBF68FD"/>
    <w:rsid w:val="0DC43F13"/>
    <w:rsid w:val="0DC9150C"/>
    <w:rsid w:val="0DD028B8"/>
    <w:rsid w:val="0DE20EE0"/>
    <w:rsid w:val="0DEA202A"/>
    <w:rsid w:val="0DEB14A0"/>
    <w:rsid w:val="0DFF293E"/>
    <w:rsid w:val="0DFF4F4B"/>
    <w:rsid w:val="0E121122"/>
    <w:rsid w:val="0E1F739B"/>
    <w:rsid w:val="0E235932"/>
    <w:rsid w:val="0E250E55"/>
    <w:rsid w:val="0E2A1FC8"/>
    <w:rsid w:val="0E2B381A"/>
    <w:rsid w:val="0E601E8E"/>
    <w:rsid w:val="0E73034D"/>
    <w:rsid w:val="0E9733D5"/>
    <w:rsid w:val="0E976355"/>
    <w:rsid w:val="0EA01786"/>
    <w:rsid w:val="0EA325B7"/>
    <w:rsid w:val="0ED40186"/>
    <w:rsid w:val="0F13775A"/>
    <w:rsid w:val="0F19203C"/>
    <w:rsid w:val="0F334EAC"/>
    <w:rsid w:val="0F3550C8"/>
    <w:rsid w:val="0F3B1FB3"/>
    <w:rsid w:val="0F420203"/>
    <w:rsid w:val="0F452E31"/>
    <w:rsid w:val="0F566DED"/>
    <w:rsid w:val="0F5F45FE"/>
    <w:rsid w:val="0F6B6D3C"/>
    <w:rsid w:val="0F6D350E"/>
    <w:rsid w:val="0F704352"/>
    <w:rsid w:val="0F8E6586"/>
    <w:rsid w:val="0F9A112B"/>
    <w:rsid w:val="0F9F69E6"/>
    <w:rsid w:val="0FB07F5D"/>
    <w:rsid w:val="0FB3423F"/>
    <w:rsid w:val="0FC71A98"/>
    <w:rsid w:val="0FD3043D"/>
    <w:rsid w:val="0FD52407"/>
    <w:rsid w:val="100D394F"/>
    <w:rsid w:val="10240C99"/>
    <w:rsid w:val="104A4BA3"/>
    <w:rsid w:val="1066305F"/>
    <w:rsid w:val="106D2F64"/>
    <w:rsid w:val="106D32AB"/>
    <w:rsid w:val="10703EDE"/>
    <w:rsid w:val="107C0AD5"/>
    <w:rsid w:val="108D078D"/>
    <w:rsid w:val="10AF0EAA"/>
    <w:rsid w:val="10B63710"/>
    <w:rsid w:val="10BB784F"/>
    <w:rsid w:val="10D34B99"/>
    <w:rsid w:val="10D601E5"/>
    <w:rsid w:val="10EC3076"/>
    <w:rsid w:val="10F10820"/>
    <w:rsid w:val="10F44B0F"/>
    <w:rsid w:val="111452CE"/>
    <w:rsid w:val="111C2F7A"/>
    <w:rsid w:val="11665CA1"/>
    <w:rsid w:val="117A3266"/>
    <w:rsid w:val="117C585D"/>
    <w:rsid w:val="119C142F"/>
    <w:rsid w:val="11AD70EF"/>
    <w:rsid w:val="11BF511D"/>
    <w:rsid w:val="11D16BFE"/>
    <w:rsid w:val="11D32976"/>
    <w:rsid w:val="123F1DBA"/>
    <w:rsid w:val="125414B9"/>
    <w:rsid w:val="127E0B34"/>
    <w:rsid w:val="12941E44"/>
    <w:rsid w:val="12B26A30"/>
    <w:rsid w:val="12C95897"/>
    <w:rsid w:val="12F362C6"/>
    <w:rsid w:val="12F53EEF"/>
    <w:rsid w:val="13103BAF"/>
    <w:rsid w:val="13106135"/>
    <w:rsid w:val="131C20FB"/>
    <w:rsid w:val="13513345"/>
    <w:rsid w:val="1356385F"/>
    <w:rsid w:val="13596EAB"/>
    <w:rsid w:val="136C7C17"/>
    <w:rsid w:val="13951726"/>
    <w:rsid w:val="13963C5C"/>
    <w:rsid w:val="139879D4"/>
    <w:rsid w:val="13A520F1"/>
    <w:rsid w:val="13B62550"/>
    <w:rsid w:val="13CF690E"/>
    <w:rsid w:val="13DC1FB6"/>
    <w:rsid w:val="13E64BE3"/>
    <w:rsid w:val="13EB044B"/>
    <w:rsid w:val="141352AC"/>
    <w:rsid w:val="14157276"/>
    <w:rsid w:val="14302302"/>
    <w:rsid w:val="14396509"/>
    <w:rsid w:val="14447B5C"/>
    <w:rsid w:val="144D0E19"/>
    <w:rsid w:val="145002B2"/>
    <w:rsid w:val="145F0CC6"/>
    <w:rsid w:val="14733F9D"/>
    <w:rsid w:val="14740441"/>
    <w:rsid w:val="147D5693"/>
    <w:rsid w:val="149C5851"/>
    <w:rsid w:val="149F30C2"/>
    <w:rsid w:val="14A01236"/>
    <w:rsid w:val="14C30A80"/>
    <w:rsid w:val="14C52A4A"/>
    <w:rsid w:val="14DD2C3C"/>
    <w:rsid w:val="151C4634"/>
    <w:rsid w:val="155018FF"/>
    <w:rsid w:val="155E2E9F"/>
    <w:rsid w:val="15712BD2"/>
    <w:rsid w:val="15AE1730"/>
    <w:rsid w:val="15C40F54"/>
    <w:rsid w:val="15C56A7A"/>
    <w:rsid w:val="15D5322E"/>
    <w:rsid w:val="15E213DA"/>
    <w:rsid w:val="15FD4466"/>
    <w:rsid w:val="16013392"/>
    <w:rsid w:val="16050569"/>
    <w:rsid w:val="16087E1D"/>
    <w:rsid w:val="16161084"/>
    <w:rsid w:val="16201F02"/>
    <w:rsid w:val="163065E9"/>
    <w:rsid w:val="165F0C7D"/>
    <w:rsid w:val="16612C47"/>
    <w:rsid w:val="169E3D4D"/>
    <w:rsid w:val="16A446B6"/>
    <w:rsid w:val="16A74F4D"/>
    <w:rsid w:val="16AA5BFF"/>
    <w:rsid w:val="16B74615"/>
    <w:rsid w:val="16F13495"/>
    <w:rsid w:val="16F2564D"/>
    <w:rsid w:val="16FA09A5"/>
    <w:rsid w:val="16FE7CA8"/>
    <w:rsid w:val="171952CF"/>
    <w:rsid w:val="171C6B6E"/>
    <w:rsid w:val="17334211"/>
    <w:rsid w:val="173E6AE4"/>
    <w:rsid w:val="17544559"/>
    <w:rsid w:val="17701D14"/>
    <w:rsid w:val="17735226"/>
    <w:rsid w:val="178F2FEA"/>
    <w:rsid w:val="17BE7C25"/>
    <w:rsid w:val="17CC0594"/>
    <w:rsid w:val="17CC504C"/>
    <w:rsid w:val="17E82F02"/>
    <w:rsid w:val="17F673BF"/>
    <w:rsid w:val="17F84EE5"/>
    <w:rsid w:val="17F85DC4"/>
    <w:rsid w:val="17FE003A"/>
    <w:rsid w:val="182201B4"/>
    <w:rsid w:val="184E0FA9"/>
    <w:rsid w:val="18615571"/>
    <w:rsid w:val="186E33F9"/>
    <w:rsid w:val="189F624C"/>
    <w:rsid w:val="18BA663E"/>
    <w:rsid w:val="18E92CB0"/>
    <w:rsid w:val="18ED2570"/>
    <w:rsid w:val="18F51424"/>
    <w:rsid w:val="19210398"/>
    <w:rsid w:val="193B3162"/>
    <w:rsid w:val="1941466A"/>
    <w:rsid w:val="194303E2"/>
    <w:rsid w:val="196F6EB5"/>
    <w:rsid w:val="19801636"/>
    <w:rsid w:val="198A6011"/>
    <w:rsid w:val="19CB5FAB"/>
    <w:rsid w:val="19D92AF4"/>
    <w:rsid w:val="1A0C059A"/>
    <w:rsid w:val="1A1324AA"/>
    <w:rsid w:val="1A1C66C0"/>
    <w:rsid w:val="1A3357FF"/>
    <w:rsid w:val="1A42393B"/>
    <w:rsid w:val="1A514D80"/>
    <w:rsid w:val="1A613F1C"/>
    <w:rsid w:val="1A6E774D"/>
    <w:rsid w:val="1A7B1DFD"/>
    <w:rsid w:val="1A864A2A"/>
    <w:rsid w:val="1AAD45DE"/>
    <w:rsid w:val="1AAE5D2F"/>
    <w:rsid w:val="1AB76247"/>
    <w:rsid w:val="1AE94FB9"/>
    <w:rsid w:val="1AEB6F83"/>
    <w:rsid w:val="1AFD6E94"/>
    <w:rsid w:val="1B046F80"/>
    <w:rsid w:val="1B267688"/>
    <w:rsid w:val="1B3267B5"/>
    <w:rsid w:val="1B3C1839"/>
    <w:rsid w:val="1B40161D"/>
    <w:rsid w:val="1B414DF5"/>
    <w:rsid w:val="1B441859"/>
    <w:rsid w:val="1B636067"/>
    <w:rsid w:val="1B6606B1"/>
    <w:rsid w:val="1BBC26CD"/>
    <w:rsid w:val="1BD9502D"/>
    <w:rsid w:val="1BF105C9"/>
    <w:rsid w:val="1BF6798D"/>
    <w:rsid w:val="1C177904"/>
    <w:rsid w:val="1C2E5379"/>
    <w:rsid w:val="1C505BC6"/>
    <w:rsid w:val="1C5E7925"/>
    <w:rsid w:val="1C6B38EC"/>
    <w:rsid w:val="1C7E160A"/>
    <w:rsid w:val="1C7F7983"/>
    <w:rsid w:val="1C821221"/>
    <w:rsid w:val="1C827473"/>
    <w:rsid w:val="1C8C20A0"/>
    <w:rsid w:val="1C915908"/>
    <w:rsid w:val="1CDF48C5"/>
    <w:rsid w:val="1CFD070F"/>
    <w:rsid w:val="1D152095"/>
    <w:rsid w:val="1D2E3157"/>
    <w:rsid w:val="1D306ECF"/>
    <w:rsid w:val="1D5C5F16"/>
    <w:rsid w:val="1D5F6196"/>
    <w:rsid w:val="1D6132A5"/>
    <w:rsid w:val="1D796AC8"/>
    <w:rsid w:val="1D813BCE"/>
    <w:rsid w:val="1D8E56D5"/>
    <w:rsid w:val="1D9A259A"/>
    <w:rsid w:val="1DB93368"/>
    <w:rsid w:val="1DE101C9"/>
    <w:rsid w:val="1DF223D6"/>
    <w:rsid w:val="1DF70379"/>
    <w:rsid w:val="1E002D45"/>
    <w:rsid w:val="1E14234D"/>
    <w:rsid w:val="1E150D35"/>
    <w:rsid w:val="1E5A5BDB"/>
    <w:rsid w:val="1E7A43DA"/>
    <w:rsid w:val="1E8E0351"/>
    <w:rsid w:val="1E984D2C"/>
    <w:rsid w:val="1EA71413"/>
    <w:rsid w:val="1EBA7398"/>
    <w:rsid w:val="1ECC0E79"/>
    <w:rsid w:val="1F0B3750"/>
    <w:rsid w:val="1F150595"/>
    <w:rsid w:val="1F325180"/>
    <w:rsid w:val="1F430A42"/>
    <w:rsid w:val="1F5A46D7"/>
    <w:rsid w:val="1F680BA2"/>
    <w:rsid w:val="1F737EE6"/>
    <w:rsid w:val="1F9A2D26"/>
    <w:rsid w:val="1FE7539E"/>
    <w:rsid w:val="1FF16DE9"/>
    <w:rsid w:val="20170FEA"/>
    <w:rsid w:val="201B3E66"/>
    <w:rsid w:val="201E3957"/>
    <w:rsid w:val="202004F3"/>
    <w:rsid w:val="20270A5D"/>
    <w:rsid w:val="204333BD"/>
    <w:rsid w:val="20671BE0"/>
    <w:rsid w:val="20711CD8"/>
    <w:rsid w:val="20931C4F"/>
    <w:rsid w:val="20963CB8"/>
    <w:rsid w:val="20987265"/>
    <w:rsid w:val="209D0D1F"/>
    <w:rsid w:val="20A81A1B"/>
    <w:rsid w:val="20B07FB6"/>
    <w:rsid w:val="20B63B8F"/>
    <w:rsid w:val="20B646FB"/>
    <w:rsid w:val="20B674B8"/>
    <w:rsid w:val="20B9542D"/>
    <w:rsid w:val="20CE2C87"/>
    <w:rsid w:val="20F40B0C"/>
    <w:rsid w:val="21042B4C"/>
    <w:rsid w:val="21051168"/>
    <w:rsid w:val="210545DE"/>
    <w:rsid w:val="211F2893"/>
    <w:rsid w:val="213B0E8B"/>
    <w:rsid w:val="213B74B1"/>
    <w:rsid w:val="215A2310"/>
    <w:rsid w:val="21843C8D"/>
    <w:rsid w:val="219C0FD7"/>
    <w:rsid w:val="21AC5E36"/>
    <w:rsid w:val="21DE318A"/>
    <w:rsid w:val="21EC74C8"/>
    <w:rsid w:val="21EF5B80"/>
    <w:rsid w:val="22121ADF"/>
    <w:rsid w:val="22272617"/>
    <w:rsid w:val="222E558F"/>
    <w:rsid w:val="223B434C"/>
    <w:rsid w:val="22561186"/>
    <w:rsid w:val="22576990"/>
    <w:rsid w:val="225B49EE"/>
    <w:rsid w:val="225E44DE"/>
    <w:rsid w:val="22835CF3"/>
    <w:rsid w:val="228757E3"/>
    <w:rsid w:val="22B61C24"/>
    <w:rsid w:val="22B90086"/>
    <w:rsid w:val="22D447A0"/>
    <w:rsid w:val="22D921AD"/>
    <w:rsid w:val="22F47480"/>
    <w:rsid w:val="22F52D07"/>
    <w:rsid w:val="23163B3C"/>
    <w:rsid w:val="23283B3B"/>
    <w:rsid w:val="2331574F"/>
    <w:rsid w:val="23333275"/>
    <w:rsid w:val="233D0598"/>
    <w:rsid w:val="236D2C2B"/>
    <w:rsid w:val="23C80EDF"/>
    <w:rsid w:val="23CA2FF6"/>
    <w:rsid w:val="23DC390D"/>
    <w:rsid w:val="23DD322A"/>
    <w:rsid w:val="23DE1C48"/>
    <w:rsid w:val="23E9602A"/>
    <w:rsid w:val="240210CD"/>
    <w:rsid w:val="240C1A97"/>
    <w:rsid w:val="240E783E"/>
    <w:rsid w:val="2423778D"/>
    <w:rsid w:val="242B6642"/>
    <w:rsid w:val="2435301D"/>
    <w:rsid w:val="244A4D1A"/>
    <w:rsid w:val="24AF2ABC"/>
    <w:rsid w:val="24B959FC"/>
    <w:rsid w:val="24BF09F7"/>
    <w:rsid w:val="24C525F3"/>
    <w:rsid w:val="24D61899"/>
    <w:rsid w:val="24EC5DD1"/>
    <w:rsid w:val="24FB4266"/>
    <w:rsid w:val="251315B0"/>
    <w:rsid w:val="252D53FE"/>
    <w:rsid w:val="25317C8D"/>
    <w:rsid w:val="25421E95"/>
    <w:rsid w:val="254A2AF8"/>
    <w:rsid w:val="255A71DF"/>
    <w:rsid w:val="255B4D05"/>
    <w:rsid w:val="2584600A"/>
    <w:rsid w:val="25933459"/>
    <w:rsid w:val="259A6F22"/>
    <w:rsid w:val="25A76AB3"/>
    <w:rsid w:val="25B06804"/>
    <w:rsid w:val="25BA7C7E"/>
    <w:rsid w:val="25D457DB"/>
    <w:rsid w:val="25D54AB7"/>
    <w:rsid w:val="25E35426"/>
    <w:rsid w:val="25EC2D81"/>
    <w:rsid w:val="25FA62CC"/>
    <w:rsid w:val="2604714B"/>
    <w:rsid w:val="260D4251"/>
    <w:rsid w:val="26396DF4"/>
    <w:rsid w:val="263F5F38"/>
    <w:rsid w:val="26502390"/>
    <w:rsid w:val="265579A6"/>
    <w:rsid w:val="2661459D"/>
    <w:rsid w:val="268D5392"/>
    <w:rsid w:val="269009DE"/>
    <w:rsid w:val="27127645"/>
    <w:rsid w:val="271433BD"/>
    <w:rsid w:val="2734580E"/>
    <w:rsid w:val="274131F2"/>
    <w:rsid w:val="27421CD9"/>
    <w:rsid w:val="2753038A"/>
    <w:rsid w:val="277057A2"/>
    <w:rsid w:val="27781B9E"/>
    <w:rsid w:val="277B168E"/>
    <w:rsid w:val="27B32BD6"/>
    <w:rsid w:val="27C44DE4"/>
    <w:rsid w:val="27C546B8"/>
    <w:rsid w:val="27D843EB"/>
    <w:rsid w:val="27DC212D"/>
    <w:rsid w:val="27EB2370"/>
    <w:rsid w:val="27F31225"/>
    <w:rsid w:val="28011B94"/>
    <w:rsid w:val="280276BA"/>
    <w:rsid w:val="28082090"/>
    <w:rsid w:val="28195541"/>
    <w:rsid w:val="28497097"/>
    <w:rsid w:val="284B72B3"/>
    <w:rsid w:val="284E0B51"/>
    <w:rsid w:val="28575C58"/>
    <w:rsid w:val="28577A06"/>
    <w:rsid w:val="285919D0"/>
    <w:rsid w:val="286B4FD1"/>
    <w:rsid w:val="287C121A"/>
    <w:rsid w:val="28B22E8E"/>
    <w:rsid w:val="28E026ED"/>
    <w:rsid w:val="2903193C"/>
    <w:rsid w:val="291853E7"/>
    <w:rsid w:val="29193313"/>
    <w:rsid w:val="29206EB8"/>
    <w:rsid w:val="292B0388"/>
    <w:rsid w:val="292F2731"/>
    <w:rsid w:val="293F4DD0"/>
    <w:rsid w:val="294A1318"/>
    <w:rsid w:val="29595666"/>
    <w:rsid w:val="296F0D7F"/>
    <w:rsid w:val="297D349C"/>
    <w:rsid w:val="29800C77"/>
    <w:rsid w:val="29874881"/>
    <w:rsid w:val="298A5BB9"/>
    <w:rsid w:val="298F31CF"/>
    <w:rsid w:val="299B2660"/>
    <w:rsid w:val="29C3151F"/>
    <w:rsid w:val="29D05CC2"/>
    <w:rsid w:val="29E325E0"/>
    <w:rsid w:val="29E96D83"/>
    <w:rsid w:val="2A286D8F"/>
    <w:rsid w:val="2A3D0E7D"/>
    <w:rsid w:val="2A3D1EA3"/>
    <w:rsid w:val="2A3D2C2B"/>
    <w:rsid w:val="2A452503"/>
    <w:rsid w:val="2A4F30D5"/>
    <w:rsid w:val="2A5155A0"/>
    <w:rsid w:val="2A6410AA"/>
    <w:rsid w:val="2A781EB5"/>
    <w:rsid w:val="2A9211C9"/>
    <w:rsid w:val="2AA8279A"/>
    <w:rsid w:val="2AAB4039"/>
    <w:rsid w:val="2AAF1D7B"/>
    <w:rsid w:val="2AC61362"/>
    <w:rsid w:val="2AD14204"/>
    <w:rsid w:val="2AD4533E"/>
    <w:rsid w:val="2B1C359C"/>
    <w:rsid w:val="2B230073"/>
    <w:rsid w:val="2B2D0EF2"/>
    <w:rsid w:val="2B4F2C16"/>
    <w:rsid w:val="2B5244B4"/>
    <w:rsid w:val="2B6E5792"/>
    <w:rsid w:val="2B8A00F2"/>
    <w:rsid w:val="2B8A5A98"/>
    <w:rsid w:val="2B996587"/>
    <w:rsid w:val="2BA936A8"/>
    <w:rsid w:val="2BB34E4D"/>
    <w:rsid w:val="2BC414EB"/>
    <w:rsid w:val="2BD001FB"/>
    <w:rsid w:val="2BF437BD"/>
    <w:rsid w:val="2C091017"/>
    <w:rsid w:val="2C0E0D23"/>
    <w:rsid w:val="2C222052"/>
    <w:rsid w:val="2C2440A3"/>
    <w:rsid w:val="2C2E3173"/>
    <w:rsid w:val="2C315A5A"/>
    <w:rsid w:val="2C3473EA"/>
    <w:rsid w:val="2C35005E"/>
    <w:rsid w:val="2C4B1C25"/>
    <w:rsid w:val="2C536736"/>
    <w:rsid w:val="2C5A3F68"/>
    <w:rsid w:val="2C663C74"/>
    <w:rsid w:val="2C695F59"/>
    <w:rsid w:val="2C7D157E"/>
    <w:rsid w:val="2C932FD6"/>
    <w:rsid w:val="2C950AFD"/>
    <w:rsid w:val="2C9E12F7"/>
    <w:rsid w:val="2CB27900"/>
    <w:rsid w:val="2CBE44F7"/>
    <w:rsid w:val="2CC94C4A"/>
    <w:rsid w:val="2CDC672B"/>
    <w:rsid w:val="2D0A773C"/>
    <w:rsid w:val="2D1265F1"/>
    <w:rsid w:val="2D340315"/>
    <w:rsid w:val="2D6230D5"/>
    <w:rsid w:val="2D811081"/>
    <w:rsid w:val="2D9E56F5"/>
    <w:rsid w:val="2DA03BFD"/>
    <w:rsid w:val="2DAF5BEE"/>
    <w:rsid w:val="2DB11966"/>
    <w:rsid w:val="2DC773DC"/>
    <w:rsid w:val="2DD13DB6"/>
    <w:rsid w:val="2DEC299E"/>
    <w:rsid w:val="2DF4413E"/>
    <w:rsid w:val="2DFA4EA8"/>
    <w:rsid w:val="2E1819E5"/>
    <w:rsid w:val="2E1D524D"/>
    <w:rsid w:val="2E3F3416"/>
    <w:rsid w:val="2E620EB2"/>
    <w:rsid w:val="2E667F96"/>
    <w:rsid w:val="2E6B5FB9"/>
    <w:rsid w:val="2E75050B"/>
    <w:rsid w:val="2E7D5CEC"/>
    <w:rsid w:val="2E8226AB"/>
    <w:rsid w:val="2E975000"/>
    <w:rsid w:val="2EA119DB"/>
    <w:rsid w:val="2EA17C2D"/>
    <w:rsid w:val="2EAE2349"/>
    <w:rsid w:val="2EF20488"/>
    <w:rsid w:val="2F1403FE"/>
    <w:rsid w:val="2F1C72B3"/>
    <w:rsid w:val="2F3A3BDD"/>
    <w:rsid w:val="2F3E191F"/>
    <w:rsid w:val="2F4256A4"/>
    <w:rsid w:val="2F6113B7"/>
    <w:rsid w:val="2F656EAC"/>
    <w:rsid w:val="2F6A7056"/>
    <w:rsid w:val="2F6D4D69"/>
    <w:rsid w:val="2F7215C9"/>
    <w:rsid w:val="2F7D2448"/>
    <w:rsid w:val="2FC516F9"/>
    <w:rsid w:val="2FD065E6"/>
    <w:rsid w:val="2FD96870"/>
    <w:rsid w:val="2FDD2EE6"/>
    <w:rsid w:val="2FFD186B"/>
    <w:rsid w:val="2FFF10AF"/>
    <w:rsid w:val="300246FB"/>
    <w:rsid w:val="30055F99"/>
    <w:rsid w:val="30201025"/>
    <w:rsid w:val="303074BA"/>
    <w:rsid w:val="30580BC9"/>
    <w:rsid w:val="309A2B85"/>
    <w:rsid w:val="30A6777C"/>
    <w:rsid w:val="30C16364"/>
    <w:rsid w:val="30CC6AB7"/>
    <w:rsid w:val="30D2231F"/>
    <w:rsid w:val="30F304E8"/>
    <w:rsid w:val="31181CFC"/>
    <w:rsid w:val="311E2ED7"/>
    <w:rsid w:val="31264419"/>
    <w:rsid w:val="31271F3F"/>
    <w:rsid w:val="313A2D0C"/>
    <w:rsid w:val="313F54DB"/>
    <w:rsid w:val="31537BCC"/>
    <w:rsid w:val="315619EE"/>
    <w:rsid w:val="315A0567"/>
    <w:rsid w:val="315C449C"/>
    <w:rsid w:val="3161106E"/>
    <w:rsid w:val="31B163D9"/>
    <w:rsid w:val="31B82709"/>
    <w:rsid w:val="31C3610C"/>
    <w:rsid w:val="31C54524"/>
    <w:rsid w:val="31D05482"/>
    <w:rsid w:val="31E3055C"/>
    <w:rsid w:val="321A2444"/>
    <w:rsid w:val="321B5F48"/>
    <w:rsid w:val="32382656"/>
    <w:rsid w:val="32400B34"/>
    <w:rsid w:val="328C4750"/>
    <w:rsid w:val="329B2BE5"/>
    <w:rsid w:val="329E6876"/>
    <w:rsid w:val="32BA259C"/>
    <w:rsid w:val="33146C2F"/>
    <w:rsid w:val="33233306"/>
    <w:rsid w:val="332B21BB"/>
    <w:rsid w:val="333015F2"/>
    <w:rsid w:val="333746BC"/>
    <w:rsid w:val="334B6320"/>
    <w:rsid w:val="33745910"/>
    <w:rsid w:val="339C6C14"/>
    <w:rsid w:val="339F1D49"/>
    <w:rsid w:val="33AD0E22"/>
    <w:rsid w:val="33B66612"/>
    <w:rsid w:val="33B966F1"/>
    <w:rsid w:val="33CB00AC"/>
    <w:rsid w:val="33D934D4"/>
    <w:rsid w:val="33F15289"/>
    <w:rsid w:val="33FC5905"/>
    <w:rsid w:val="33FE2F6A"/>
    <w:rsid w:val="340547BA"/>
    <w:rsid w:val="340E07E5"/>
    <w:rsid w:val="34235BF7"/>
    <w:rsid w:val="34272982"/>
    <w:rsid w:val="342A4220"/>
    <w:rsid w:val="34346E4D"/>
    <w:rsid w:val="34362BC5"/>
    <w:rsid w:val="34586FDF"/>
    <w:rsid w:val="34A55F9D"/>
    <w:rsid w:val="34F100FA"/>
    <w:rsid w:val="34FC48D1"/>
    <w:rsid w:val="350D601C"/>
    <w:rsid w:val="3529272A"/>
    <w:rsid w:val="35360BD5"/>
    <w:rsid w:val="353F2CAE"/>
    <w:rsid w:val="358C5FA8"/>
    <w:rsid w:val="359027A9"/>
    <w:rsid w:val="35AB1391"/>
    <w:rsid w:val="35C0308E"/>
    <w:rsid w:val="35C15DF1"/>
    <w:rsid w:val="35D72186"/>
    <w:rsid w:val="35F76384"/>
    <w:rsid w:val="36074A7F"/>
    <w:rsid w:val="36274EBB"/>
    <w:rsid w:val="362B78C7"/>
    <w:rsid w:val="36415CC6"/>
    <w:rsid w:val="364C361F"/>
    <w:rsid w:val="366F0610"/>
    <w:rsid w:val="367D0F7F"/>
    <w:rsid w:val="36923549"/>
    <w:rsid w:val="36976867"/>
    <w:rsid w:val="36A302BA"/>
    <w:rsid w:val="36AE5209"/>
    <w:rsid w:val="36B75FBF"/>
    <w:rsid w:val="36BD0C45"/>
    <w:rsid w:val="36C37669"/>
    <w:rsid w:val="36D6068F"/>
    <w:rsid w:val="36DF1E6D"/>
    <w:rsid w:val="36E44B5A"/>
    <w:rsid w:val="36E7289C"/>
    <w:rsid w:val="36E95B61"/>
    <w:rsid w:val="36F40B16"/>
    <w:rsid w:val="370276D6"/>
    <w:rsid w:val="37111378"/>
    <w:rsid w:val="37270EEB"/>
    <w:rsid w:val="373F11B0"/>
    <w:rsid w:val="37585548"/>
    <w:rsid w:val="377C2FE5"/>
    <w:rsid w:val="377C4D93"/>
    <w:rsid w:val="37904CE2"/>
    <w:rsid w:val="37943E0C"/>
    <w:rsid w:val="37AE1CD9"/>
    <w:rsid w:val="37DE77FC"/>
    <w:rsid w:val="37E00298"/>
    <w:rsid w:val="38066D52"/>
    <w:rsid w:val="38067592"/>
    <w:rsid w:val="38196A86"/>
    <w:rsid w:val="381C6576"/>
    <w:rsid w:val="383E64EC"/>
    <w:rsid w:val="384B0C09"/>
    <w:rsid w:val="385775AE"/>
    <w:rsid w:val="385E093C"/>
    <w:rsid w:val="389425B0"/>
    <w:rsid w:val="38B302F9"/>
    <w:rsid w:val="38C74734"/>
    <w:rsid w:val="38DA43C8"/>
    <w:rsid w:val="38E47571"/>
    <w:rsid w:val="38F117B0"/>
    <w:rsid w:val="38F12CD3"/>
    <w:rsid w:val="38F94775"/>
    <w:rsid w:val="390A1468"/>
    <w:rsid w:val="3911775D"/>
    <w:rsid w:val="391A2AB5"/>
    <w:rsid w:val="3925145A"/>
    <w:rsid w:val="392971ED"/>
    <w:rsid w:val="39325651"/>
    <w:rsid w:val="39382F3B"/>
    <w:rsid w:val="393D49F6"/>
    <w:rsid w:val="3943036D"/>
    <w:rsid w:val="394C4C39"/>
    <w:rsid w:val="39553AED"/>
    <w:rsid w:val="395C1641"/>
    <w:rsid w:val="39783C80"/>
    <w:rsid w:val="39FD5F33"/>
    <w:rsid w:val="3A2B6F44"/>
    <w:rsid w:val="3A5F4689"/>
    <w:rsid w:val="3A6A7A6C"/>
    <w:rsid w:val="3A714EF8"/>
    <w:rsid w:val="3A850402"/>
    <w:rsid w:val="3A872856"/>
    <w:rsid w:val="3AAC1E33"/>
    <w:rsid w:val="3AAF36D1"/>
    <w:rsid w:val="3AB26D1E"/>
    <w:rsid w:val="3AB36DA4"/>
    <w:rsid w:val="3AEB7525"/>
    <w:rsid w:val="3B0C4680"/>
    <w:rsid w:val="3B201ED9"/>
    <w:rsid w:val="3B2A71FC"/>
    <w:rsid w:val="3B3763D1"/>
    <w:rsid w:val="3B3B31B7"/>
    <w:rsid w:val="3B5D312D"/>
    <w:rsid w:val="3B5D4EDB"/>
    <w:rsid w:val="3B6A75F8"/>
    <w:rsid w:val="3B7346FF"/>
    <w:rsid w:val="3B815EBA"/>
    <w:rsid w:val="3B9F54F4"/>
    <w:rsid w:val="3BA808FD"/>
    <w:rsid w:val="3BB54D17"/>
    <w:rsid w:val="3BBE4AC4"/>
    <w:rsid w:val="3BCE2E77"/>
    <w:rsid w:val="3BFF5F92"/>
    <w:rsid w:val="3C2F6E1E"/>
    <w:rsid w:val="3C461D52"/>
    <w:rsid w:val="3C4F64BA"/>
    <w:rsid w:val="3C7B5338"/>
    <w:rsid w:val="3C925059"/>
    <w:rsid w:val="3CB11983"/>
    <w:rsid w:val="3CB74ABF"/>
    <w:rsid w:val="3CBB635D"/>
    <w:rsid w:val="3CBF4F2E"/>
    <w:rsid w:val="3CCA2A44"/>
    <w:rsid w:val="3CDA245A"/>
    <w:rsid w:val="3CE5162C"/>
    <w:rsid w:val="3D1E06B7"/>
    <w:rsid w:val="3D2E2D04"/>
    <w:rsid w:val="3D4358D5"/>
    <w:rsid w:val="3D4C3459"/>
    <w:rsid w:val="3D502753"/>
    <w:rsid w:val="3D6C5F71"/>
    <w:rsid w:val="3D711112"/>
    <w:rsid w:val="3D7D1865"/>
    <w:rsid w:val="3D8250CD"/>
    <w:rsid w:val="3D8E5820"/>
    <w:rsid w:val="3D9A641E"/>
    <w:rsid w:val="3DAC3EF8"/>
    <w:rsid w:val="3DCD0B3E"/>
    <w:rsid w:val="3E012496"/>
    <w:rsid w:val="3E063608"/>
    <w:rsid w:val="3E3208A1"/>
    <w:rsid w:val="3E4B3711"/>
    <w:rsid w:val="3E5527E2"/>
    <w:rsid w:val="3E5C591E"/>
    <w:rsid w:val="3E5D51F2"/>
    <w:rsid w:val="3E6E73FF"/>
    <w:rsid w:val="3E970704"/>
    <w:rsid w:val="3ED17321"/>
    <w:rsid w:val="3EDA0523"/>
    <w:rsid w:val="3EF75647"/>
    <w:rsid w:val="3F012022"/>
    <w:rsid w:val="3F373C95"/>
    <w:rsid w:val="3F3B19D7"/>
    <w:rsid w:val="3F4E170B"/>
    <w:rsid w:val="3F656A54"/>
    <w:rsid w:val="3F670284"/>
    <w:rsid w:val="3F695E54"/>
    <w:rsid w:val="3F80388E"/>
    <w:rsid w:val="3F892FBC"/>
    <w:rsid w:val="3F9335C1"/>
    <w:rsid w:val="3F9B06C8"/>
    <w:rsid w:val="3F9B4C4D"/>
    <w:rsid w:val="3FA532F5"/>
    <w:rsid w:val="3FA56E51"/>
    <w:rsid w:val="3FB452E6"/>
    <w:rsid w:val="3FB86B84"/>
    <w:rsid w:val="3FEB51AC"/>
    <w:rsid w:val="401D2E8B"/>
    <w:rsid w:val="40662A84"/>
    <w:rsid w:val="40754A75"/>
    <w:rsid w:val="407A6407"/>
    <w:rsid w:val="409C64A6"/>
    <w:rsid w:val="40AD06B3"/>
    <w:rsid w:val="40C652D1"/>
    <w:rsid w:val="411E335F"/>
    <w:rsid w:val="41270465"/>
    <w:rsid w:val="41377F7D"/>
    <w:rsid w:val="413B7A6D"/>
    <w:rsid w:val="418C651A"/>
    <w:rsid w:val="418F1B67"/>
    <w:rsid w:val="41C55588"/>
    <w:rsid w:val="41C757A4"/>
    <w:rsid w:val="41C952EA"/>
    <w:rsid w:val="41CC4B69"/>
    <w:rsid w:val="41DF489C"/>
    <w:rsid w:val="41E023C2"/>
    <w:rsid w:val="41FA16D6"/>
    <w:rsid w:val="4200449D"/>
    <w:rsid w:val="421D3616"/>
    <w:rsid w:val="423A3BCC"/>
    <w:rsid w:val="423F358D"/>
    <w:rsid w:val="4246491B"/>
    <w:rsid w:val="424E57D2"/>
    <w:rsid w:val="42507FAC"/>
    <w:rsid w:val="42612D34"/>
    <w:rsid w:val="428611BC"/>
    <w:rsid w:val="42976F25"/>
    <w:rsid w:val="429E219E"/>
    <w:rsid w:val="42A81132"/>
    <w:rsid w:val="42AE0712"/>
    <w:rsid w:val="42B26C49"/>
    <w:rsid w:val="42BA2C13"/>
    <w:rsid w:val="42D27F5D"/>
    <w:rsid w:val="432D7889"/>
    <w:rsid w:val="43301127"/>
    <w:rsid w:val="433A6FE6"/>
    <w:rsid w:val="43480868"/>
    <w:rsid w:val="434D4958"/>
    <w:rsid w:val="4350713C"/>
    <w:rsid w:val="436653E0"/>
    <w:rsid w:val="43686AD1"/>
    <w:rsid w:val="43686B13"/>
    <w:rsid w:val="43713C1A"/>
    <w:rsid w:val="437159C8"/>
    <w:rsid w:val="437454B8"/>
    <w:rsid w:val="437B23A2"/>
    <w:rsid w:val="43A401FC"/>
    <w:rsid w:val="43C4431A"/>
    <w:rsid w:val="43C73707"/>
    <w:rsid w:val="43D9356D"/>
    <w:rsid w:val="43E715BD"/>
    <w:rsid w:val="43FB1735"/>
    <w:rsid w:val="44705C7F"/>
    <w:rsid w:val="447C48B5"/>
    <w:rsid w:val="447D65EE"/>
    <w:rsid w:val="44955623"/>
    <w:rsid w:val="44A4293E"/>
    <w:rsid w:val="44B951CC"/>
    <w:rsid w:val="44CD14E0"/>
    <w:rsid w:val="44CD4E80"/>
    <w:rsid w:val="44D3620E"/>
    <w:rsid w:val="44DF1057"/>
    <w:rsid w:val="44DF4BB3"/>
    <w:rsid w:val="44F20B0B"/>
    <w:rsid w:val="45154A79"/>
    <w:rsid w:val="451C1963"/>
    <w:rsid w:val="451F1453"/>
    <w:rsid w:val="452E5F4C"/>
    <w:rsid w:val="453E5D7D"/>
    <w:rsid w:val="454F7F8B"/>
    <w:rsid w:val="455B692F"/>
    <w:rsid w:val="45612018"/>
    <w:rsid w:val="457D7461"/>
    <w:rsid w:val="458946E9"/>
    <w:rsid w:val="45921C25"/>
    <w:rsid w:val="459E681C"/>
    <w:rsid w:val="459E7EBE"/>
    <w:rsid w:val="45A47C0E"/>
    <w:rsid w:val="45CE5353"/>
    <w:rsid w:val="45D1274E"/>
    <w:rsid w:val="45D65FB6"/>
    <w:rsid w:val="46057028"/>
    <w:rsid w:val="46113492"/>
    <w:rsid w:val="46250DE7"/>
    <w:rsid w:val="46333408"/>
    <w:rsid w:val="46577FD6"/>
    <w:rsid w:val="46694F98"/>
    <w:rsid w:val="466B2BA2"/>
    <w:rsid w:val="46723E21"/>
    <w:rsid w:val="467D0B27"/>
    <w:rsid w:val="46827EEC"/>
    <w:rsid w:val="469A4AFF"/>
    <w:rsid w:val="469A5235"/>
    <w:rsid w:val="46AC50C9"/>
    <w:rsid w:val="46B42A0C"/>
    <w:rsid w:val="46D955A7"/>
    <w:rsid w:val="46ED1D87"/>
    <w:rsid w:val="46FC0A6C"/>
    <w:rsid w:val="47133957"/>
    <w:rsid w:val="47376F28"/>
    <w:rsid w:val="47456FDC"/>
    <w:rsid w:val="47484C91"/>
    <w:rsid w:val="47543636"/>
    <w:rsid w:val="47596E9F"/>
    <w:rsid w:val="47A07E0C"/>
    <w:rsid w:val="47B02837"/>
    <w:rsid w:val="47F70466"/>
    <w:rsid w:val="482E20D9"/>
    <w:rsid w:val="4870272E"/>
    <w:rsid w:val="488241D3"/>
    <w:rsid w:val="489108BA"/>
    <w:rsid w:val="48C26CC5"/>
    <w:rsid w:val="48C447EC"/>
    <w:rsid w:val="48D150F1"/>
    <w:rsid w:val="48E409EA"/>
    <w:rsid w:val="48E44E8E"/>
    <w:rsid w:val="48F21359"/>
    <w:rsid w:val="490948F4"/>
    <w:rsid w:val="49535B70"/>
    <w:rsid w:val="49697141"/>
    <w:rsid w:val="496E6505"/>
    <w:rsid w:val="497664FC"/>
    <w:rsid w:val="497C041B"/>
    <w:rsid w:val="498E6BA8"/>
    <w:rsid w:val="49A32653"/>
    <w:rsid w:val="49A563CB"/>
    <w:rsid w:val="49B900C8"/>
    <w:rsid w:val="49DC7715"/>
    <w:rsid w:val="4A023139"/>
    <w:rsid w:val="4A0D269F"/>
    <w:rsid w:val="4A1470AD"/>
    <w:rsid w:val="4A233794"/>
    <w:rsid w:val="4A2A68D0"/>
    <w:rsid w:val="4A2D016F"/>
    <w:rsid w:val="4A4829C8"/>
    <w:rsid w:val="4A6D4A0F"/>
    <w:rsid w:val="4A7B576F"/>
    <w:rsid w:val="4A8920D8"/>
    <w:rsid w:val="4A9956BB"/>
    <w:rsid w:val="4A9B77CE"/>
    <w:rsid w:val="4AA448D5"/>
    <w:rsid w:val="4AF561A9"/>
    <w:rsid w:val="4B2B2900"/>
    <w:rsid w:val="4B3519D1"/>
    <w:rsid w:val="4B3A0D95"/>
    <w:rsid w:val="4B3F2985"/>
    <w:rsid w:val="4B614574"/>
    <w:rsid w:val="4B6D2F19"/>
    <w:rsid w:val="4B72052F"/>
    <w:rsid w:val="4B92472D"/>
    <w:rsid w:val="4B9D1B05"/>
    <w:rsid w:val="4BA40904"/>
    <w:rsid w:val="4BA91A77"/>
    <w:rsid w:val="4BAB57EF"/>
    <w:rsid w:val="4BDA22D8"/>
    <w:rsid w:val="4C046149"/>
    <w:rsid w:val="4C1F35EC"/>
    <w:rsid w:val="4C2C2DD4"/>
    <w:rsid w:val="4C4A0649"/>
    <w:rsid w:val="4C577725"/>
    <w:rsid w:val="4C63431C"/>
    <w:rsid w:val="4C651E42"/>
    <w:rsid w:val="4C675BBA"/>
    <w:rsid w:val="4C716A38"/>
    <w:rsid w:val="4C7E5ECA"/>
    <w:rsid w:val="4C876AA5"/>
    <w:rsid w:val="4CC4070B"/>
    <w:rsid w:val="4CCE5C39"/>
    <w:rsid w:val="4D0C050F"/>
    <w:rsid w:val="4D0E00FB"/>
    <w:rsid w:val="4D0F1DAD"/>
    <w:rsid w:val="4D1473C4"/>
    <w:rsid w:val="4D176606"/>
    <w:rsid w:val="4D254318"/>
    <w:rsid w:val="4D2556CD"/>
    <w:rsid w:val="4D4041B1"/>
    <w:rsid w:val="4D4128AF"/>
    <w:rsid w:val="4D4203D5"/>
    <w:rsid w:val="4D461514"/>
    <w:rsid w:val="4D573E80"/>
    <w:rsid w:val="4D6B4844"/>
    <w:rsid w:val="4DEC4FB0"/>
    <w:rsid w:val="4DF74D1B"/>
    <w:rsid w:val="4DFC4A28"/>
    <w:rsid w:val="4E075D8A"/>
    <w:rsid w:val="4E1458CD"/>
    <w:rsid w:val="4E434405"/>
    <w:rsid w:val="4E52289A"/>
    <w:rsid w:val="4E6B74B7"/>
    <w:rsid w:val="4E7C03DC"/>
    <w:rsid w:val="4E806677"/>
    <w:rsid w:val="4EC00FAD"/>
    <w:rsid w:val="4ED432AF"/>
    <w:rsid w:val="4ED80FF1"/>
    <w:rsid w:val="4EF4089D"/>
    <w:rsid w:val="4EFB4B5E"/>
    <w:rsid w:val="4F082F58"/>
    <w:rsid w:val="4F1431F5"/>
    <w:rsid w:val="4F4E12B3"/>
    <w:rsid w:val="4F68715D"/>
    <w:rsid w:val="4F7C258C"/>
    <w:rsid w:val="4F8C3B89"/>
    <w:rsid w:val="4F9843DC"/>
    <w:rsid w:val="4FA669F9"/>
    <w:rsid w:val="4FC62A8C"/>
    <w:rsid w:val="4FE20F0D"/>
    <w:rsid w:val="4FE51552"/>
    <w:rsid w:val="4FEB1458"/>
    <w:rsid w:val="4FEB3664"/>
    <w:rsid w:val="4FF26104"/>
    <w:rsid w:val="501E0C85"/>
    <w:rsid w:val="5032028D"/>
    <w:rsid w:val="503A35E5"/>
    <w:rsid w:val="50504C4B"/>
    <w:rsid w:val="505E5526"/>
    <w:rsid w:val="50681F00"/>
    <w:rsid w:val="509C6E7C"/>
    <w:rsid w:val="50C01D3C"/>
    <w:rsid w:val="50E43195"/>
    <w:rsid w:val="50EA6DB9"/>
    <w:rsid w:val="50EF2622"/>
    <w:rsid w:val="51340732"/>
    <w:rsid w:val="51426BF5"/>
    <w:rsid w:val="5162104E"/>
    <w:rsid w:val="51714DE5"/>
    <w:rsid w:val="51735001"/>
    <w:rsid w:val="51752B27"/>
    <w:rsid w:val="51861D6F"/>
    <w:rsid w:val="51915487"/>
    <w:rsid w:val="519D207E"/>
    <w:rsid w:val="519D67EC"/>
    <w:rsid w:val="51A14D79"/>
    <w:rsid w:val="51F223CA"/>
    <w:rsid w:val="51FE7CEA"/>
    <w:rsid w:val="52120376"/>
    <w:rsid w:val="521265C8"/>
    <w:rsid w:val="525F5585"/>
    <w:rsid w:val="527A5F1B"/>
    <w:rsid w:val="528F19C6"/>
    <w:rsid w:val="52955584"/>
    <w:rsid w:val="529E7E5B"/>
    <w:rsid w:val="52AE4870"/>
    <w:rsid w:val="52C47929"/>
    <w:rsid w:val="52D970E6"/>
    <w:rsid w:val="52FA287F"/>
    <w:rsid w:val="52FE6B4C"/>
    <w:rsid w:val="5307273B"/>
    <w:rsid w:val="53206AC2"/>
    <w:rsid w:val="53281246"/>
    <w:rsid w:val="532E5683"/>
    <w:rsid w:val="53453790"/>
    <w:rsid w:val="53982AFD"/>
    <w:rsid w:val="539A4AC7"/>
    <w:rsid w:val="53A039CC"/>
    <w:rsid w:val="53A1505A"/>
    <w:rsid w:val="53A331CC"/>
    <w:rsid w:val="53C733E2"/>
    <w:rsid w:val="53C75190"/>
    <w:rsid w:val="53CC6C4A"/>
    <w:rsid w:val="53E43F94"/>
    <w:rsid w:val="54063E08"/>
    <w:rsid w:val="542F1C7D"/>
    <w:rsid w:val="543437E8"/>
    <w:rsid w:val="543D59C1"/>
    <w:rsid w:val="543E18F6"/>
    <w:rsid w:val="543F566E"/>
    <w:rsid w:val="545D055C"/>
    <w:rsid w:val="546724CF"/>
    <w:rsid w:val="54703A7A"/>
    <w:rsid w:val="549A4653"/>
    <w:rsid w:val="54C47921"/>
    <w:rsid w:val="54D42866"/>
    <w:rsid w:val="54E51D72"/>
    <w:rsid w:val="54E65AEA"/>
    <w:rsid w:val="54F73313"/>
    <w:rsid w:val="54F80955"/>
    <w:rsid w:val="55180399"/>
    <w:rsid w:val="555170A7"/>
    <w:rsid w:val="555D5DAC"/>
    <w:rsid w:val="556B6EC3"/>
    <w:rsid w:val="5587536D"/>
    <w:rsid w:val="559B174B"/>
    <w:rsid w:val="55A7171D"/>
    <w:rsid w:val="55B1434A"/>
    <w:rsid w:val="55BD4A9D"/>
    <w:rsid w:val="55CE0CF4"/>
    <w:rsid w:val="55D671C7"/>
    <w:rsid w:val="565D002E"/>
    <w:rsid w:val="56723AD9"/>
    <w:rsid w:val="56811F6E"/>
    <w:rsid w:val="569A6B8C"/>
    <w:rsid w:val="56AB6FEB"/>
    <w:rsid w:val="56B22A9C"/>
    <w:rsid w:val="56C47753"/>
    <w:rsid w:val="56DB69E5"/>
    <w:rsid w:val="570566FB"/>
    <w:rsid w:val="57062B83"/>
    <w:rsid w:val="57203535"/>
    <w:rsid w:val="57236B81"/>
    <w:rsid w:val="57364B06"/>
    <w:rsid w:val="574134AB"/>
    <w:rsid w:val="57430FD1"/>
    <w:rsid w:val="576D42A0"/>
    <w:rsid w:val="577C44E3"/>
    <w:rsid w:val="578D37A9"/>
    <w:rsid w:val="5794182D"/>
    <w:rsid w:val="579932E7"/>
    <w:rsid w:val="57B72A76"/>
    <w:rsid w:val="57C3426C"/>
    <w:rsid w:val="57CE1F93"/>
    <w:rsid w:val="57D85BBE"/>
    <w:rsid w:val="57F4051E"/>
    <w:rsid w:val="580573C3"/>
    <w:rsid w:val="58134E48"/>
    <w:rsid w:val="581E5446"/>
    <w:rsid w:val="584F7C05"/>
    <w:rsid w:val="58627B7D"/>
    <w:rsid w:val="586C66E9"/>
    <w:rsid w:val="588743D1"/>
    <w:rsid w:val="5887701A"/>
    <w:rsid w:val="58922210"/>
    <w:rsid w:val="58B101BD"/>
    <w:rsid w:val="58BC54DF"/>
    <w:rsid w:val="59126EAD"/>
    <w:rsid w:val="591C41D0"/>
    <w:rsid w:val="59254E33"/>
    <w:rsid w:val="5928496A"/>
    <w:rsid w:val="596202A2"/>
    <w:rsid w:val="597D4C6F"/>
    <w:rsid w:val="59BE0DE3"/>
    <w:rsid w:val="59C0439F"/>
    <w:rsid w:val="59CD7278"/>
    <w:rsid w:val="59EA1BD8"/>
    <w:rsid w:val="59F1740B"/>
    <w:rsid w:val="59F82547"/>
    <w:rsid w:val="5A1A1165"/>
    <w:rsid w:val="5A3414B6"/>
    <w:rsid w:val="5A3572F7"/>
    <w:rsid w:val="5A584D94"/>
    <w:rsid w:val="5A6000EC"/>
    <w:rsid w:val="5A690D4F"/>
    <w:rsid w:val="5A9D30EE"/>
    <w:rsid w:val="5AAC70A4"/>
    <w:rsid w:val="5ABE2233"/>
    <w:rsid w:val="5AC97A40"/>
    <w:rsid w:val="5AE8436A"/>
    <w:rsid w:val="5B1C2A1D"/>
    <w:rsid w:val="5B296730"/>
    <w:rsid w:val="5B2D6220"/>
    <w:rsid w:val="5B3752F1"/>
    <w:rsid w:val="5B3E042E"/>
    <w:rsid w:val="5B8056F3"/>
    <w:rsid w:val="5B85605C"/>
    <w:rsid w:val="5BBD57F6"/>
    <w:rsid w:val="5BD62414"/>
    <w:rsid w:val="5BDF5D95"/>
    <w:rsid w:val="5BE03293"/>
    <w:rsid w:val="5BF62AB6"/>
    <w:rsid w:val="5BFE7528"/>
    <w:rsid w:val="5C0C052C"/>
    <w:rsid w:val="5C1D0043"/>
    <w:rsid w:val="5C6936BC"/>
    <w:rsid w:val="5C8A1451"/>
    <w:rsid w:val="5C974299"/>
    <w:rsid w:val="5CAB0AB2"/>
    <w:rsid w:val="5CCA72CA"/>
    <w:rsid w:val="5CDB639D"/>
    <w:rsid w:val="5CE70651"/>
    <w:rsid w:val="5D0163F1"/>
    <w:rsid w:val="5D017965"/>
    <w:rsid w:val="5D0B2591"/>
    <w:rsid w:val="5D2D075A"/>
    <w:rsid w:val="5D393EA8"/>
    <w:rsid w:val="5D5B6375"/>
    <w:rsid w:val="5D7E0FB5"/>
    <w:rsid w:val="5D944335"/>
    <w:rsid w:val="5D9C143B"/>
    <w:rsid w:val="5DA86032"/>
    <w:rsid w:val="5DCF7A63"/>
    <w:rsid w:val="5DD51E4F"/>
    <w:rsid w:val="5DE27796"/>
    <w:rsid w:val="5DF474C9"/>
    <w:rsid w:val="5E021BE6"/>
    <w:rsid w:val="5E2467F1"/>
    <w:rsid w:val="5E6463FD"/>
    <w:rsid w:val="5E9071F2"/>
    <w:rsid w:val="5E93283E"/>
    <w:rsid w:val="5E945960"/>
    <w:rsid w:val="5E9D546B"/>
    <w:rsid w:val="5EA04F5B"/>
    <w:rsid w:val="5EA7453C"/>
    <w:rsid w:val="5EBA601D"/>
    <w:rsid w:val="5EEB4428"/>
    <w:rsid w:val="5F0E6369"/>
    <w:rsid w:val="5F1A2B43"/>
    <w:rsid w:val="5F357D99"/>
    <w:rsid w:val="5F3D09FC"/>
    <w:rsid w:val="5F53760C"/>
    <w:rsid w:val="5F5C5FB8"/>
    <w:rsid w:val="5F7F1015"/>
    <w:rsid w:val="5F830B05"/>
    <w:rsid w:val="5F943FBC"/>
    <w:rsid w:val="5F9F3465"/>
    <w:rsid w:val="5FA14E8D"/>
    <w:rsid w:val="5FB837BB"/>
    <w:rsid w:val="5FD255E8"/>
    <w:rsid w:val="601C6864"/>
    <w:rsid w:val="60200546"/>
    <w:rsid w:val="60651FB9"/>
    <w:rsid w:val="606A5821"/>
    <w:rsid w:val="606C1599"/>
    <w:rsid w:val="606F4BE5"/>
    <w:rsid w:val="607D37A6"/>
    <w:rsid w:val="60966616"/>
    <w:rsid w:val="609B1E7E"/>
    <w:rsid w:val="60C56EFB"/>
    <w:rsid w:val="60CC405A"/>
    <w:rsid w:val="60E1388E"/>
    <w:rsid w:val="60E94998"/>
    <w:rsid w:val="613E370E"/>
    <w:rsid w:val="61514729"/>
    <w:rsid w:val="617050B9"/>
    <w:rsid w:val="61774699"/>
    <w:rsid w:val="617C1CB0"/>
    <w:rsid w:val="618B3CA1"/>
    <w:rsid w:val="61C6117D"/>
    <w:rsid w:val="61C62F2B"/>
    <w:rsid w:val="61D5316E"/>
    <w:rsid w:val="61E215D8"/>
    <w:rsid w:val="62165C60"/>
    <w:rsid w:val="621B3775"/>
    <w:rsid w:val="622A4877"/>
    <w:rsid w:val="62364782"/>
    <w:rsid w:val="62582A4B"/>
    <w:rsid w:val="625D388F"/>
    <w:rsid w:val="626C3AD2"/>
    <w:rsid w:val="627D7A8D"/>
    <w:rsid w:val="62894684"/>
    <w:rsid w:val="629923ED"/>
    <w:rsid w:val="62B334AF"/>
    <w:rsid w:val="62DB2A06"/>
    <w:rsid w:val="62E753BC"/>
    <w:rsid w:val="62FD297C"/>
    <w:rsid w:val="631321A0"/>
    <w:rsid w:val="634C56B2"/>
    <w:rsid w:val="63666773"/>
    <w:rsid w:val="636C7B02"/>
    <w:rsid w:val="6370314E"/>
    <w:rsid w:val="637864A7"/>
    <w:rsid w:val="63892462"/>
    <w:rsid w:val="6394356A"/>
    <w:rsid w:val="63AB687C"/>
    <w:rsid w:val="63B05C41"/>
    <w:rsid w:val="63B75221"/>
    <w:rsid w:val="63C416EC"/>
    <w:rsid w:val="63C61B2C"/>
    <w:rsid w:val="63D40BE9"/>
    <w:rsid w:val="63D731CD"/>
    <w:rsid w:val="63DE27AE"/>
    <w:rsid w:val="63EE6769"/>
    <w:rsid w:val="63F365E2"/>
    <w:rsid w:val="6408782B"/>
    <w:rsid w:val="64102431"/>
    <w:rsid w:val="643D5796"/>
    <w:rsid w:val="64714C48"/>
    <w:rsid w:val="647267C2"/>
    <w:rsid w:val="64A47B09"/>
    <w:rsid w:val="64A5243A"/>
    <w:rsid w:val="64AD3F2E"/>
    <w:rsid w:val="64C03C61"/>
    <w:rsid w:val="64DB0A9B"/>
    <w:rsid w:val="64E33DF4"/>
    <w:rsid w:val="64E5191A"/>
    <w:rsid w:val="64E57B6C"/>
    <w:rsid w:val="64E75692"/>
    <w:rsid w:val="64F531DE"/>
    <w:rsid w:val="64F74FC3"/>
    <w:rsid w:val="65154758"/>
    <w:rsid w:val="652E506F"/>
    <w:rsid w:val="653308D7"/>
    <w:rsid w:val="65373578"/>
    <w:rsid w:val="6570055B"/>
    <w:rsid w:val="657131AE"/>
    <w:rsid w:val="65990812"/>
    <w:rsid w:val="659C5E91"/>
    <w:rsid w:val="659F7D1B"/>
    <w:rsid w:val="65B66714"/>
    <w:rsid w:val="65C94739"/>
    <w:rsid w:val="65CC6636"/>
    <w:rsid w:val="65CE3B89"/>
    <w:rsid w:val="65D24079"/>
    <w:rsid w:val="65D9653B"/>
    <w:rsid w:val="65EB7404"/>
    <w:rsid w:val="65ED503A"/>
    <w:rsid w:val="66081D64"/>
    <w:rsid w:val="66230FAA"/>
    <w:rsid w:val="66891A9E"/>
    <w:rsid w:val="66A01F9C"/>
    <w:rsid w:val="66A650D9"/>
    <w:rsid w:val="66AC6B93"/>
    <w:rsid w:val="66EC6F90"/>
    <w:rsid w:val="671B7875"/>
    <w:rsid w:val="671F124A"/>
    <w:rsid w:val="67305C9F"/>
    <w:rsid w:val="67340937"/>
    <w:rsid w:val="677A27ED"/>
    <w:rsid w:val="677A33C6"/>
    <w:rsid w:val="678E0047"/>
    <w:rsid w:val="67B6759E"/>
    <w:rsid w:val="67C27CF0"/>
    <w:rsid w:val="67DB0DB2"/>
    <w:rsid w:val="67DD2D7C"/>
    <w:rsid w:val="681F6961"/>
    <w:rsid w:val="68295FC1"/>
    <w:rsid w:val="68444BA9"/>
    <w:rsid w:val="684D1CB0"/>
    <w:rsid w:val="684F3C7A"/>
    <w:rsid w:val="68610A2F"/>
    <w:rsid w:val="68686AEA"/>
    <w:rsid w:val="68805514"/>
    <w:rsid w:val="68A35D74"/>
    <w:rsid w:val="68B247F7"/>
    <w:rsid w:val="68BA1902"/>
    <w:rsid w:val="68CB0E27"/>
    <w:rsid w:val="68CF4DBB"/>
    <w:rsid w:val="69316E2F"/>
    <w:rsid w:val="69472BA3"/>
    <w:rsid w:val="694E2071"/>
    <w:rsid w:val="695F613F"/>
    <w:rsid w:val="69766163"/>
    <w:rsid w:val="69781381"/>
    <w:rsid w:val="697A3B33"/>
    <w:rsid w:val="6985191D"/>
    <w:rsid w:val="6985365D"/>
    <w:rsid w:val="698A6F34"/>
    <w:rsid w:val="69A27DD9"/>
    <w:rsid w:val="69D44760"/>
    <w:rsid w:val="6A10568B"/>
    <w:rsid w:val="6A1A02B8"/>
    <w:rsid w:val="6A2C1D99"/>
    <w:rsid w:val="6A2E78BF"/>
    <w:rsid w:val="6A3C6480"/>
    <w:rsid w:val="6A445335"/>
    <w:rsid w:val="6A513BED"/>
    <w:rsid w:val="6A520EC7"/>
    <w:rsid w:val="6A6908F7"/>
    <w:rsid w:val="6A775937"/>
    <w:rsid w:val="6A8B3CB8"/>
    <w:rsid w:val="6AA61B4B"/>
    <w:rsid w:val="6AB57FE0"/>
    <w:rsid w:val="6AC00E5F"/>
    <w:rsid w:val="6ACB7804"/>
    <w:rsid w:val="6AE663EC"/>
    <w:rsid w:val="6AEC1C54"/>
    <w:rsid w:val="6AF01018"/>
    <w:rsid w:val="6AF87E20"/>
    <w:rsid w:val="6B0A20DA"/>
    <w:rsid w:val="6B0A3E88"/>
    <w:rsid w:val="6B0D1787"/>
    <w:rsid w:val="6B1575DE"/>
    <w:rsid w:val="6B185526"/>
    <w:rsid w:val="6B322639"/>
    <w:rsid w:val="6B361121"/>
    <w:rsid w:val="6B572E46"/>
    <w:rsid w:val="6B5B2936"/>
    <w:rsid w:val="6B7E4876"/>
    <w:rsid w:val="6B910106"/>
    <w:rsid w:val="6BBB33D4"/>
    <w:rsid w:val="6BBD539F"/>
    <w:rsid w:val="6BE02E3B"/>
    <w:rsid w:val="6BF32B6E"/>
    <w:rsid w:val="6C07661A"/>
    <w:rsid w:val="6C1274B0"/>
    <w:rsid w:val="6C1400EF"/>
    <w:rsid w:val="6C172D01"/>
    <w:rsid w:val="6C1B3E73"/>
    <w:rsid w:val="6C3C2767"/>
    <w:rsid w:val="6C3D64DF"/>
    <w:rsid w:val="6C553829"/>
    <w:rsid w:val="6C615D2A"/>
    <w:rsid w:val="6C636C38"/>
    <w:rsid w:val="6C7F2654"/>
    <w:rsid w:val="6CC0652D"/>
    <w:rsid w:val="6CC13D7D"/>
    <w:rsid w:val="6CCB5899"/>
    <w:rsid w:val="6CCD2385"/>
    <w:rsid w:val="6CD24E7A"/>
    <w:rsid w:val="6CFE224C"/>
    <w:rsid w:val="6D036DE1"/>
    <w:rsid w:val="6D282CEC"/>
    <w:rsid w:val="6D323B6A"/>
    <w:rsid w:val="6D567859"/>
    <w:rsid w:val="6D7C6B93"/>
    <w:rsid w:val="6D842317"/>
    <w:rsid w:val="6DAC56CB"/>
    <w:rsid w:val="6DB34098"/>
    <w:rsid w:val="6DB545B6"/>
    <w:rsid w:val="6DB91B96"/>
    <w:rsid w:val="6DC20A4A"/>
    <w:rsid w:val="6DCD73EF"/>
    <w:rsid w:val="6DE02FB4"/>
    <w:rsid w:val="6E31797E"/>
    <w:rsid w:val="6E514CED"/>
    <w:rsid w:val="6E6715F2"/>
    <w:rsid w:val="6E6B7334"/>
    <w:rsid w:val="6E6B7E36"/>
    <w:rsid w:val="6EA06F95"/>
    <w:rsid w:val="6EA410D5"/>
    <w:rsid w:val="6EB563D5"/>
    <w:rsid w:val="6ED92677"/>
    <w:rsid w:val="6EFD2037"/>
    <w:rsid w:val="6EFE3D04"/>
    <w:rsid w:val="6F225983"/>
    <w:rsid w:val="6F2614AD"/>
    <w:rsid w:val="6F467459"/>
    <w:rsid w:val="6F5A2F04"/>
    <w:rsid w:val="6F9208F0"/>
    <w:rsid w:val="6F977CB5"/>
    <w:rsid w:val="6FE253D4"/>
    <w:rsid w:val="6FE50A20"/>
    <w:rsid w:val="6FFC5590"/>
    <w:rsid w:val="7002738A"/>
    <w:rsid w:val="70390D6C"/>
    <w:rsid w:val="7049276B"/>
    <w:rsid w:val="70545BA6"/>
    <w:rsid w:val="705D4A5A"/>
    <w:rsid w:val="706300FA"/>
    <w:rsid w:val="706D1DD0"/>
    <w:rsid w:val="70744007"/>
    <w:rsid w:val="70853FB1"/>
    <w:rsid w:val="70856B87"/>
    <w:rsid w:val="708E2E66"/>
    <w:rsid w:val="70910BA8"/>
    <w:rsid w:val="70952446"/>
    <w:rsid w:val="70A02B99"/>
    <w:rsid w:val="70AB6968"/>
    <w:rsid w:val="70D527EE"/>
    <w:rsid w:val="711E068D"/>
    <w:rsid w:val="71265794"/>
    <w:rsid w:val="714773A5"/>
    <w:rsid w:val="715B5300"/>
    <w:rsid w:val="716360A0"/>
    <w:rsid w:val="716F713B"/>
    <w:rsid w:val="71A14E1B"/>
    <w:rsid w:val="71BB2380"/>
    <w:rsid w:val="71CC633B"/>
    <w:rsid w:val="71D27F8A"/>
    <w:rsid w:val="71EF5B86"/>
    <w:rsid w:val="72021D5D"/>
    <w:rsid w:val="72141A90"/>
    <w:rsid w:val="723D3A8D"/>
    <w:rsid w:val="72553024"/>
    <w:rsid w:val="72663988"/>
    <w:rsid w:val="72695938"/>
    <w:rsid w:val="72710C91"/>
    <w:rsid w:val="727F142E"/>
    <w:rsid w:val="7295497F"/>
    <w:rsid w:val="72A03324"/>
    <w:rsid w:val="72CC236B"/>
    <w:rsid w:val="72DA6836"/>
    <w:rsid w:val="72DC75D4"/>
    <w:rsid w:val="72E5473A"/>
    <w:rsid w:val="72F62F44"/>
    <w:rsid w:val="730613D9"/>
    <w:rsid w:val="7306762B"/>
    <w:rsid w:val="73075151"/>
    <w:rsid w:val="73122968"/>
    <w:rsid w:val="7315427A"/>
    <w:rsid w:val="731C0BFD"/>
    <w:rsid w:val="731F5D5E"/>
    <w:rsid w:val="732E0930"/>
    <w:rsid w:val="73532840"/>
    <w:rsid w:val="73593BFF"/>
    <w:rsid w:val="738B5D82"/>
    <w:rsid w:val="739C3AEB"/>
    <w:rsid w:val="73C51AD5"/>
    <w:rsid w:val="73D239B1"/>
    <w:rsid w:val="73D43285"/>
    <w:rsid w:val="73D634A1"/>
    <w:rsid w:val="73E23410"/>
    <w:rsid w:val="73F970CB"/>
    <w:rsid w:val="741B5358"/>
    <w:rsid w:val="741E793C"/>
    <w:rsid w:val="74410621"/>
    <w:rsid w:val="74424693"/>
    <w:rsid w:val="74597C2E"/>
    <w:rsid w:val="745E3944"/>
    <w:rsid w:val="74671F71"/>
    <w:rsid w:val="74795BDB"/>
    <w:rsid w:val="747F7695"/>
    <w:rsid w:val="749B1FF5"/>
    <w:rsid w:val="74AB1CDC"/>
    <w:rsid w:val="74C96871"/>
    <w:rsid w:val="74F040EF"/>
    <w:rsid w:val="7507768A"/>
    <w:rsid w:val="75094BC3"/>
    <w:rsid w:val="751A73BE"/>
    <w:rsid w:val="751D0C5C"/>
    <w:rsid w:val="75273889"/>
    <w:rsid w:val="752C70F1"/>
    <w:rsid w:val="75410DEE"/>
    <w:rsid w:val="755328D0"/>
    <w:rsid w:val="7567511D"/>
    <w:rsid w:val="7591618F"/>
    <w:rsid w:val="75A849CA"/>
    <w:rsid w:val="75E55C1E"/>
    <w:rsid w:val="75EB0D5A"/>
    <w:rsid w:val="75EB1D9F"/>
    <w:rsid w:val="75F0586E"/>
    <w:rsid w:val="75FE0A8D"/>
    <w:rsid w:val="76046DCC"/>
    <w:rsid w:val="760D6F22"/>
    <w:rsid w:val="761B163F"/>
    <w:rsid w:val="76276370"/>
    <w:rsid w:val="76283D5C"/>
    <w:rsid w:val="76285B0A"/>
    <w:rsid w:val="7635099D"/>
    <w:rsid w:val="76752D25"/>
    <w:rsid w:val="76A35191"/>
    <w:rsid w:val="76C43A85"/>
    <w:rsid w:val="76C92E49"/>
    <w:rsid w:val="76CA4E14"/>
    <w:rsid w:val="76D528DE"/>
    <w:rsid w:val="76E9529A"/>
    <w:rsid w:val="77416E84"/>
    <w:rsid w:val="77762421"/>
    <w:rsid w:val="777F79AC"/>
    <w:rsid w:val="77AB0253"/>
    <w:rsid w:val="77AE0291"/>
    <w:rsid w:val="77B56B1F"/>
    <w:rsid w:val="77DC6BAC"/>
    <w:rsid w:val="78014865"/>
    <w:rsid w:val="780F09F4"/>
    <w:rsid w:val="784D1858"/>
    <w:rsid w:val="78864D0C"/>
    <w:rsid w:val="78A90480"/>
    <w:rsid w:val="78AE7E54"/>
    <w:rsid w:val="78D21D5D"/>
    <w:rsid w:val="78F10436"/>
    <w:rsid w:val="792E51E6"/>
    <w:rsid w:val="792F0F5E"/>
    <w:rsid w:val="79656685"/>
    <w:rsid w:val="796926C2"/>
    <w:rsid w:val="79865022"/>
    <w:rsid w:val="798E2128"/>
    <w:rsid w:val="799A0ACD"/>
    <w:rsid w:val="799E27B4"/>
    <w:rsid w:val="79B0209F"/>
    <w:rsid w:val="79C02882"/>
    <w:rsid w:val="79D0629D"/>
    <w:rsid w:val="79D51B05"/>
    <w:rsid w:val="79E45E91"/>
    <w:rsid w:val="79EB5F4E"/>
    <w:rsid w:val="79ED32F3"/>
    <w:rsid w:val="7A364017"/>
    <w:rsid w:val="7A755B4F"/>
    <w:rsid w:val="7A8265E1"/>
    <w:rsid w:val="7A8B6746"/>
    <w:rsid w:val="7AA03EC1"/>
    <w:rsid w:val="7AA931C2"/>
    <w:rsid w:val="7AB467E5"/>
    <w:rsid w:val="7ABC4A73"/>
    <w:rsid w:val="7AC92BC1"/>
    <w:rsid w:val="7ACA3634"/>
    <w:rsid w:val="7AD41DBD"/>
    <w:rsid w:val="7ADD5115"/>
    <w:rsid w:val="7B02676E"/>
    <w:rsid w:val="7B05466C"/>
    <w:rsid w:val="7B160627"/>
    <w:rsid w:val="7B4707E1"/>
    <w:rsid w:val="7B686D42"/>
    <w:rsid w:val="7B841746"/>
    <w:rsid w:val="7B8C08E9"/>
    <w:rsid w:val="7BA9149B"/>
    <w:rsid w:val="7BA93249"/>
    <w:rsid w:val="7BB57E40"/>
    <w:rsid w:val="7BC2255D"/>
    <w:rsid w:val="7BC2714F"/>
    <w:rsid w:val="7BD55DED"/>
    <w:rsid w:val="7C0B5CB2"/>
    <w:rsid w:val="7C0D37D8"/>
    <w:rsid w:val="7C10151B"/>
    <w:rsid w:val="7C244E23"/>
    <w:rsid w:val="7C6C5AC7"/>
    <w:rsid w:val="7C7E6484"/>
    <w:rsid w:val="7C8810B1"/>
    <w:rsid w:val="7C8F243F"/>
    <w:rsid w:val="7CC6544B"/>
    <w:rsid w:val="7CC661DD"/>
    <w:rsid w:val="7CCD01E4"/>
    <w:rsid w:val="7D0239FF"/>
    <w:rsid w:val="7D0732E7"/>
    <w:rsid w:val="7D0736E5"/>
    <w:rsid w:val="7D142945"/>
    <w:rsid w:val="7D1E237A"/>
    <w:rsid w:val="7D2421C9"/>
    <w:rsid w:val="7D3D1E9B"/>
    <w:rsid w:val="7D5E40CD"/>
    <w:rsid w:val="7D60202E"/>
    <w:rsid w:val="7D637428"/>
    <w:rsid w:val="7D6A07B6"/>
    <w:rsid w:val="7D731D61"/>
    <w:rsid w:val="7DBF7D4B"/>
    <w:rsid w:val="7DCD56F2"/>
    <w:rsid w:val="7DD56578"/>
    <w:rsid w:val="7DDB16B4"/>
    <w:rsid w:val="7E046E5D"/>
    <w:rsid w:val="7E1D27F0"/>
    <w:rsid w:val="7E1E7F1F"/>
    <w:rsid w:val="7E3037AE"/>
    <w:rsid w:val="7E33504C"/>
    <w:rsid w:val="7E4436FD"/>
    <w:rsid w:val="7E731854"/>
    <w:rsid w:val="7E834582"/>
    <w:rsid w:val="7E8E6727"/>
    <w:rsid w:val="7E9C7095"/>
    <w:rsid w:val="7EA07E52"/>
    <w:rsid w:val="7EF70770"/>
    <w:rsid w:val="7F001CE7"/>
    <w:rsid w:val="7F052E8D"/>
    <w:rsid w:val="7F08297D"/>
    <w:rsid w:val="7F0C421B"/>
    <w:rsid w:val="7F206E79"/>
    <w:rsid w:val="7F2F3A66"/>
    <w:rsid w:val="7F480FCB"/>
    <w:rsid w:val="7F7B314F"/>
    <w:rsid w:val="7F833DB1"/>
    <w:rsid w:val="7FBD6664"/>
    <w:rsid w:val="7FE47E50"/>
    <w:rsid w:val="7FEE3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qFormat/>
    <w:uiPriority w:val="9"/>
    <w:pPr>
      <w:keepNext/>
      <w:keepLines/>
      <w:spacing w:before="50" w:beforeLines="50" w:after="50" w:afterLines="50"/>
      <w:outlineLvl w:val="2"/>
    </w:pPr>
    <w:rPr>
      <w:b/>
      <w:bCs/>
      <w:sz w:val="28"/>
      <w:szCs w:val="28"/>
    </w:rPr>
  </w:style>
  <w:style w:type="paragraph" w:styleId="4">
    <w:name w:val="heading 4"/>
    <w:basedOn w:val="1"/>
    <w:next w:val="1"/>
    <w:qFormat/>
    <w:uiPriority w:val="0"/>
    <w:pPr>
      <w:keepNext/>
      <w:keepLines/>
      <w:spacing w:line="360" w:lineRule="auto"/>
      <w:jc w:val="left"/>
      <w:outlineLvl w:val="3"/>
    </w:pPr>
    <w:rPr>
      <w:b/>
      <w:szCs w:val="30"/>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65"/>
    <w:qFormat/>
    <w:uiPriority w:val="0"/>
    <w:pPr>
      <w:ind w:firstLine="420" w:firstLineChars="200"/>
    </w:pPr>
  </w:style>
  <w:style w:type="paragraph" w:styleId="6">
    <w:name w:val="annotation text"/>
    <w:basedOn w:val="1"/>
    <w:link w:val="37"/>
    <w:semiHidden/>
    <w:qFormat/>
    <w:uiPriority w:val="0"/>
    <w:pPr>
      <w:jc w:val="left"/>
    </w:pPr>
    <w:rPr>
      <w:kern w:val="0"/>
      <w:sz w:val="24"/>
      <w:szCs w:val="20"/>
    </w:rPr>
  </w:style>
  <w:style w:type="paragraph" w:styleId="7">
    <w:name w:val="Salutation"/>
    <w:basedOn w:val="1"/>
    <w:next w:val="1"/>
    <w:qFormat/>
    <w:uiPriority w:val="0"/>
    <w:pPr>
      <w:widowControl/>
      <w:jc w:val="left"/>
    </w:pPr>
    <w:rPr>
      <w:kern w:val="0"/>
      <w:sz w:val="24"/>
      <w:szCs w:val="20"/>
    </w:rPr>
  </w:style>
  <w:style w:type="paragraph" w:styleId="8">
    <w:name w:val="Body Text"/>
    <w:basedOn w:val="1"/>
    <w:next w:val="1"/>
    <w:link w:val="38"/>
    <w:qFormat/>
    <w:uiPriority w:val="0"/>
    <w:pPr>
      <w:widowControl/>
      <w:snapToGrid w:val="0"/>
      <w:spacing w:before="60" w:after="160" w:line="259" w:lineRule="auto"/>
      <w:ind w:right="113"/>
    </w:pPr>
    <w:rPr>
      <w:kern w:val="0"/>
      <w:sz w:val="18"/>
      <w:szCs w:val="20"/>
    </w:rPr>
  </w:style>
  <w:style w:type="paragraph" w:styleId="9">
    <w:name w:val="Body Text Indent"/>
    <w:basedOn w:val="1"/>
    <w:link w:val="39"/>
    <w:qFormat/>
    <w:uiPriority w:val="0"/>
    <w:pPr>
      <w:spacing w:after="120"/>
      <w:ind w:left="420" w:leftChars="200"/>
    </w:pPr>
    <w:rPr>
      <w:kern w:val="0"/>
      <w:sz w:val="24"/>
      <w:szCs w:val="20"/>
    </w:rPr>
  </w:style>
  <w:style w:type="paragraph" w:styleId="10">
    <w:name w:val="toc 3"/>
    <w:basedOn w:val="1"/>
    <w:next w:val="1"/>
    <w:autoRedefine/>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11">
    <w:name w:val="Plain Text"/>
    <w:basedOn w:val="1"/>
    <w:next w:val="7"/>
    <w:unhideWhenUsed/>
    <w:qFormat/>
    <w:uiPriority w:val="99"/>
    <w:rPr>
      <w:rFonts w:hAnsi="Courier New"/>
    </w:rPr>
  </w:style>
  <w:style w:type="paragraph" w:styleId="12">
    <w:name w:val="Date"/>
    <w:basedOn w:val="1"/>
    <w:next w:val="1"/>
    <w:link w:val="40"/>
    <w:qFormat/>
    <w:uiPriority w:val="0"/>
    <w:pPr>
      <w:ind w:left="100" w:leftChars="2500"/>
    </w:pPr>
    <w:rPr>
      <w:kern w:val="0"/>
      <w:sz w:val="24"/>
      <w:szCs w:val="20"/>
    </w:rPr>
  </w:style>
  <w:style w:type="paragraph" w:styleId="13">
    <w:name w:val="Balloon Text"/>
    <w:basedOn w:val="1"/>
    <w:link w:val="41"/>
    <w:semiHidden/>
    <w:qFormat/>
    <w:uiPriority w:val="0"/>
    <w:rPr>
      <w:kern w:val="0"/>
      <w:sz w:val="18"/>
      <w:szCs w:val="20"/>
    </w:rPr>
  </w:style>
  <w:style w:type="paragraph" w:styleId="14">
    <w:name w:val="footer"/>
    <w:basedOn w:val="1"/>
    <w:link w:val="42"/>
    <w:qFormat/>
    <w:uiPriority w:val="99"/>
    <w:pPr>
      <w:tabs>
        <w:tab w:val="center" w:pos="4153"/>
        <w:tab w:val="right" w:pos="8306"/>
      </w:tabs>
      <w:snapToGrid w:val="0"/>
      <w:jc w:val="left"/>
    </w:pPr>
    <w:rPr>
      <w:kern w:val="0"/>
      <w:sz w:val="18"/>
      <w:szCs w:val="20"/>
    </w:rPr>
  </w:style>
  <w:style w:type="paragraph" w:styleId="15">
    <w:name w:val="header"/>
    <w:basedOn w:val="1"/>
    <w:next w:val="1"/>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qFormat/>
    <w:uiPriority w:val="39"/>
    <w:pPr>
      <w:spacing w:line="240" w:lineRule="exact"/>
      <w:jc w:val="center"/>
    </w:pPr>
    <w:rPr>
      <w:kern w:val="0"/>
      <w:sz w:val="18"/>
      <w:szCs w:val="18"/>
    </w:rPr>
  </w:style>
  <w:style w:type="paragraph" w:styleId="17">
    <w:name w:val="toc 2"/>
    <w:basedOn w:val="1"/>
    <w:next w:val="1"/>
    <w:autoRedefine/>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paragraph" w:styleId="18">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6"/>
    <w:next w:val="6"/>
    <w:link w:val="45"/>
    <w:semiHidden/>
    <w:qFormat/>
    <w:uiPriority w:val="0"/>
    <w:rPr>
      <w:b/>
    </w:rPr>
  </w:style>
  <w:style w:type="paragraph" w:styleId="20">
    <w:name w:val="Body Text First Indent"/>
    <w:basedOn w:val="8"/>
    <w:next w:val="1"/>
    <w:qFormat/>
    <w:uiPriority w:val="0"/>
    <w:pPr>
      <w:ind w:firstLine="420" w:firstLineChars="100"/>
    </w:pPr>
  </w:style>
  <w:style w:type="paragraph" w:styleId="21">
    <w:name w:val="Body Text First Indent 2"/>
    <w:basedOn w:val="1"/>
    <w:next w:val="20"/>
    <w:qFormat/>
    <w:uiPriority w:val="0"/>
    <w:pPr>
      <w:jc w:val="center"/>
    </w:pPr>
    <w:rPr>
      <w:b/>
      <w:bCs/>
      <w:sz w:val="24"/>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qFormat/>
    <w:uiPriority w:val="0"/>
  </w:style>
  <w:style w:type="character" w:styleId="27">
    <w:name w:val="Hyperlink"/>
    <w:basedOn w:val="24"/>
    <w:qFormat/>
    <w:uiPriority w:val="99"/>
    <w:rPr>
      <w:color w:val="0000FF"/>
      <w:u w:val="single"/>
    </w:rPr>
  </w:style>
  <w:style w:type="character" w:styleId="28">
    <w:name w:val="annotation reference"/>
    <w:semiHidden/>
    <w:qFormat/>
    <w:uiPriority w:val="0"/>
    <w:rPr>
      <w:sz w:val="21"/>
    </w:rPr>
  </w:style>
  <w:style w:type="paragraph" w:customStyle="1" w:styleId="29">
    <w:name w:val="图表标题"/>
    <w:basedOn w:val="30"/>
    <w:next w:val="1"/>
    <w:qFormat/>
    <w:uiPriority w:val="0"/>
    <w:pPr>
      <w:outlineLvl w:val="4"/>
    </w:pPr>
    <w:rPr>
      <w:rFonts w:hint="eastAsia"/>
      <w:b/>
      <w:bCs/>
      <w:szCs w:val="21"/>
    </w:rPr>
  </w:style>
  <w:style w:type="paragraph" w:customStyle="1" w:styleId="30">
    <w:name w:val="表格正文"/>
    <w:basedOn w:val="1"/>
    <w:qFormat/>
    <w:uiPriority w:val="0"/>
    <w:pPr>
      <w:jc w:val="center"/>
    </w:pPr>
  </w:style>
  <w:style w:type="paragraph" w:customStyle="1" w:styleId="31">
    <w:name w:val="表格"/>
    <w:basedOn w:val="5"/>
    <w:next w:val="1"/>
    <w:link w:val="35"/>
    <w:qFormat/>
    <w:uiPriority w:val="0"/>
    <w:pPr>
      <w:adjustRightInd w:val="0"/>
      <w:snapToGrid w:val="0"/>
      <w:ind w:firstLine="0" w:firstLineChars="0"/>
      <w:jc w:val="center"/>
    </w:pPr>
    <w:rPr>
      <w:kern w:val="0"/>
      <w:szCs w:val="21"/>
    </w:rPr>
  </w:style>
  <w:style w:type="paragraph" w:customStyle="1" w:styleId="32">
    <w:name w:val="表格内容"/>
    <w:basedOn w:val="4"/>
    <w:next w:val="4"/>
    <w:qFormat/>
    <w:uiPriority w:val="1"/>
    <w:pPr>
      <w:tabs>
        <w:tab w:val="left" w:pos="737"/>
      </w:tabs>
      <w:spacing w:line="240" w:lineRule="auto"/>
      <w:jc w:val="center"/>
      <w:outlineLvl w:val="9"/>
    </w:pPr>
    <w:rPr>
      <w:rFonts w:hint="eastAsia" w:eastAsia="仿宋"/>
      <w:b w:val="0"/>
      <w:bCs/>
      <w:iCs/>
      <w:color w:val="000000"/>
      <w:szCs w:val="28"/>
    </w:rPr>
  </w:style>
  <w:style w:type="character" w:customStyle="1" w:styleId="33">
    <w:name w:val="NormalCharacter"/>
    <w:qFormat/>
    <w:uiPriority w:val="0"/>
  </w:style>
  <w:style w:type="paragraph" w:customStyle="1" w:styleId="34">
    <w:name w:val="WPSOffice手动目录 1"/>
    <w:qFormat/>
    <w:uiPriority w:val="0"/>
    <w:rPr>
      <w:rFonts w:ascii="Times New Roman" w:hAnsi="Times New Roman" w:eastAsia="宋体" w:cs="Times New Roman"/>
      <w:lang w:val="en-US" w:eastAsia="zh-CN" w:bidi="ar-SA"/>
    </w:rPr>
  </w:style>
  <w:style w:type="character" w:customStyle="1" w:styleId="35">
    <w:name w:val="表格 Char"/>
    <w:link w:val="31"/>
    <w:qFormat/>
    <w:uiPriority w:val="0"/>
    <w:rPr>
      <w:rFonts w:ascii="Times New Roman" w:hAnsi="Times New Roman" w:eastAsia="宋体"/>
      <w:sz w:val="21"/>
      <w:szCs w:val="21"/>
    </w:rPr>
  </w:style>
  <w:style w:type="paragraph" w:customStyle="1" w:styleId="36">
    <w:name w:val="正文1.1"/>
    <w:basedOn w:val="1"/>
    <w:qFormat/>
    <w:uiPriority w:val="0"/>
    <w:pPr>
      <w:spacing w:line="360" w:lineRule="auto"/>
      <w:ind w:firstLine="484" w:firstLineChars="200"/>
    </w:pPr>
    <w:rPr>
      <w:rFonts w:cs="宋体"/>
      <w:spacing w:val="1"/>
      <w:sz w:val="24"/>
      <w:lang w:eastAsia="en-US"/>
    </w:rPr>
  </w:style>
  <w:style w:type="character" w:customStyle="1" w:styleId="37">
    <w:name w:val="批注文字 字符"/>
    <w:link w:val="6"/>
    <w:qFormat/>
    <w:uiPriority w:val="0"/>
    <w:rPr>
      <w:rFonts w:ascii="Times New Roman" w:hAnsi="Times New Roman" w:eastAsia="宋体"/>
      <w:sz w:val="24"/>
    </w:rPr>
  </w:style>
  <w:style w:type="character" w:customStyle="1" w:styleId="38">
    <w:name w:val="正文文本 字符"/>
    <w:link w:val="8"/>
    <w:qFormat/>
    <w:uiPriority w:val="0"/>
    <w:rPr>
      <w:sz w:val="18"/>
    </w:rPr>
  </w:style>
  <w:style w:type="character" w:customStyle="1" w:styleId="39">
    <w:name w:val="正文文本缩进 字符"/>
    <w:link w:val="9"/>
    <w:semiHidden/>
    <w:qFormat/>
    <w:uiPriority w:val="0"/>
    <w:rPr>
      <w:rFonts w:ascii="Times New Roman" w:hAnsi="Times New Roman" w:eastAsia="宋体"/>
      <w:sz w:val="24"/>
    </w:rPr>
  </w:style>
  <w:style w:type="character" w:customStyle="1" w:styleId="40">
    <w:name w:val="日期 字符1"/>
    <w:link w:val="12"/>
    <w:qFormat/>
    <w:uiPriority w:val="0"/>
    <w:rPr>
      <w:rFonts w:ascii="Times New Roman" w:hAnsi="Times New Roman" w:eastAsia="宋体"/>
      <w:sz w:val="24"/>
    </w:rPr>
  </w:style>
  <w:style w:type="character" w:customStyle="1" w:styleId="41">
    <w:name w:val="批注框文本 字符"/>
    <w:link w:val="13"/>
    <w:semiHidden/>
    <w:qFormat/>
    <w:uiPriority w:val="0"/>
    <w:rPr>
      <w:rFonts w:ascii="Times New Roman" w:hAnsi="Times New Roman" w:eastAsia="宋体"/>
      <w:sz w:val="18"/>
    </w:rPr>
  </w:style>
  <w:style w:type="character" w:customStyle="1" w:styleId="42">
    <w:name w:val="页脚 字符1"/>
    <w:link w:val="14"/>
    <w:qFormat/>
    <w:uiPriority w:val="99"/>
    <w:rPr>
      <w:sz w:val="18"/>
    </w:rPr>
  </w:style>
  <w:style w:type="character" w:customStyle="1" w:styleId="43">
    <w:name w:val="页眉 字符"/>
    <w:link w:val="15"/>
    <w:qFormat/>
    <w:uiPriority w:val="0"/>
    <w:rPr>
      <w:sz w:val="18"/>
    </w:rPr>
  </w:style>
  <w:style w:type="character" w:customStyle="1" w:styleId="44">
    <w:name w:val="普通(网站) 字符"/>
    <w:link w:val="18"/>
    <w:qFormat/>
    <w:uiPriority w:val="0"/>
    <w:rPr>
      <w:rFonts w:ascii="宋体" w:hAnsi="宋体" w:eastAsia="宋体"/>
      <w:sz w:val="24"/>
    </w:rPr>
  </w:style>
  <w:style w:type="character" w:customStyle="1" w:styleId="45">
    <w:name w:val="批注主题 字符"/>
    <w:link w:val="19"/>
    <w:semiHidden/>
    <w:qFormat/>
    <w:uiPriority w:val="0"/>
    <w:rPr>
      <w:rFonts w:ascii="Times New Roman" w:hAnsi="Times New Roman" w:eastAsia="宋体"/>
      <w:b/>
      <w:kern w:val="2"/>
      <w:sz w:val="24"/>
    </w:rPr>
  </w:style>
  <w:style w:type="character" w:customStyle="1" w:styleId="46">
    <w:name w:val="页脚 字符"/>
    <w:qFormat/>
    <w:uiPriority w:val="99"/>
  </w:style>
  <w:style w:type="character" w:customStyle="1" w:styleId="47">
    <w:name w:val="正文文本 字符1"/>
    <w:semiHidden/>
    <w:qFormat/>
    <w:uiPriority w:val="0"/>
    <w:rPr>
      <w:rFonts w:ascii="Times New Roman" w:hAnsi="Times New Roman" w:eastAsia="宋体"/>
      <w:sz w:val="24"/>
    </w:rPr>
  </w:style>
  <w:style w:type="character" w:customStyle="1" w:styleId="48">
    <w:name w:val="日期 字符"/>
    <w:semiHidden/>
    <w:qFormat/>
    <w:uiPriority w:val="0"/>
    <w:rPr>
      <w:rFonts w:ascii="Times New Roman" w:hAnsi="Times New Roman" w:eastAsia="宋体"/>
      <w:sz w:val="24"/>
    </w:rPr>
  </w:style>
  <w:style w:type="character" w:customStyle="1" w:styleId="49">
    <w:name w:val="批注文字 字符1"/>
    <w:semiHidden/>
    <w:qFormat/>
    <w:uiPriority w:val="0"/>
    <w:rPr>
      <w:rFonts w:ascii="Times New Roman" w:hAnsi="Times New Roman" w:eastAsia="宋体"/>
      <w:sz w:val="24"/>
    </w:rPr>
  </w:style>
  <w:style w:type="paragraph" w:customStyle="1" w:styleId="5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2">
    <w:name w:val="Table Text"/>
    <w:basedOn w:val="1"/>
    <w:semiHidden/>
    <w:qFormat/>
    <w:uiPriority w:val="0"/>
    <w:rPr>
      <w:rFonts w:ascii="宋体" w:hAnsi="宋体" w:cs="宋体"/>
      <w:sz w:val="24"/>
      <w:lang w:eastAsia="en-US"/>
    </w:rPr>
  </w:style>
  <w:style w:type="table" w:customStyle="1" w:styleId="53">
    <w:name w:val="Table Normal"/>
    <w:unhideWhenUsed/>
    <w:qFormat/>
    <w:uiPriority w:val="0"/>
    <w:tblPr>
      <w:tblCellMar>
        <w:top w:w="0" w:type="dxa"/>
        <w:left w:w="0" w:type="dxa"/>
        <w:bottom w:w="0" w:type="dxa"/>
        <w:right w:w="0" w:type="dxa"/>
      </w:tblCellMar>
    </w:tblPr>
  </w:style>
  <w:style w:type="character" w:customStyle="1" w:styleId="54">
    <w:name w:val="font11"/>
    <w:qFormat/>
    <w:uiPriority w:val="0"/>
    <w:rPr>
      <w:rFonts w:hint="eastAsia" w:ascii="宋体" w:hAnsi="宋体" w:eastAsia="宋体" w:cs="宋体"/>
      <w:color w:val="000000"/>
      <w:sz w:val="20"/>
      <w:szCs w:val="20"/>
      <w:u w:val="none"/>
    </w:rPr>
  </w:style>
  <w:style w:type="character" w:customStyle="1" w:styleId="55">
    <w:name w:val="font21"/>
    <w:qFormat/>
    <w:uiPriority w:val="0"/>
    <w:rPr>
      <w:rFonts w:hint="default" w:ascii="Times New Roman" w:hAnsi="Times New Roman" w:cs="Times New Roman"/>
      <w:color w:val="000000"/>
      <w:sz w:val="20"/>
      <w:szCs w:val="20"/>
      <w:u w:val="none"/>
    </w:rPr>
  </w:style>
  <w:style w:type="character" w:customStyle="1" w:styleId="56">
    <w:name w:val="font31"/>
    <w:qFormat/>
    <w:uiPriority w:val="0"/>
    <w:rPr>
      <w:rFonts w:hint="default" w:ascii="Times New Roman" w:hAnsi="Times New Roman" w:cs="Times New Roman"/>
      <w:color w:val="000000"/>
      <w:sz w:val="13"/>
      <w:szCs w:val="13"/>
      <w:u w:val="none"/>
    </w:rPr>
  </w:style>
  <w:style w:type="character" w:customStyle="1" w:styleId="57">
    <w:name w:val="font41"/>
    <w:qFormat/>
    <w:uiPriority w:val="0"/>
    <w:rPr>
      <w:rFonts w:hint="default" w:ascii="Times New Roman" w:hAnsi="Times New Roman" w:cs="Times New Roman"/>
      <w:color w:val="000000"/>
      <w:sz w:val="13"/>
      <w:szCs w:val="13"/>
      <w:u w:val="none"/>
    </w:rPr>
  </w:style>
  <w:style w:type="character" w:customStyle="1" w:styleId="58">
    <w:name w:val="font51"/>
    <w:qFormat/>
    <w:uiPriority w:val="0"/>
    <w:rPr>
      <w:rFonts w:ascii="宋体" w:hAnsi="宋体" w:eastAsia="宋体" w:cs="宋体"/>
      <w:color w:val="000000"/>
      <w:sz w:val="22"/>
      <w:szCs w:val="22"/>
      <w:u w:val="none"/>
    </w:rPr>
  </w:style>
  <w:style w:type="character" w:customStyle="1" w:styleId="59">
    <w:name w:val="font61"/>
    <w:qFormat/>
    <w:uiPriority w:val="0"/>
    <w:rPr>
      <w:rFonts w:ascii="宋体" w:hAnsi="宋体" w:eastAsia="宋体" w:cs="宋体"/>
      <w:color w:val="000000"/>
      <w:sz w:val="20"/>
      <w:szCs w:val="20"/>
      <w:u w:val="none"/>
    </w:rPr>
  </w:style>
  <w:style w:type="paragraph" w:customStyle="1" w:styleId="60">
    <w:name w:val="样式 样式 样式 小四 首行缩进:  2.25 字符 + 首行缩进:  2.25 字符 + 首行缩进:  2 字符"/>
    <w:qFormat/>
    <w:uiPriority w:val="0"/>
    <w:pPr>
      <w:widowControl w:val="0"/>
      <w:spacing w:line="440" w:lineRule="exact"/>
      <w:ind w:firstLine="200"/>
      <w:jc w:val="both"/>
    </w:pPr>
    <w:rPr>
      <w:rFonts w:ascii="Calibri" w:hAnsi="Calibri" w:eastAsia="Calibri" w:cs="Times New Roman"/>
      <w:kern w:val="2"/>
      <w:sz w:val="21"/>
      <w:lang w:val="en-US" w:eastAsia="zh-CN" w:bidi="ar-SA"/>
    </w:rPr>
  </w:style>
  <w:style w:type="character" w:customStyle="1" w:styleId="61">
    <w:name w:val="font71"/>
    <w:basedOn w:val="24"/>
    <w:qFormat/>
    <w:uiPriority w:val="0"/>
    <w:rPr>
      <w:rFonts w:hint="default" w:ascii="Times New Roman" w:hAnsi="Times New Roman" w:cs="Times New Roman"/>
      <w:color w:val="0000FF"/>
      <w:sz w:val="21"/>
      <w:szCs w:val="21"/>
      <w:u w:val="none"/>
    </w:rPr>
  </w:style>
  <w:style w:type="paragraph" w:customStyle="1" w:styleId="62">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3">
    <w:name w:val="font81"/>
    <w:basedOn w:val="24"/>
    <w:qFormat/>
    <w:uiPriority w:val="0"/>
    <w:rPr>
      <w:rFonts w:hint="eastAsia" w:ascii="微软雅黑" w:hAnsi="微软雅黑" w:eastAsia="微软雅黑" w:cs="微软雅黑"/>
      <w:color w:val="FF0000"/>
      <w:sz w:val="20"/>
      <w:szCs w:val="20"/>
      <w:u w:val="none"/>
    </w:rPr>
  </w:style>
  <w:style w:type="paragraph" w:customStyle="1" w:styleId="64">
    <w:name w:val="样式 小四 行距: 1.5 倍行距4"/>
    <w:basedOn w:val="1"/>
    <w:autoRedefine/>
    <w:qFormat/>
    <w:uiPriority w:val="0"/>
    <w:pPr>
      <w:adjustRightInd w:val="0"/>
      <w:snapToGrid w:val="0"/>
      <w:ind w:firstLine="200" w:firstLineChars="200"/>
    </w:pPr>
    <w:rPr>
      <w:rFonts w:ascii="宋体" w:cs="宋体"/>
      <w:sz w:val="24"/>
    </w:rPr>
  </w:style>
  <w:style w:type="character" w:customStyle="1" w:styleId="65">
    <w:name w:val="正文缩进 字符"/>
    <w:link w:val="5"/>
    <w:qFormat/>
    <w:locked/>
    <w:uiPriority w:val="0"/>
    <w:rPr>
      <w:kern w:val="2"/>
      <w:sz w:val="21"/>
      <w:szCs w:val="24"/>
    </w:rPr>
  </w:style>
  <w:style w:type="paragraph" w:customStyle="1" w:styleId="66">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7">
    <w:name w:val="TOC Heading"/>
    <w:basedOn w:val="2"/>
    <w:next w:val="1"/>
    <w:unhideWhenUsed/>
    <w:qFormat/>
    <w:uiPriority w:val="39"/>
    <w:pPr>
      <w:keepLines/>
      <w:widowControl/>
      <w:overflowPunct/>
      <w:snapToGrid/>
      <w:spacing w:before="240" w:after="0"/>
      <w:ind w:left="0" w:firstLine="0"/>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comments" Target="comments.xml"/><Relationship Id="rId29" Type="http://schemas.openxmlformats.org/officeDocument/2006/relationships/customXml" Target="../customXml/item1.xml"/><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"/>
    </extobj>
    <extobj name="ECB019B1-382A-4266-B25C-5B523AA43C14-2">
      <extobjdata type="ECB019B1-382A-4266-B25C-5B523AA43C14" data="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"/>
    </extobj>
    <extobj name="ECB019B1-382A-4266-B25C-5B523AA43C14-3">
      <extobjdata type="ECB019B1-382A-4266-B25C-5B523AA43C14" data="ewoJIkZpbGVJZCIgOiAiNDM1MTMyOTI5Njg5IiwKCSJHcm91cElkIiA6ICI3OTY1NDIyMTYiLAoJIkltYWdlIiA6ICJpVkJPUncwS0dnb0FBQUFOU1VoRVVnQUFCTHNBQUFXRENBWUFBQUEzV0RhUEFBQUFBWE5TUjBJQXJzNGM2UUFBSUFCSlJFRlVlSnpzM1hsOEZkWDkvL0gzWitabWhSQ0NnQWlvaUd4R1NPN2NLR0xkVUtpdGU2dlVwYmJ1SW1yVnF2U0xkVVhydDkrNjFIMUJYT3JXYXYycHJVdmRkK3ZlM0JzQ29sUVVWRVQyZlF2Y08rZjNCMG5NQ2dGQ2JoSmV6OGREelp5WmMrWnpnc2JrblRObkp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aGl2d0ZKWStYVFp3VHVQd0FBQUFCSlJVNUVya0pnZ2c9PSIsCgkiVGhlbWUiIDogIiIsCgkiVHlwZSIgOiAiZmxvdyIsCgkiVXNlcklkIiA6ICI3MjE3Njg2NTciLAoJIlZlcnNpb24iIDogIjEwOCIKfQo="/>
    </extobj>
    <extobj name="ECB019B1-382A-4266-B25C-5B523AA43C14-4">
      <extobjdata type="ECB019B1-382A-4266-B25C-5B523AA43C14" data="ewoJIkZpbGVJZCIgOiAiNDM1MTI0NTQ4OTc3IiwKCSJHcm91cElkIiA6ICI3OTY1NDIyMTYiLAoJIkltYWdlIiA6ICJpVkJPUncwS0dnb0FBQUFOU1VoRVVnQUFBandBQUFJOUNBWUFBQUErVTZJL0FBQUFBWE5TUjBJQXJzNGM2UUFBSUFCSlJFRlVlSnpzM1hsOEZPWDlCL0RQZDJhejJVQVNJRUpCUlkwMktLWVFkaVphRkF2ZW5LMW50UllWckdncmF0V0NWbFM4MEZwYkQxU3NyVmJGYWxHeC9qeVFncWhWVk9vQlpDY0pJWEtFbzRyY1FneUJYTHZ6L2YyUjNiZ0pDUVJ5TEJrLzc5ZUxGN3ZQekRQem5ZaTduOHc4OHd4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FlyL3c4aXZCQzBVQ2R3M0FBQUFBQkpSVTVFcmtKZ2dnPT0iLAoJIlRoZW1lIiA6ICIiLAoJIlR5cGUiIDogImZsb3ciLAoJIlVzZXJJZCIgOiAiNzIxNzY4NjU3IiwKCSJWZXJzaW9uIiA6ICIxNiIKfQo="/>
    </extobj>
    <extobj name="ECB019B1-382A-4266-B25C-5B523AA43C14-5">
      <extobjdata type="ECB019B1-382A-4266-B25C-5B523AA43C14" data="ewoJIkZpbGVJZCIgOiAiNDU2ODExMTYwNzg2IiwKCSJHcm91cElkIiA6ICI3OTY1NDIyMTYiLAoJIkltYWdlIiA6ICJpVkJPUncwS0dnb0FBQUFOU1VoRVVnQUFCUWNBQUFOUUNBWUFBQUNWWnRsREFBQUFBWE5TUjBJQXJzNGM2UUFBSUFCSlJFRlVlSnpzM1hsOFZOWDVQL0RQYys5TVpnaEpDSWlBRURGaVpCbVN5ZHdaRmJkYTNJclcxcjIyNG9aYjBmN0V0VnBiNjE2TFdHMVJxNEJhVkZvcnVOY1ZyWDdWdWl1Wm1TUXdBa2FNR0JBSVlTZmJ6TnpuOTBkbTRpUmttYkNGd09mOWV2RXk5OXo3blBQY0NZUEpNK2ZjQXh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GFxL3crbWxmR21wK3VlSkFBQUFBQkpSVTVFcmtKZ2dnPT0iLAoJIlRoZW1lIiA6ICIiLAoJIlR5cGUiIDogImZsb3ciLAoJIlVzZXJJZCIgOiAiNzIxNzY4NjU3IiwKCSJWZXJzaW9uIiA6ICI3MC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5e148962-a8a4-4698-9daf-3553ef295ca1</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55882757</paraID>
      <start>16</start>
      <end>19</end>
      <status>ignored</status>
      <modifiedWord/>
      <trackRevisions>false</trackRevisions>
    </reviewItem>
    <reviewItem>
      <errorID>14300f5e-9b36-4474-92e4-53d3958ab17c</errorID>
      <errorWord>屠宰厂</errorWord>
      <group>L1_Word</group>
      <groupName>字词问题</groupName>
      <ability>L2_Typo</ability>
      <abilityName>字词错误</abilityName>
      <candidateList>
        <item>屠宰场</item>
      </candidateList>
      <explain/>
      <paraID>7723BACA</paraID>
      <start>111</start>
      <end>114</end>
      <status>unmodified</status>
      <modifiedWord/>
      <trackRevisions>false</trackRevisions>
    </reviewItem>
    <reviewItem>
      <errorID>158d41c2-1f6d-4845-9d90-e3c90c5edaef</errorID>
      <errorWord>寻环</errorWord>
      <group>L1_Word</group>
      <groupName>字词问题</groupName>
      <ability>L2_Typo</ability>
      <abilityName>字词错误</abilityName>
      <candidateList>
        <item>循环</item>
      </candidateList>
      <explain>〈动〉事物周而复始地运动或变化：～往复｜血液～｜～小数。</explain>
      <paraID>43CD3B51</paraID>
      <start>0</start>
      <end>2</end>
      <status>unmodified</status>
      <modifiedWord/>
      <trackRevisions>false</trackRevisions>
    </reviewItem>
    <reviewItem>
      <errorID>da8dc9e9-d0f9-410d-9776-a844fb974bf1</errorID>
      <errorWord>上述等</errorWord>
      <group>L1_Word</group>
      <groupName>字词问题</groupName>
      <ability>L2_Typo</ability>
      <abilityName>字词错误</abilityName>
      <candidateList>
        <item>上述</item>
      </candidateList>
      <explain>〈形〉属性词。上面所说的：～各条，望切实执行。</explain>
      <paraID>5316FCF5</paraID>
      <start>126</start>
      <end>129</end>
      <status>unmodified</status>
      <modifiedWord/>
      <trackRevisions>false</trackRevisions>
    </reviewItem>
    <reviewItem>
      <errorID>5c3ef635-4309-4bb6-9fda-ebd27eb73b23</errorID>
      <errorWord>降低</errorWord>
      <group>L1_Grammar</group>
      <groupName>语法问题</groupName>
      <ability>L2_Grammar</ability>
      <abilityName>语法错误</abilityName>
      <candidateList>
        <item>防止</item>
      </candidateList>
      <explain>“降低～发生”搭配不当，建议修改为“防止～发生”。</explain>
      <paraID>61E872A7</paraID>
      <start>39</start>
      <end>41</end>
      <status>unmodified</status>
      <modifiedWord/>
      <trackRevisions>false</trackRevisions>
    </reviewItem>
    <reviewItem>
      <errorID>89c7d3bd-8d6a-4508-95cc-a9b3e7972ac7</errorID>
      <errorWord>降低</errorWord>
      <group>L1_Grammar</group>
      <groupName>语法问题</groupName>
      <ability>L2_Grammar</ability>
      <abilityName>语法错误</abilityName>
      <candidateList>
        <item>防止</item>
      </candidateList>
      <explain>“降低～发生”搭配不当，建议修改为“防止～发生”。</explain>
      <paraID>30218A76</paraID>
      <start>5</start>
      <end>7</end>
      <status>unmodified</status>
      <modifiedWord/>
      <trackRevisions>false</trackRevisions>
    </reviewItem>
    <reviewItem>
      <errorID>a98df62b-2eae-426f-b31e-6554957511a1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76F9D84E</paraID>
      <start>60</start>
      <end>61</end>
      <status>unmodified</status>
      <modifiedWord/>
      <trackRevisions>false</trackRevisions>
    </reviewItem>
    <reviewItem>
      <errorID>c0f7804f-6498-41f2-b6bb-775868170170</errorID>
      <errorWord>度</errorWord>
      <group>L1_Word</group>
      <groupName>字词问题</groupName>
      <ability>L2_Typo</ability>
      <abilityName>字词错误</abilityName>
      <candidateList>
        <item>度地</item>
      </candidateList>
      <explain/>
      <paraID>445A9884</paraID>
      <start>118</start>
      <end>119</end>
      <status>unmodified</status>
      <modifiedWord/>
      <trackRevisions>false</trackRevisions>
    </reviewItem>
    <reviewItem>
      <errorID>385c9b97-6338-412e-8494-b89de06cc606</errorID>
      <errorWord>润滑油类</errorWord>
      <group>L1_Word</group>
      <groupName>字词问题</groupName>
      <ability>L2_Typo</ability>
      <abilityName>字词错误</abilityName>
      <candidateList>
        <item>润滑油</item>
      </candidateList>
      <explain/>
      <paraID>2E07E4B9</paraID>
      <start>62</start>
      <end>66</end>
      <status>unmodified</status>
      <modifiedWord/>
      <trackRevisions>false</trackRevisions>
    </reviewItem>
    <reviewItem>
      <errorID>8c73e471-6876-41fd-b0e3-ce923cf4987a</errorID>
      <errorWord>粉红色泡沫痰</errorWord>
      <group>L1_Knowledge</group>
      <groupName>知识性问题</groupName>
      <ability>L2_Term</ability>
      <abilityName>专业术语</abilityName>
      <candidateList>
        <item>粉红色泡沫样痰</item>
      </candidateList>
      <explain>医学名词[粉红色泡沫痰]为不规范表述或旧称，其规范书面表述为[粉红色泡沫样痰]。</explain>
      <paraID>452F5830</paraID>
      <start>99</start>
      <end>105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F4A823-B136-4173-9E2B-80767826F9C7}">
  <ds:schemaRefs/>
</ds:datastoreItem>
</file>

<file path=customXml/itemProps3.xml><?xml version="1.0" encoding="utf-8"?>
<ds:datastoreItem xmlns:ds="http://schemas.openxmlformats.org/officeDocument/2006/customXml" ds:itemID="{1c115c48-40d7-482e-a1f1-6504405f2b2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76</Pages>
  <Words>45843</Words>
  <Characters>51674</Characters>
  <Lines>3002</Lines>
  <Paragraphs>2841</Paragraphs>
  <TotalTime>8</TotalTime>
  <ScaleCrop>false</ScaleCrop>
  <LinksUpToDate>false</LinksUpToDate>
  <CharactersWithSpaces>51927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马竹芬</cp:lastModifiedBy>
  <cp:lastPrinted>2020-12-29T10:43:00Z</cp:lastPrinted>
  <dcterms:modified xsi:type="dcterms:W3CDTF">2026-04-28T01:06:27Z</dcterms:modified>
  <dc:title>附件2</dc:title>
  <cp:revision>6449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F38DBABD6B7D4BFF875FDACD16C380BE_13</vt:lpwstr>
  </property>
  <property fmtid="{D5CDD505-2E9C-101B-9397-08002B2CF9AE}" pid="4" name="KSOTemplateDocerSaveRecord">
    <vt:lpwstr>eyJoZGlkIjoiOTc5MzZiOTVlYzA1Y2QxZjJhNzRkYjUxYWVhZGEwN2UiLCJ1c2VySWQiOiIxNzQ3Nzk0OTE3In0=</vt:lpwstr>
  </property>
</Properties>
</file>