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emf" ContentType="image/x-emf"/>
  <Default Extension="jpeg" ContentType="image/jpeg"/>
  <Default Extension="JPG" ContentType="image/.jp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88C8DB">
      <w:pPr>
        <w:spacing w:line="240" w:lineRule="auto"/>
        <w:ind w:firstLine="0" w:firstLineChars="0"/>
        <w:jc w:val="center"/>
        <w:rPr>
          <w:b/>
          <w:bCs/>
          <w:szCs w:val="32"/>
        </w:rPr>
      </w:pPr>
      <w:r>
        <w:rPr>
          <w:b/>
          <w:bCs/>
          <w:szCs w:val="32"/>
        </w:rPr>
        <w:t>目录</w:t>
      </w:r>
    </w:p>
    <w:p w14:paraId="46BA71F3">
      <w:pPr>
        <w:pStyle w:val="32"/>
        <w:tabs>
          <w:tab w:val="right" w:leader="dot" w:pos="8844"/>
        </w:tabs>
      </w:pPr>
      <w:r>
        <w:rPr>
          <w:rFonts w:hint="eastAsia"/>
          <w:snapToGrid w:val="0"/>
          <w:szCs w:val="32"/>
        </w:rPr>
        <w:fldChar w:fldCharType="begin"/>
      </w:r>
      <w:r>
        <w:rPr>
          <w:rFonts w:hint="eastAsia"/>
          <w:snapToGrid w:val="0"/>
          <w:szCs w:val="32"/>
        </w:rPr>
        <w:instrText xml:space="preserve">TOC \o "1-3" \h \u </w:instrText>
      </w:r>
      <w:r>
        <w:rPr>
          <w:rFonts w:hint="eastAsia"/>
          <w:snapToGrid w:val="0"/>
          <w:szCs w:val="32"/>
        </w:rPr>
        <w:fldChar w:fldCharType="separate"/>
      </w:r>
      <w:r>
        <w:rPr>
          <w:rFonts w:hint="eastAsia"/>
          <w:snapToGrid w:val="0"/>
          <w:szCs w:val="32"/>
        </w:rPr>
        <w:fldChar w:fldCharType="begin"/>
      </w:r>
      <w:r>
        <w:rPr>
          <w:rFonts w:hint="eastAsia"/>
          <w:snapToGrid w:val="0"/>
          <w:szCs w:val="32"/>
        </w:rPr>
        <w:instrText xml:space="preserve"> HYPERLINK \l _Toc23560 </w:instrText>
      </w:r>
      <w:r>
        <w:rPr>
          <w:rFonts w:hint="eastAsia"/>
          <w:snapToGrid w:val="0"/>
          <w:szCs w:val="32"/>
        </w:rPr>
        <w:fldChar w:fldCharType="separate"/>
      </w:r>
      <w:r>
        <w:rPr>
          <w:rFonts w:hint="eastAsia" w:ascii="Times New Roman" w:hAnsi="Times New Roman"/>
          <w:snapToGrid w:val="0"/>
          <w:szCs w:val="30"/>
        </w:rPr>
        <w:t>一、建设项目基本情况</w:t>
      </w:r>
      <w:r>
        <w:tab/>
      </w:r>
      <w:r>
        <w:fldChar w:fldCharType="begin"/>
      </w:r>
      <w:r>
        <w:instrText xml:space="preserve"> PAGEREF _Toc23560 \h </w:instrText>
      </w:r>
      <w:r>
        <w:fldChar w:fldCharType="separate"/>
      </w:r>
      <w:r>
        <w:t>1</w:t>
      </w:r>
      <w:r>
        <w:fldChar w:fldCharType="end"/>
      </w:r>
      <w:r>
        <w:rPr>
          <w:rFonts w:hint="eastAsia"/>
          <w:snapToGrid w:val="0"/>
          <w:szCs w:val="32"/>
        </w:rPr>
        <w:fldChar w:fldCharType="end"/>
      </w:r>
    </w:p>
    <w:p w14:paraId="5EA07925">
      <w:pPr>
        <w:pStyle w:val="32"/>
        <w:tabs>
          <w:tab w:val="right" w:leader="dot" w:pos="8844"/>
        </w:tabs>
      </w:pPr>
      <w:r>
        <w:rPr>
          <w:rFonts w:hint="eastAsia"/>
          <w:snapToGrid w:val="0"/>
          <w:szCs w:val="32"/>
        </w:rPr>
        <w:fldChar w:fldCharType="begin"/>
      </w:r>
      <w:r>
        <w:rPr>
          <w:rFonts w:hint="eastAsia"/>
          <w:snapToGrid w:val="0"/>
          <w:szCs w:val="32"/>
        </w:rPr>
        <w:instrText xml:space="preserve"> HYPERLINK \l _Toc29043 </w:instrText>
      </w:r>
      <w:r>
        <w:rPr>
          <w:rFonts w:hint="eastAsia"/>
          <w:snapToGrid w:val="0"/>
          <w:szCs w:val="32"/>
        </w:rPr>
        <w:fldChar w:fldCharType="separate"/>
      </w:r>
      <w:r>
        <w:rPr>
          <w:rFonts w:hint="eastAsia" w:ascii="Times New Roman" w:hAnsi="Times New Roman"/>
          <w:snapToGrid w:val="0"/>
          <w:szCs w:val="30"/>
        </w:rPr>
        <w:t>二、建设内容</w:t>
      </w:r>
      <w:r>
        <w:tab/>
      </w:r>
      <w:r>
        <w:fldChar w:fldCharType="begin"/>
      </w:r>
      <w:r>
        <w:instrText xml:space="preserve"> PAGEREF _Toc29043 \h </w:instrText>
      </w:r>
      <w:r>
        <w:fldChar w:fldCharType="separate"/>
      </w:r>
      <w:r>
        <w:t>30</w:t>
      </w:r>
      <w:r>
        <w:fldChar w:fldCharType="end"/>
      </w:r>
      <w:r>
        <w:rPr>
          <w:rFonts w:hint="eastAsia"/>
          <w:snapToGrid w:val="0"/>
          <w:szCs w:val="32"/>
        </w:rPr>
        <w:fldChar w:fldCharType="end"/>
      </w:r>
    </w:p>
    <w:p w14:paraId="777823DB">
      <w:pPr>
        <w:pStyle w:val="32"/>
        <w:tabs>
          <w:tab w:val="right" w:leader="dot" w:pos="8844"/>
        </w:tabs>
      </w:pPr>
      <w:r>
        <w:rPr>
          <w:rFonts w:hint="eastAsia"/>
          <w:snapToGrid w:val="0"/>
          <w:szCs w:val="32"/>
        </w:rPr>
        <w:fldChar w:fldCharType="begin"/>
      </w:r>
      <w:r>
        <w:rPr>
          <w:rFonts w:hint="eastAsia"/>
          <w:snapToGrid w:val="0"/>
          <w:szCs w:val="32"/>
        </w:rPr>
        <w:instrText xml:space="preserve"> HYPERLINK \l _Toc29695 </w:instrText>
      </w:r>
      <w:r>
        <w:rPr>
          <w:rFonts w:hint="eastAsia"/>
          <w:snapToGrid w:val="0"/>
          <w:szCs w:val="32"/>
        </w:rPr>
        <w:fldChar w:fldCharType="separate"/>
      </w:r>
      <w:r>
        <w:rPr>
          <w:rFonts w:hint="eastAsia" w:ascii="Times New Roman" w:hAnsi="Times New Roman"/>
          <w:snapToGrid w:val="0"/>
          <w:szCs w:val="30"/>
        </w:rPr>
        <w:t>三、生态环境现状、保护目标及评价标准</w:t>
      </w:r>
      <w:r>
        <w:tab/>
      </w:r>
      <w:r>
        <w:fldChar w:fldCharType="begin"/>
      </w:r>
      <w:r>
        <w:instrText xml:space="preserve"> PAGEREF _Toc29695 \h </w:instrText>
      </w:r>
      <w:r>
        <w:fldChar w:fldCharType="separate"/>
      </w:r>
      <w:r>
        <w:t>61</w:t>
      </w:r>
      <w:r>
        <w:fldChar w:fldCharType="end"/>
      </w:r>
      <w:r>
        <w:rPr>
          <w:rFonts w:hint="eastAsia"/>
          <w:snapToGrid w:val="0"/>
          <w:szCs w:val="32"/>
        </w:rPr>
        <w:fldChar w:fldCharType="end"/>
      </w:r>
    </w:p>
    <w:p w14:paraId="12E4768E">
      <w:pPr>
        <w:pStyle w:val="32"/>
        <w:tabs>
          <w:tab w:val="right" w:leader="dot" w:pos="8844"/>
        </w:tabs>
      </w:pPr>
      <w:r>
        <w:rPr>
          <w:rFonts w:hint="eastAsia"/>
          <w:snapToGrid w:val="0"/>
          <w:szCs w:val="32"/>
        </w:rPr>
        <w:fldChar w:fldCharType="begin"/>
      </w:r>
      <w:r>
        <w:rPr>
          <w:rFonts w:hint="eastAsia"/>
          <w:snapToGrid w:val="0"/>
          <w:szCs w:val="32"/>
        </w:rPr>
        <w:instrText xml:space="preserve"> HYPERLINK \l _Toc26209 </w:instrText>
      </w:r>
      <w:r>
        <w:rPr>
          <w:rFonts w:hint="eastAsia"/>
          <w:snapToGrid w:val="0"/>
          <w:szCs w:val="32"/>
        </w:rPr>
        <w:fldChar w:fldCharType="separate"/>
      </w:r>
      <w:r>
        <w:rPr>
          <w:rFonts w:hint="eastAsia"/>
          <w:snapToGrid w:val="0"/>
          <w:spacing w:val="0"/>
          <w:kern w:val="0"/>
          <w:szCs w:val="30"/>
          <w:lang w:val="en-US"/>
        </w:rPr>
        <w:t>四、生态环境影响分析</w:t>
      </w:r>
      <w:r>
        <w:tab/>
      </w:r>
      <w:r>
        <w:fldChar w:fldCharType="begin"/>
      </w:r>
      <w:r>
        <w:instrText xml:space="preserve"> PAGEREF _Toc26209 \h </w:instrText>
      </w:r>
      <w:r>
        <w:fldChar w:fldCharType="separate"/>
      </w:r>
      <w:r>
        <w:t>98</w:t>
      </w:r>
      <w:r>
        <w:fldChar w:fldCharType="end"/>
      </w:r>
      <w:r>
        <w:rPr>
          <w:rFonts w:hint="eastAsia"/>
          <w:snapToGrid w:val="0"/>
          <w:szCs w:val="32"/>
        </w:rPr>
        <w:fldChar w:fldCharType="end"/>
      </w:r>
    </w:p>
    <w:p w14:paraId="5FC54B4F">
      <w:pPr>
        <w:pStyle w:val="32"/>
        <w:tabs>
          <w:tab w:val="right" w:leader="dot" w:pos="8844"/>
        </w:tabs>
      </w:pPr>
      <w:r>
        <w:rPr>
          <w:rFonts w:hint="eastAsia"/>
          <w:snapToGrid w:val="0"/>
          <w:szCs w:val="32"/>
        </w:rPr>
        <w:fldChar w:fldCharType="begin"/>
      </w:r>
      <w:r>
        <w:rPr>
          <w:rFonts w:hint="eastAsia"/>
          <w:snapToGrid w:val="0"/>
          <w:szCs w:val="32"/>
        </w:rPr>
        <w:instrText xml:space="preserve"> HYPERLINK \l _Toc32332 </w:instrText>
      </w:r>
      <w:r>
        <w:rPr>
          <w:rFonts w:hint="eastAsia"/>
          <w:snapToGrid w:val="0"/>
          <w:szCs w:val="32"/>
        </w:rPr>
        <w:fldChar w:fldCharType="separate"/>
      </w:r>
      <w:r>
        <w:rPr>
          <w:rFonts w:hint="eastAsia" w:ascii="Times New Roman" w:hAnsi="Times New Roman"/>
          <w:snapToGrid w:val="0"/>
          <w:szCs w:val="30"/>
        </w:rPr>
        <w:t>五、主要生态环境保护措施</w:t>
      </w:r>
      <w:r>
        <w:tab/>
      </w:r>
      <w:r>
        <w:fldChar w:fldCharType="begin"/>
      </w:r>
      <w:r>
        <w:instrText xml:space="preserve"> PAGEREF _Toc32332 \h </w:instrText>
      </w:r>
      <w:r>
        <w:fldChar w:fldCharType="separate"/>
      </w:r>
      <w:r>
        <w:t>162</w:t>
      </w:r>
      <w:r>
        <w:fldChar w:fldCharType="end"/>
      </w:r>
      <w:r>
        <w:rPr>
          <w:rFonts w:hint="eastAsia"/>
          <w:snapToGrid w:val="0"/>
          <w:szCs w:val="32"/>
        </w:rPr>
        <w:fldChar w:fldCharType="end"/>
      </w:r>
    </w:p>
    <w:p w14:paraId="723D2FB4">
      <w:pPr>
        <w:pStyle w:val="32"/>
        <w:tabs>
          <w:tab w:val="right" w:leader="dot" w:pos="8844"/>
        </w:tabs>
      </w:pPr>
      <w:r>
        <w:rPr>
          <w:rFonts w:hint="eastAsia"/>
          <w:snapToGrid w:val="0"/>
          <w:szCs w:val="32"/>
        </w:rPr>
        <w:fldChar w:fldCharType="begin"/>
      </w:r>
      <w:r>
        <w:rPr>
          <w:rFonts w:hint="eastAsia"/>
          <w:snapToGrid w:val="0"/>
          <w:szCs w:val="32"/>
        </w:rPr>
        <w:instrText xml:space="preserve"> HYPERLINK \l _Toc21979 </w:instrText>
      </w:r>
      <w:r>
        <w:rPr>
          <w:rFonts w:hint="eastAsia"/>
          <w:snapToGrid w:val="0"/>
          <w:szCs w:val="32"/>
        </w:rPr>
        <w:fldChar w:fldCharType="separate"/>
      </w:r>
      <w:r>
        <w:rPr>
          <w:rFonts w:hint="eastAsia" w:ascii="Times New Roman" w:hAnsi="Times New Roman"/>
          <w:snapToGrid w:val="0"/>
          <w:szCs w:val="30"/>
        </w:rPr>
        <w:t>六、生态环境保护措施监督检查清单</w:t>
      </w:r>
      <w:r>
        <w:tab/>
      </w:r>
      <w:r>
        <w:fldChar w:fldCharType="begin"/>
      </w:r>
      <w:r>
        <w:instrText xml:space="preserve"> PAGEREF _Toc21979 \h </w:instrText>
      </w:r>
      <w:r>
        <w:fldChar w:fldCharType="separate"/>
      </w:r>
      <w:r>
        <w:t>179</w:t>
      </w:r>
      <w:r>
        <w:fldChar w:fldCharType="end"/>
      </w:r>
      <w:r>
        <w:rPr>
          <w:rFonts w:hint="eastAsia"/>
          <w:snapToGrid w:val="0"/>
          <w:szCs w:val="32"/>
        </w:rPr>
        <w:fldChar w:fldCharType="end"/>
      </w:r>
    </w:p>
    <w:p w14:paraId="76B1A60F">
      <w:pPr>
        <w:pStyle w:val="32"/>
        <w:tabs>
          <w:tab w:val="right" w:leader="dot" w:pos="8844"/>
        </w:tabs>
      </w:pPr>
      <w:r>
        <w:rPr>
          <w:rFonts w:hint="eastAsia"/>
          <w:snapToGrid w:val="0"/>
          <w:szCs w:val="32"/>
        </w:rPr>
        <w:fldChar w:fldCharType="begin"/>
      </w:r>
      <w:r>
        <w:rPr>
          <w:rFonts w:hint="eastAsia"/>
          <w:snapToGrid w:val="0"/>
          <w:szCs w:val="32"/>
        </w:rPr>
        <w:instrText xml:space="preserve"> HYPERLINK \l _Toc27013 </w:instrText>
      </w:r>
      <w:r>
        <w:rPr>
          <w:rFonts w:hint="eastAsia"/>
          <w:snapToGrid w:val="0"/>
          <w:szCs w:val="32"/>
        </w:rPr>
        <w:fldChar w:fldCharType="separate"/>
      </w:r>
      <w:r>
        <w:rPr>
          <w:rFonts w:hint="eastAsia" w:ascii="Times New Roman" w:hAnsi="Times New Roman"/>
          <w:snapToGrid w:val="0"/>
          <w:szCs w:val="30"/>
        </w:rPr>
        <w:t>七、结论</w:t>
      </w:r>
      <w:r>
        <w:tab/>
      </w:r>
      <w:r>
        <w:fldChar w:fldCharType="begin"/>
      </w:r>
      <w:r>
        <w:instrText xml:space="preserve"> PAGEREF _Toc27013 \h </w:instrText>
      </w:r>
      <w:r>
        <w:fldChar w:fldCharType="separate"/>
      </w:r>
      <w:r>
        <w:t>183</w:t>
      </w:r>
      <w:r>
        <w:fldChar w:fldCharType="end"/>
      </w:r>
      <w:r>
        <w:rPr>
          <w:rFonts w:hint="eastAsia"/>
          <w:snapToGrid w:val="0"/>
          <w:szCs w:val="32"/>
        </w:rPr>
        <w:fldChar w:fldCharType="end"/>
      </w:r>
    </w:p>
    <w:p w14:paraId="7462A0E9">
      <w:pPr>
        <w:adjustRightInd w:val="0"/>
        <w:snapToGrid w:val="0"/>
        <w:ind w:firstLine="0" w:firstLineChars="0"/>
        <w:rPr>
          <w:rFonts w:hint="eastAsia"/>
          <w:snapToGrid w:val="0"/>
          <w:szCs w:val="32"/>
        </w:rPr>
      </w:pPr>
      <w:r>
        <w:rPr>
          <w:rFonts w:hint="eastAsia"/>
          <w:snapToGrid w:val="0"/>
          <w:szCs w:val="32"/>
        </w:rPr>
        <w:fldChar w:fldCharType="end"/>
      </w:r>
      <w:r>
        <w:rPr>
          <w:rFonts w:hint="eastAsia"/>
          <w:snapToGrid w:val="0"/>
          <w:szCs w:val="32"/>
        </w:rPr>
        <w:t>附图1</w:t>
      </w:r>
      <w:r>
        <w:rPr>
          <w:rFonts w:hint="eastAsia"/>
          <w:snapToGrid w:val="0"/>
          <w:szCs w:val="32"/>
          <w:lang w:val="en-US" w:eastAsia="zh-CN"/>
        </w:rPr>
        <w:t xml:space="preserve">  </w:t>
      </w:r>
      <w:r>
        <w:rPr>
          <w:rFonts w:hint="eastAsia"/>
          <w:snapToGrid w:val="0"/>
          <w:szCs w:val="32"/>
        </w:rPr>
        <w:t>项目地理位置图</w:t>
      </w:r>
    </w:p>
    <w:p w14:paraId="151259FF">
      <w:pPr>
        <w:adjustRightInd w:val="0"/>
        <w:snapToGrid w:val="0"/>
        <w:ind w:firstLine="0" w:firstLineChars="0"/>
        <w:rPr>
          <w:rFonts w:hint="eastAsia"/>
          <w:snapToGrid w:val="0"/>
          <w:szCs w:val="32"/>
        </w:rPr>
      </w:pPr>
      <w:r>
        <w:rPr>
          <w:rFonts w:hint="eastAsia"/>
          <w:snapToGrid w:val="0"/>
          <w:szCs w:val="32"/>
        </w:rPr>
        <w:t xml:space="preserve">附图2 </w:t>
      </w:r>
      <w:r>
        <w:rPr>
          <w:rFonts w:hint="eastAsia"/>
          <w:snapToGrid w:val="0"/>
          <w:szCs w:val="32"/>
          <w:lang w:val="en-US" w:eastAsia="zh-CN"/>
        </w:rPr>
        <w:t xml:space="preserve"> </w:t>
      </w:r>
      <w:r>
        <w:rPr>
          <w:rFonts w:hint="eastAsia"/>
          <w:snapToGrid w:val="0"/>
          <w:szCs w:val="32"/>
        </w:rPr>
        <w:t>项目区域水系图</w:t>
      </w:r>
    </w:p>
    <w:p w14:paraId="3C104668">
      <w:pPr>
        <w:adjustRightInd w:val="0"/>
        <w:snapToGrid w:val="0"/>
        <w:ind w:firstLine="0" w:firstLineChars="0"/>
        <w:rPr>
          <w:rFonts w:hint="eastAsia"/>
          <w:snapToGrid w:val="0"/>
          <w:szCs w:val="32"/>
        </w:rPr>
      </w:pPr>
      <w:r>
        <w:rPr>
          <w:rFonts w:hint="eastAsia"/>
          <w:snapToGrid w:val="0"/>
          <w:szCs w:val="32"/>
        </w:rPr>
        <w:t xml:space="preserve">附图3 </w:t>
      </w:r>
      <w:r>
        <w:rPr>
          <w:rFonts w:hint="eastAsia"/>
          <w:snapToGrid w:val="0"/>
          <w:szCs w:val="32"/>
          <w:lang w:val="en-US" w:eastAsia="zh-CN"/>
        </w:rPr>
        <w:t xml:space="preserve"> </w:t>
      </w:r>
      <w:r>
        <w:rPr>
          <w:rFonts w:hint="eastAsia"/>
          <w:snapToGrid w:val="0"/>
          <w:szCs w:val="32"/>
        </w:rPr>
        <w:t>项目与云南省生态功能区划位置..</w:t>
      </w:r>
    </w:p>
    <w:p w14:paraId="215A714B">
      <w:pPr>
        <w:adjustRightInd w:val="0"/>
        <w:snapToGrid w:val="0"/>
        <w:ind w:firstLine="0" w:firstLineChars="0"/>
        <w:rPr>
          <w:rFonts w:hint="eastAsia"/>
          <w:snapToGrid w:val="0"/>
          <w:szCs w:val="32"/>
        </w:rPr>
      </w:pPr>
      <w:r>
        <w:rPr>
          <w:rFonts w:hint="eastAsia"/>
          <w:snapToGrid w:val="0"/>
          <w:szCs w:val="32"/>
        </w:rPr>
        <w:t xml:space="preserve">附图4 </w:t>
      </w:r>
      <w:r>
        <w:rPr>
          <w:rFonts w:hint="eastAsia"/>
          <w:snapToGrid w:val="0"/>
          <w:szCs w:val="32"/>
          <w:lang w:val="en-US" w:eastAsia="zh-CN"/>
        </w:rPr>
        <w:t xml:space="preserve"> </w:t>
      </w:r>
      <w:r>
        <w:rPr>
          <w:rFonts w:hint="eastAsia"/>
          <w:snapToGrid w:val="0"/>
          <w:szCs w:val="32"/>
        </w:rPr>
        <w:t>项目与云南省主体功能区划位置....</w:t>
      </w:r>
    </w:p>
    <w:p w14:paraId="495F2C35">
      <w:pPr>
        <w:adjustRightInd w:val="0"/>
        <w:snapToGrid w:val="0"/>
        <w:ind w:firstLine="0" w:firstLineChars="0"/>
        <w:rPr>
          <w:rFonts w:hint="eastAsia"/>
          <w:snapToGrid w:val="0"/>
          <w:szCs w:val="32"/>
        </w:rPr>
      </w:pPr>
      <w:r>
        <w:rPr>
          <w:rFonts w:hint="eastAsia"/>
          <w:snapToGrid w:val="0"/>
          <w:szCs w:val="32"/>
        </w:rPr>
        <w:t xml:space="preserve">附图5 </w:t>
      </w:r>
      <w:r>
        <w:rPr>
          <w:rFonts w:hint="eastAsia"/>
          <w:snapToGrid w:val="0"/>
          <w:szCs w:val="32"/>
          <w:lang w:val="en-US" w:eastAsia="zh-CN"/>
        </w:rPr>
        <w:t xml:space="preserve"> </w:t>
      </w:r>
      <w:r>
        <w:rPr>
          <w:rFonts w:hint="eastAsia"/>
          <w:snapToGrid w:val="0"/>
          <w:szCs w:val="32"/>
        </w:rPr>
        <w:t>项目周边环境示意图</w:t>
      </w:r>
    </w:p>
    <w:p w14:paraId="150147ED">
      <w:pPr>
        <w:adjustRightInd w:val="0"/>
        <w:snapToGrid w:val="0"/>
        <w:ind w:firstLine="0" w:firstLineChars="0"/>
        <w:rPr>
          <w:rFonts w:hint="eastAsia"/>
          <w:snapToGrid w:val="0"/>
          <w:szCs w:val="32"/>
        </w:rPr>
      </w:pPr>
      <w:r>
        <w:rPr>
          <w:rFonts w:hint="eastAsia"/>
          <w:snapToGrid w:val="0"/>
          <w:szCs w:val="32"/>
        </w:rPr>
        <w:t>附图6-1 项目现状监测布点图</w:t>
      </w:r>
    </w:p>
    <w:p w14:paraId="0A1D1F6F">
      <w:pPr>
        <w:adjustRightInd w:val="0"/>
        <w:snapToGrid w:val="0"/>
        <w:ind w:firstLine="0" w:firstLineChars="0"/>
        <w:rPr>
          <w:rFonts w:hint="eastAsia"/>
          <w:snapToGrid w:val="0"/>
          <w:szCs w:val="32"/>
        </w:rPr>
      </w:pPr>
      <w:r>
        <w:rPr>
          <w:rFonts w:hint="eastAsia"/>
          <w:snapToGrid w:val="0"/>
          <w:szCs w:val="32"/>
        </w:rPr>
        <w:t>附图6-2 监测计划布点图</w:t>
      </w:r>
    </w:p>
    <w:p w14:paraId="7D0D4E88">
      <w:pPr>
        <w:adjustRightInd w:val="0"/>
        <w:snapToGrid w:val="0"/>
        <w:ind w:firstLine="0" w:firstLineChars="0"/>
        <w:rPr>
          <w:rFonts w:hint="eastAsia"/>
          <w:snapToGrid w:val="0"/>
          <w:szCs w:val="32"/>
        </w:rPr>
      </w:pPr>
      <w:r>
        <w:rPr>
          <w:rFonts w:hint="eastAsia"/>
          <w:snapToGrid w:val="0"/>
          <w:szCs w:val="32"/>
        </w:rPr>
        <w:t>附图7-1</w:t>
      </w:r>
      <w:r>
        <w:rPr>
          <w:rFonts w:hint="eastAsia"/>
          <w:snapToGrid w:val="0"/>
          <w:szCs w:val="32"/>
          <w:lang w:val="en-US" w:eastAsia="zh-CN"/>
        </w:rPr>
        <w:t xml:space="preserve"> </w:t>
      </w:r>
      <w:r>
        <w:rPr>
          <w:rFonts w:hint="eastAsia"/>
          <w:snapToGrid w:val="0"/>
          <w:szCs w:val="32"/>
        </w:rPr>
        <w:t>项目区域水文地质图</w:t>
      </w:r>
    </w:p>
    <w:p w14:paraId="6A1AA5CA">
      <w:pPr>
        <w:adjustRightInd w:val="0"/>
        <w:snapToGrid w:val="0"/>
        <w:ind w:firstLine="0" w:firstLineChars="0"/>
        <w:rPr>
          <w:rFonts w:hint="eastAsia"/>
          <w:snapToGrid w:val="0"/>
          <w:szCs w:val="32"/>
        </w:rPr>
      </w:pPr>
      <w:r>
        <w:rPr>
          <w:rFonts w:hint="eastAsia"/>
          <w:snapToGrid w:val="0"/>
          <w:szCs w:val="32"/>
        </w:rPr>
        <w:t>附图7-2</w:t>
      </w:r>
      <w:r>
        <w:rPr>
          <w:rFonts w:hint="eastAsia"/>
          <w:snapToGrid w:val="0"/>
          <w:szCs w:val="32"/>
          <w:lang w:val="en-US" w:eastAsia="zh-CN"/>
        </w:rPr>
        <w:t xml:space="preserve"> </w:t>
      </w:r>
      <w:r>
        <w:rPr>
          <w:rFonts w:hint="eastAsia"/>
          <w:snapToGrid w:val="0"/>
          <w:szCs w:val="32"/>
        </w:rPr>
        <w:t>项目水文地质图</w:t>
      </w:r>
    </w:p>
    <w:p w14:paraId="2CF235F9">
      <w:pPr>
        <w:adjustRightInd w:val="0"/>
        <w:snapToGrid w:val="0"/>
        <w:ind w:firstLine="0" w:firstLineChars="0"/>
        <w:rPr>
          <w:rFonts w:hint="eastAsia"/>
          <w:snapToGrid w:val="0"/>
          <w:szCs w:val="32"/>
        </w:rPr>
      </w:pPr>
      <w:r>
        <w:rPr>
          <w:rFonts w:hint="eastAsia"/>
          <w:snapToGrid w:val="0"/>
          <w:szCs w:val="32"/>
        </w:rPr>
        <w:t>附图8</w:t>
      </w:r>
      <w:r>
        <w:rPr>
          <w:rFonts w:hint="eastAsia"/>
          <w:snapToGrid w:val="0"/>
          <w:szCs w:val="32"/>
          <w:lang w:val="en-US" w:eastAsia="zh-CN"/>
        </w:rPr>
        <w:t xml:space="preserve">  </w:t>
      </w:r>
      <w:r>
        <w:rPr>
          <w:rFonts w:hint="eastAsia"/>
          <w:snapToGrid w:val="0"/>
          <w:szCs w:val="32"/>
        </w:rPr>
        <w:t>项目区域地下水等水位线图</w:t>
      </w:r>
    </w:p>
    <w:p w14:paraId="0328D4BD">
      <w:pPr>
        <w:adjustRightInd w:val="0"/>
        <w:snapToGrid w:val="0"/>
        <w:ind w:firstLine="0" w:firstLineChars="0"/>
        <w:rPr>
          <w:rFonts w:hint="eastAsia"/>
          <w:snapToGrid w:val="0"/>
          <w:szCs w:val="32"/>
        </w:rPr>
      </w:pPr>
      <w:r>
        <w:rPr>
          <w:rFonts w:hint="eastAsia"/>
          <w:snapToGrid w:val="0"/>
          <w:szCs w:val="32"/>
        </w:rPr>
        <w:t xml:space="preserve">附图9 </w:t>
      </w:r>
      <w:r>
        <w:rPr>
          <w:rFonts w:hint="eastAsia"/>
          <w:snapToGrid w:val="0"/>
          <w:szCs w:val="32"/>
          <w:lang w:val="en-US" w:eastAsia="zh-CN"/>
        </w:rPr>
        <w:t xml:space="preserve"> </w:t>
      </w:r>
      <w:r>
        <w:rPr>
          <w:rFonts w:hint="eastAsia"/>
          <w:snapToGrid w:val="0"/>
          <w:szCs w:val="32"/>
        </w:rPr>
        <w:t>土地利用现状图</w:t>
      </w:r>
    </w:p>
    <w:p w14:paraId="030E5445">
      <w:pPr>
        <w:adjustRightInd w:val="0"/>
        <w:snapToGrid w:val="0"/>
        <w:ind w:firstLine="0" w:firstLineChars="0"/>
        <w:rPr>
          <w:rFonts w:hint="eastAsia"/>
          <w:snapToGrid w:val="0"/>
          <w:szCs w:val="32"/>
          <w:lang w:val="en-US" w:eastAsia="zh-CN"/>
        </w:rPr>
      </w:pPr>
      <w:r>
        <w:rPr>
          <w:rFonts w:hint="eastAsia"/>
          <w:snapToGrid w:val="0"/>
          <w:szCs w:val="32"/>
        </w:rPr>
        <w:t xml:space="preserve">附图10 </w:t>
      </w:r>
      <w:r>
        <w:rPr>
          <w:rFonts w:hint="eastAsia"/>
          <w:snapToGrid w:val="0"/>
          <w:szCs w:val="32"/>
          <w:lang w:val="en-US" w:eastAsia="zh-CN"/>
        </w:rPr>
        <w:t xml:space="preserve"> </w:t>
      </w:r>
      <w:r>
        <w:rPr>
          <w:rFonts w:hint="eastAsia"/>
          <w:snapToGrid w:val="0"/>
          <w:szCs w:val="32"/>
        </w:rPr>
        <w:t>项目与牛栏江流域(云南段)水</w:t>
      </w:r>
      <w:r>
        <w:rPr>
          <w:rFonts w:hint="eastAsia"/>
          <w:snapToGrid w:val="0"/>
          <w:szCs w:val="32"/>
          <w:lang w:val="en-US" w:eastAsia="zh-CN"/>
        </w:rPr>
        <w:t>环境保护分区位置图</w:t>
      </w:r>
    </w:p>
    <w:p w14:paraId="2C7CF2F4">
      <w:pPr>
        <w:adjustRightInd w:val="0"/>
        <w:snapToGrid w:val="0"/>
        <w:ind w:firstLine="0" w:firstLineChars="0"/>
        <w:rPr>
          <w:rFonts w:hint="eastAsia"/>
          <w:snapToGrid w:val="0"/>
          <w:szCs w:val="32"/>
        </w:rPr>
      </w:pPr>
      <w:r>
        <w:rPr>
          <w:rFonts w:hint="eastAsia"/>
          <w:snapToGrid w:val="0"/>
          <w:szCs w:val="32"/>
        </w:rPr>
        <w:t>附图11</w:t>
      </w:r>
      <w:r>
        <w:rPr>
          <w:rFonts w:hint="eastAsia"/>
          <w:snapToGrid w:val="0"/>
          <w:szCs w:val="32"/>
          <w:lang w:val="en-US" w:eastAsia="zh-CN"/>
        </w:rPr>
        <w:t xml:space="preserve">  </w:t>
      </w:r>
      <w:r>
        <w:rPr>
          <w:rFonts w:hint="eastAsia"/>
          <w:snapToGrid w:val="0"/>
          <w:szCs w:val="32"/>
        </w:rPr>
        <w:t>南部和北部生态修复区平</w:t>
      </w:r>
    </w:p>
    <w:p w14:paraId="38147570">
      <w:pPr>
        <w:adjustRightInd w:val="0"/>
        <w:snapToGrid w:val="0"/>
        <w:ind w:firstLine="0" w:firstLineChars="0"/>
        <w:rPr>
          <w:rFonts w:hint="eastAsia"/>
          <w:snapToGrid w:val="0"/>
          <w:szCs w:val="32"/>
        </w:rPr>
      </w:pPr>
      <w:r>
        <w:rPr>
          <w:rFonts w:hint="eastAsia"/>
          <w:snapToGrid w:val="0"/>
          <w:szCs w:val="32"/>
        </w:rPr>
        <w:t xml:space="preserve">附图12 </w:t>
      </w:r>
      <w:r>
        <w:rPr>
          <w:rFonts w:hint="eastAsia"/>
          <w:snapToGrid w:val="0"/>
          <w:szCs w:val="32"/>
          <w:lang w:val="en-US" w:eastAsia="zh-CN"/>
        </w:rPr>
        <w:t xml:space="preserve"> </w:t>
      </w:r>
      <w:r>
        <w:rPr>
          <w:rFonts w:hint="eastAsia"/>
          <w:snapToGrid w:val="0"/>
          <w:szCs w:val="32"/>
        </w:rPr>
        <w:t>边坡防渗层示意图</w:t>
      </w:r>
    </w:p>
    <w:p w14:paraId="3408C44C">
      <w:pPr>
        <w:adjustRightInd w:val="0"/>
        <w:snapToGrid w:val="0"/>
        <w:ind w:firstLine="0" w:firstLineChars="0"/>
        <w:rPr>
          <w:rFonts w:hint="eastAsia"/>
          <w:snapToGrid w:val="0"/>
          <w:szCs w:val="32"/>
        </w:rPr>
      </w:pPr>
      <w:r>
        <w:rPr>
          <w:rFonts w:hint="eastAsia"/>
          <w:snapToGrid w:val="0"/>
          <w:szCs w:val="32"/>
        </w:rPr>
        <w:t xml:space="preserve">附图13 </w:t>
      </w:r>
      <w:r>
        <w:rPr>
          <w:rFonts w:hint="eastAsia"/>
          <w:snapToGrid w:val="0"/>
          <w:szCs w:val="32"/>
          <w:lang w:val="en-US" w:eastAsia="zh-CN"/>
        </w:rPr>
        <w:t xml:space="preserve"> </w:t>
      </w:r>
      <w:r>
        <w:rPr>
          <w:rFonts w:hint="eastAsia"/>
          <w:snapToGrid w:val="0"/>
          <w:szCs w:val="32"/>
        </w:rPr>
        <w:t>监控井示意图</w:t>
      </w:r>
    </w:p>
    <w:p w14:paraId="29A9337F">
      <w:pPr>
        <w:adjustRightInd w:val="0"/>
        <w:snapToGrid w:val="0"/>
        <w:ind w:firstLine="0" w:firstLineChars="0"/>
        <w:rPr>
          <w:rFonts w:hint="eastAsia"/>
          <w:snapToGrid w:val="0"/>
          <w:szCs w:val="32"/>
        </w:rPr>
      </w:pPr>
      <w:r>
        <w:rPr>
          <w:rFonts w:hint="eastAsia"/>
          <w:snapToGrid w:val="0"/>
          <w:szCs w:val="32"/>
        </w:rPr>
        <w:t xml:space="preserve">附图14 </w:t>
      </w:r>
      <w:r>
        <w:rPr>
          <w:rFonts w:hint="eastAsia"/>
          <w:snapToGrid w:val="0"/>
          <w:szCs w:val="32"/>
          <w:lang w:val="en-US" w:eastAsia="zh-CN"/>
        </w:rPr>
        <w:t xml:space="preserve"> </w:t>
      </w:r>
      <w:r>
        <w:rPr>
          <w:rFonts w:hint="eastAsia"/>
          <w:snapToGrid w:val="0"/>
          <w:szCs w:val="32"/>
        </w:rPr>
        <w:t>拦挡坝大样图</w:t>
      </w:r>
    </w:p>
    <w:p w14:paraId="047DE34D">
      <w:pPr>
        <w:adjustRightInd w:val="0"/>
        <w:snapToGrid w:val="0"/>
        <w:ind w:firstLine="0" w:firstLineChars="0"/>
        <w:rPr>
          <w:rFonts w:hint="eastAsia"/>
          <w:snapToGrid w:val="0"/>
          <w:szCs w:val="32"/>
        </w:rPr>
      </w:pPr>
      <w:r>
        <w:rPr>
          <w:rFonts w:hint="eastAsia"/>
          <w:snapToGrid w:val="0"/>
          <w:szCs w:val="32"/>
        </w:rPr>
        <w:t xml:space="preserve">附图15 </w:t>
      </w:r>
      <w:r>
        <w:rPr>
          <w:rFonts w:hint="eastAsia"/>
          <w:snapToGrid w:val="0"/>
          <w:szCs w:val="32"/>
          <w:lang w:val="en-US" w:eastAsia="zh-CN"/>
        </w:rPr>
        <w:t xml:space="preserve"> </w:t>
      </w:r>
      <w:r>
        <w:rPr>
          <w:rFonts w:hint="eastAsia"/>
          <w:snapToGrid w:val="0"/>
          <w:szCs w:val="32"/>
        </w:rPr>
        <w:t>排水管示意图</w:t>
      </w:r>
    </w:p>
    <w:p w14:paraId="325752EB">
      <w:pPr>
        <w:adjustRightInd w:val="0"/>
        <w:snapToGrid w:val="0"/>
        <w:ind w:firstLine="0" w:firstLineChars="0"/>
        <w:rPr>
          <w:rFonts w:hint="eastAsia"/>
          <w:snapToGrid w:val="0"/>
          <w:szCs w:val="32"/>
        </w:rPr>
      </w:pPr>
      <w:r>
        <w:rPr>
          <w:rFonts w:hint="eastAsia"/>
          <w:snapToGrid w:val="0"/>
          <w:szCs w:val="32"/>
        </w:rPr>
        <w:t>附图16</w:t>
      </w:r>
      <w:r>
        <w:rPr>
          <w:rFonts w:hint="eastAsia"/>
          <w:snapToGrid w:val="0"/>
          <w:szCs w:val="32"/>
          <w:lang w:val="en-US" w:eastAsia="zh-CN"/>
        </w:rPr>
        <w:t xml:space="preserve">  </w:t>
      </w:r>
      <w:r>
        <w:rPr>
          <w:rFonts w:hint="eastAsia"/>
          <w:snapToGrid w:val="0"/>
          <w:szCs w:val="32"/>
        </w:rPr>
        <w:t>导排沟示意图</w:t>
      </w:r>
    </w:p>
    <w:p w14:paraId="4FBFEA16">
      <w:pPr>
        <w:adjustRightInd w:val="0"/>
        <w:snapToGrid w:val="0"/>
        <w:ind w:firstLine="0" w:firstLineChars="0"/>
        <w:rPr>
          <w:rFonts w:hint="eastAsia"/>
          <w:snapToGrid w:val="0"/>
          <w:szCs w:val="32"/>
        </w:rPr>
      </w:pPr>
      <w:r>
        <w:rPr>
          <w:rFonts w:hint="eastAsia"/>
          <w:snapToGrid w:val="0"/>
          <w:szCs w:val="32"/>
          <w:lang w:val="en-US" w:eastAsia="zh-CN"/>
        </w:rPr>
        <w:t>附图17  渗滤液</w:t>
      </w:r>
      <w:r>
        <w:rPr>
          <w:rFonts w:hint="eastAsia"/>
          <w:snapToGrid w:val="0"/>
          <w:szCs w:val="32"/>
        </w:rPr>
        <w:t>收集池平面布置图</w:t>
      </w:r>
    </w:p>
    <w:p w14:paraId="3D86A5FA">
      <w:pPr>
        <w:adjustRightInd w:val="0"/>
        <w:snapToGrid w:val="0"/>
        <w:ind w:firstLine="0" w:firstLineChars="0"/>
        <w:rPr>
          <w:rFonts w:hint="eastAsia"/>
          <w:snapToGrid w:val="0"/>
          <w:szCs w:val="32"/>
        </w:rPr>
      </w:pPr>
      <w:r>
        <w:rPr>
          <w:rFonts w:hint="eastAsia"/>
          <w:snapToGrid w:val="0"/>
          <w:szCs w:val="32"/>
        </w:rPr>
        <w:t xml:space="preserve">附图18 </w:t>
      </w:r>
      <w:r>
        <w:rPr>
          <w:rFonts w:hint="eastAsia"/>
          <w:snapToGrid w:val="0"/>
          <w:szCs w:val="32"/>
          <w:lang w:val="en-US" w:eastAsia="zh-CN"/>
        </w:rPr>
        <w:t xml:space="preserve"> </w:t>
      </w:r>
      <w:r>
        <w:rPr>
          <w:rFonts w:hint="eastAsia"/>
          <w:snapToGrid w:val="0"/>
          <w:szCs w:val="32"/>
        </w:rPr>
        <w:t>竖向坡面雨水沟图</w:t>
      </w:r>
    </w:p>
    <w:p w14:paraId="6E1352A6">
      <w:pPr>
        <w:adjustRightInd w:val="0"/>
        <w:snapToGrid w:val="0"/>
        <w:ind w:firstLine="0" w:firstLineChars="0"/>
        <w:rPr>
          <w:rFonts w:hint="eastAsia"/>
          <w:snapToGrid w:val="0"/>
          <w:szCs w:val="32"/>
        </w:rPr>
      </w:pPr>
      <w:r>
        <w:rPr>
          <w:rFonts w:hint="eastAsia"/>
          <w:snapToGrid w:val="0"/>
          <w:szCs w:val="32"/>
        </w:rPr>
        <w:t xml:space="preserve">附图19 </w:t>
      </w:r>
      <w:r>
        <w:rPr>
          <w:rFonts w:hint="eastAsia"/>
          <w:snapToGrid w:val="0"/>
          <w:szCs w:val="32"/>
          <w:lang w:val="en-US" w:eastAsia="zh-CN"/>
        </w:rPr>
        <w:t xml:space="preserve"> </w:t>
      </w:r>
      <w:r>
        <w:rPr>
          <w:rFonts w:hint="eastAsia"/>
          <w:snapToGrid w:val="0"/>
          <w:szCs w:val="32"/>
        </w:rPr>
        <w:t>周边截水沟示意图</w:t>
      </w:r>
    </w:p>
    <w:p w14:paraId="655F749A">
      <w:pPr>
        <w:adjustRightInd w:val="0"/>
        <w:snapToGrid w:val="0"/>
        <w:ind w:firstLine="0" w:firstLineChars="0"/>
        <w:rPr>
          <w:rFonts w:hint="default" w:eastAsia="宋体"/>
          <w:lang w:val="en-US" w:eastAsia="zh-CN"/>
        </w:rPr>
      </w:pPr>
      <w:r>
        <w:rPr>
          <w:rFonts w:hint="eastAsia"/>
          <w:snapToGrid w:val="0"/>
          <w:szCs w:val="32"/>
        </w:rPr>
        <w:t xml:space="preserve">附图20 </w:t>
      </w:r>
      <w:r>
        <w:rPr>
          <w:rFonts w:hint="eastAsia"/>
          <w:snapToGrid w:val="0"/>
          <w:szCs w:val="32"/>
          <w:lang w:val="en-US" w:eastAsia="zh-CN"/>
        </w:rPr>
        <w:t xml:space="preserve"> </w:t>
      </w:r>
      <w:r>
        <w:rPr>
          <w:rFonts w:hint="eastAsia"/>
          <w:snapToGrid w:val="0"/>
          <w:szCs w:val="32"/>
        </w:rPr>
        <w:t>昆明市生态环境工程评估中心全</w:t>
      </w:r>
      <w:r>
        <w:rPr>
          <w:rFonts w:hint="eastAsia"/>
          <w:snapToGrid w:val="0"/>
          <w:szCs w:val="32"/>
          <w:lang w:val="en-US" w:eastAsia="zh-CN"/>
        </w:rPr>
        <w:t>本公示</w:t>
      </w:r>
    </w:p>
    <w:p w14:paraId="7067E6A3">
      <w:pPr>
        <w:pStyle w:val="2"/>
        <w:rPr>
          <w:rFonts w:hint="eastAsia"/>
        </w:rPr>
      </w:pPr>
    </w:p>
    <w:p w14:paraId="08E7D71C">
      <w:pPr>
        <w:adjustRightInd w:val="0"/>
        <w:snapToGrid w:val="0"/>
        <w:ind w:firstLine="0" w:firstLineChars="0"/>
        <w:rPr>
          <w:rFonts w:hint="eastAsia"/>
          <w:snapToGrid w:val="0"/>
          <w:szCs w:val="32"/>
        </w:rPr>
      </w:pPr>
      <w:r>
        <w:rPr>
          <w:rFonts w:hint="eastAsia"/>
          <w:snapToGrid w:val="0"/>
          <w:szCs w:val="32"/>
        </w:rPr>
        <w:t>附件1</w:t>
      </w:r>
      <w:r>
        <w:rPr>
          <w:rFonts w:hint="eastAsia"/>
          <w:snapToGrid w:val="0"/>
          <w:szCs w:val="32"/>
          <w:lang w:val="en-US" w:eastAsia="zh-CN"/>
        </w:rPr>
        <w:t xml:space="preserve">  </w:t>
      </w:r>
      <w:r>
        <w:rPr>
          <w:rFonts w:hint="eastAsia"/>
          <w:snapToGrid w:val="0"/>
          <w:szCs w:val="32"/>
        </w:rPr>
        <w:t>委托书</w:t>
      </w:r>
    </w:p>
    <w:p w14:paraId="730B3A10">
      <w:pPr>
        <w:adjustRightInd w:val="0"/>
        <w:snapToGrid w:val="0"/>
        <w:ind w:firstLine="0" w:firstLineChars="0"/>
        <w:rPr>
          <w:rFonts w:hint="eastAsia"/>
          <w:snapToGrid w:val="0"/>
          <w:szCs w:val="32"/>
        </w:rPr>
      </w:pPr>
      <w:r>
        <w:rPr>
          <w:rFonts w:hint="eastAsia"/>
          <w:snapToGrid w:val="0"/>
          <w:szCs w:val="32"/>
        </w:rPr>
        <w:t>附件2</w:t>
      </w:r>
      <w:r>
        <w:rPr>
          <w:rFonts w:hint="eastAsia"/>
          <w:snapToGrid w:val="0"/>
          <w:szCs w:val="32"/>
          <w:lang w:val="en-US" w:eastAsia="zh-CN"/>
        </w:rPr>
        <w:t xml:space="preserve">  </w:t>
      </w:r>
      <w:r>
        <w:rPr>
          <w:rFonts w:hint="eastAsia"/>
          <w:snapToGrid w:val="0"/>
          <w:szCs w:val="32"/>
        </w:rPr>
        <w:t>可研批复</w:t>
      </w:r>
    </w:p>
    <w:p w14:paraId="7109BF87">
      <w:pPr>
        <w:adjustRightInd w:val="0"/>
        <w:snapToGrid w:val="0"/>
        <w:ind w:firstLine="0" w:firstLineChars="0"/>
        <w:rPr>
          <w:rFonts w:hint="eastAsia"/>
          <w:snapToGrid w:val="0"/>
          <w:szCs w:val="32"/>
        </w:rPr>
      </w:pPr>
      <w:r>
        <w:rPr>
          <w:rFonts w:hint="eastAsia"/>
          <w:snapToGrid w:val="0"/>
          <w:szCs w:val="32"/>
        </w:rPr>
        <w:t>附件3</w:t>
      </w:r>
      <w:r>
        <w:rPr>
          <w:rFonts w:hint="eastAsia"/>
          <w:snapToGrid w:val="0"/>
          <w:szCs w:val="32"/>
          <w:lang w:val="en-US" w:eastAsia="zh-CN"/>
        </w:rPr>
        <w:t xml:space="preserve">  </w:t>
      </w:r>
      <w:r>
        <w:rPr>
          <w:rFonts w:hint="eastAsia"/>
          <w:snapToGrid w:val="0"/>
          <w:szCs w:val="32"/>
        </w:rPr>
        <w:t>关于项目可研批复的情况说明</w:t>
      </w:r>
    </w:p>
    <w:p w14:paraId="3C8EF374">
      <w:pPr>
        <w:adjustRightInd w:val="0"/>
        <w:snapToGrid w:val="0"/>
        <w:ind w:firstLine="0" w:firstLineChars="0"/>
        <w:rPr>
          <w:rFonts w:hint="eastAsia"/>
          <w:snapToGrid w:val="0"/>
          <w:szCs w:val="32"/>
        </w:rPr>
      </w:pPr>
      <w:r>
        <w:rPr>
          <w:rFonts w:hint="eastAsia"/>
          <w:snapToGrid w:val="0"/>
          <w:szCs w:val="32"/>
        </w:rPr>
        <w:t>附件4</w:t>
      </w:r>
      <w:r>
        <w:rPr>
          <w:rFonts w:hint="eastAsia"/>
          <w:snapToGrid w:val="0"/>
          <w:szCs w:val="32"/>
          <w:lang w:val="en-US" w:eastAsia="zh-CN"/>
        </w:rPr>
        <w:t xml:space="preserve">  </w:t>
      </w:r>
      <w:r>
        <w:rPr>
          <w:rFonts w:hint="eastAsia"/>
          <w:snapToGrid w:val="0"/>
          <w:szCs w:val="32"/>
        </w:rPr>
        <w:t>关于无项目代码的情况说明</w:t>
      </w:r>
    </w:p>
    <w:p w14:paraId="7BCDBBAC">
      <w:pPr>
        <w:adjustRightInd w:val="0"/>
        <w:snapToGrid w:val="0"/>
        <w:ind w:firstLine="0" w:firstLineChars="0"/>
        <w:rPr>
          <w:rFonts w:hint="eastAsia"/>
          <w:snapToGrid w:val="0"/>
          <w:szCs w:val="32"/>
        </w:rPr>
      </w:pPr>
      <w:r>
        <w:rPr>
          <w:rFonts w:hint="eastAsia"/>
          <w:snapToGrid w:val="0"/>
          <w:szCs w:val="32"/>
        </w:rPr>
        <w:t>附件5</w:t>
      </w:r>
      <w:r>
        <w:rPr>
          <w:rFonts w:hint="eastAsia"/>
          <w:snapToGrid w:val="0"/>
          <w:szCs w:val="32"/>
          <w:lang w:val="en-US" w:eastAsia="zh-CN"/>
        </w:rPr>
        <w:t xml:space="preserve">  </w:t>
      </w:r>
      <w:r>
        <w:rPr>
          <w:rFonts w:hint="eastAsia"/>
          <w:snapToGrid w:val="0"/>
          <w:szCs w:val="32"/>
        </w:rPr>
        <w:t>寻甸鸡街生态修复自然资源局选址意见</w:t>
      </w:r>
    </w:p>
    <w:p w14:paraId="3C777DE2">
      <w:pPr>
        <w:adjustRightInd w:val="0"/>
        <w:snapToGrid w:val="0"/>
        <w:ind w:firstLine="0" w:firstLineChars="0"/>
        <w:rPr>
          <w:rFonts w:hint="eastAsia"/>
          <w:snapToGrid w:val="0"/>
          <w:szCs w:val="32"/>
        </w:rPr>
      </w:pPr>
      <w:r>
        <w:rPr>
          <w:rFonts w:hint="eastAsia"/>
          <w:snapToGrid w:val="0"/>
          <w:szCs w:val="32"/>
        </w:rPr>
        <w:t>附件6</w:t>
      </w:r>
      <w:r>
        <w:rPr>
          <w:rFonts w:hint="eastAsia"/>
          <w:snapToGrid w:val="0"/>
          <w:szCs w:val="32"/>
          <w:lang w:val="en-US" w:eastAsia="zh-CN"/>
        </w:rPr>
        <w:t xml:space="preserve">  </w:t>
      </w:r>
      <w:r>
        <w:rPr>
          <w:rFonts w:hint="eastAsia"/>
          <w:snapToGrid w:val="0"/>
          <w:szCs w:val="32"/>
        </w:rPr>
        <w:t>寻甸县水务局关于寻甸县鸡街镇废弃采石场矿坑生态修复项目选址意见</w:t>
      </w:r>
    </w:p>
    <w:p w14:paraId="49E471C3">
      <w:pPr>
        <w:adjustRightInd w:val="0"/>
        <w:snapToGrid w:val="0"/>
        <w:ind w:left="960" w:hanging="960" w:hangingChars="400"/>
        <w:rPr>
          <w:rFonts w:hint="eastAsia"/>
          <w:snapToGrid w:val="0"/>
          <w:szCs w:val="32"/>
        </w:rPr>
      </w:pPr>
      <w:r>
        <w:rPr>
          <w:rFonts w:hint="eastAsia"/>
          <w:snapToGrid w:val="0"/>
          <w:szCs w:val="32"/>
        </w:rPr>
        <w:t>附件7</w:t>
      </w:r>
      <w:r>
        <w:rPr>
          <w:rFonts w:hint="eastAsia"/>
          <w:snapToGrid w:val="0"/>
          <w:szCs w:val="32"/>
          <w:lang w:val="en-US" w:eastAsia="zh-CN"/>
        </w:rPr>
        <w:t xml:space="preserve">  </w:t>
      </w:r>
      <w:r>
        <w:rPr>
          <w:rFonts w:hint="eastAsia"/>
          <w:snapToGrid w:val="0"/>
          <w:szCs w:val="32"/>
        </w:rPr>
        <w:t>寻甸县人民政府关于依法关闭寻甸县塘子石板沟普通建筑材料用玄武岩矿等9座非煤矿山的通告</w:t>
      </w:r>
    </w:p>
    <w:p w14:paraId="60219B7B">
      <w:pPr>
        <w:adjustRightInd w:val="0"/>
        <w:snapToGrid w:val="0"/>
        <w:ind w:left="1200" w:hanging="1200" w:hangingChars="500"/>
        <w:rPr>
          <w:rFonts w:hint="eastAsia"/>
          <w:snapToGrid w:val="0"/>
          <w:szCs w:val="32"/>
        </w:rPr>
      </w:pPr>
      <w:r>
        <w:rPr>
          <w:rFonts w:hint="eastAsia"/>
          <w:snapToGrid w:val="0"/>
          <w:szCs w:val="32"/>
        </w:rPr>
        <w:t>附件8-1</w:t>
      </w:r>
      <w:r>
        <w:rPr>
          <w:rFonts w:hint="eastAsia"/>
          <w:snapToGrid w:val="0"/>
          <w:szCs w:val="32"/>
          <w:lang w:val="en-US" w:eastAsia="zh-CN"/>
        </w:rPr>
        <w:t xml:space="preserve">  </w:t>
      </w:r>
      <w:r>
        <w:rPr>
          <w:rFonts w:hint="eastAsia"/>
          <w:snapToGrid w:val="0"/>
          <w:szCs w:val="32"/>
        </w:rPr>
        <w:t>环寻便函〔2025〕80号 关于协助寻甸县鸡街镇废弃采石场矿坑生态修复项目选址查询的复函</w:t>
      </w:r>
    </w:p>
    <w:p w14:paraId="5B638CD2">
      <w:pPr>
        <w:adjustRightInd w:val="0"/>
        <w:snapToGrid w:val="0"/>
        <w:ind w:firstLine="0" w:firstLineChars="0"/>
        <w:rPr>
          <w:rFonts w:hint="eastAsia"/>
          <w:snapToGrid w:val="0"/>
          <w:szCs w:val="32"/>
        </w:rPr>
      </w:pPr>
      <w:r>
        <w:rPr>
          <w:rFonts w:hint="eastAsia"/>
          <w:snapToGrid w:val="0"/>
          <w:szCs w:val="32"/>
        </w:rPr>
        <w:t>附件8-2</w:t>
      </w:r>
      <w:r>
        <w:rPr>
          <w:rFonts w:hint="eastAsia"/>
          <w:snapToGrid w:val="0"/>
          <w:szCs w:val="32"/>
          <w:lang w:val="en-US" w:eastAsia="zh-CN"/>
        </w:rPr>
        <w:t xml:space="preserve">  </w:t>
      </w:r>
      <w:r>
        <w:rPr>
          <w:rFonts w:hint="eastAsia"/>
          <w:snapToGrid w:val="0"/>
          <w:szCs w:val="32"/>
        </w:rPr>
        <w:t>生态环境分区管控查询报告</w:t>
      </w:r>
    </w:p>
    <w:p w14:paraId="5929926E">
      <w:pPr>
        <w:adjustRightInd w:val="0"/>
        <w:snapToGrid w:val="0"/>
        <w:ind w:left="960" w:hanging="960" w:hangingChars="400"/>
        <w:rPr>
          <w:rFonts w:hint="eastAsia"/>
          <w:snapToGrid w:val="0"/>
          <w:szCs w:val="32"/>
        </w:rPr>
      </w:pPr>
      <w:r>
        <w:rPr>
          <w:rFonts w:hint="eastAsia"/>
          <w:snapToGrid w:val="0"/>
          <w:szCs w:val="32"/>
        </w:rPr>
        <w:t>附件9</w:t>
      </w:r>
      <w:r>
        <w:rPr>
          <w:rFonts w:hint="eastAsia"/>
          <w:snapToGrid w:val="0"/>
          <w:szCs w:val="32"/>
          <w:lang w:val="en-US" w:eastAsia="zh-CN"/>
        </w:rPr>
        <w:t xml:space="preserve">  </w:t>
      </w:r>
      <w:r>
        <w:rPr>
          <w:rFonts w:hint="eastAsia"/>
          <w:snapToGrid w:val="0"/>
          <w:szCs w:val="32"/>
        </w:rPr>
        <w:t>寻甸县鸡街镇戈卓龙村委会关于寻甸县常青树磷石有库綜合治理项目(鸡街镇大族塘北部和南部度弃采石场生态修复工程)的意见</w:t>
      </w:r>
    </w:p>
    <w:p w14:paraId="6138A1FA">
      <w:pPr>
        <w:adjustRightInd w:val="0"/>
        <w:snapToGrid w:val="0"/>
        <w:ind w:left="960" w:hanging="960" w:hangingChars="400"/>
        <w:rPr>
          <w:rFonts w:hint="eastAsia"/>
          <w:snapToGrid w:val="0"/>
          <w:szCs w:val="32"/>
        </w:rPr>
      </w:pPr>
      <w:r>
        <w:rPr>
          <w:rFonts w:hint="eastAsia"/>
          <w:snapToGrid w:val="0"/>
          <w:szCs w:val="32"/>
        </w:rPr>
        <w:t xml:space="preserve">附件10 </w:t>
      </w:r>
      <w:r>
        <w:rPr>
          <w:rFonts w:hint="eastAsia"/>
          <w:snapToGrid w:val="0"/>
          <w:szCs w:val="32"/>
          <w:lang w:val="en-US" w:eastAsia="zh-CN"/>
        </w:rPr>
        <w:t xml:space="preserve"> </w:t>
      </w:r>
      <w:r>
        <w:rPr>
          <w:rFonts w:hint="eastAsia"/>
          <w:snapToGrid w:val="0"/>
          <w:szCs w:val="32"/>
        </w:rPr>
        <w:t>寻甸县鸡街镇人民政府关于寻甸县常青树磷石有库综合治理项目(鸡街镇大旋塘北部和南部废弃采石场生态修复工程)的意见</w:t>
      </w:r>
    </w:p>
    <w:p w14:paraId="22AFC168">
      <w:pPr>
        <w:adjustRightInd w:val="0"/>
        <w:snapToGrid w:val="0"/>
        <w:ind w:left="960" w:hanging="960" w:hangingChars="400"/>
        <w:rPr>
          <w:rFonts w:hint="eastAsia"/>
          <w:snapToGrid w:val="0"/>
          <w:szCs w:val="32"/>
        </w:rPr>
      </w:pPr>
      <w:r>
        <w:rPr>
          <w:rFonts w:hint="eastAsia"/>
          <w:snapToGrid w:val="0"/>
          <w:szCs w:val="32"/>
        </w:rPr>
        <w:t>附件11</w:t>
      </w:r>
      <w:r>
        <w:rPr>
          <w:rFonts w:hint="eastAsia"/>
          <w:snapToGrid w:val="0"/>
          <w:szCs w:val="32"/>
          <w:lang w:val="en-US" w:eastAsia="zh-CN"/>
        </w:rPr>
        <w:t xml:space="preserve">  </w:t>
      </w:r>
      <w:r>
        <w:rPr>
          <w:rFonts w:hint="eastAsia"/>
          <w:snapToGrid w:val="0"/>
          <w:szCs w:val="32"/>
        </w:rPr>
        <w:t>自然资源局关于寻甸县常青树磷石有库综合治理项目建设工程规划许可证的情况说明</w:t>
      </w:r>
    </w:p>
    <w:p w14:paraId="69433F50">
      <w:pPr>
        <w:adjustRightInd w:val="0"/>
        <w:snapToGrid w:val="0"/>
        <w:ind w:firstLine="0" w:firstLineChars="0"/>
        <w:rPr>
          <w:rFonts w:hint="eastAsia"/>
          <w:snapToGrid w:val="0"/>
          <w:szCs w:val="32"/>
        </w:rPr>
      </w:pPr>
      <w:r>
        <w:rPr>
          <w:rFonts w:hint="eastAsia"/>
          <w:snapToGrid w:val="0"/>
          <w:szCs w:val="32"/>
        </w:rPr>
        <w:t xml:space="preserve">附件12 </w:t>
      </w:r>
      <w:r>
        <w:rPr>
          <w:rFonts w:hint="eastAsia"/>
          <w:snapToGrid w:val="0"/>
          <w:szCs w:val="32"/>
          <w:lang w:val="en-US" w:eastAsia="zh-CN"/>
        </w:rPr>
        <w:t xml:space="preserve"> </w:t>
      </w:r>
      <w:r>
        <w:rPr>
          <w:rFonts w:hint="eastAsia"/>
          <w:snapToGrid w:val="0"/>
          <w:szCs w:val="32"/>
        </w:rPr>
        <w:t>风险评估报告专家审查意见</w:t>
      </w:r>
    </w:p>
    <w:p w14:paraId="66ABF5BF">
      <w:pPr>
        <w:adjustRightInd w:val="0"/>
        <w:snapToGrid w:val="0"/>
        <w:ind w:firstLine="0" w:firstLineChars="0"/>
        <w:rPr>
          <w:rFonts w:hint="eastAsia"/>
          <w:snapToGrid w:val="0"/>
          <w:szCs w:val="32"/>
        </w:rPr>
      </w:pPr>
      <w:r>
        <w:rPr>
          <w:rFonts w:hint="eastAsia"/>
          <w:snapToGrid w:val="0"/>
          <w:szCs w:val="32"/>
        </w:rPr>
        <w:t xml:space="preserve">附件13 </w:t>
      </w:r>
      <w:r>
        <w:rPr>
          <w:rFonts w:hint="eastAsia"/>
          <w:snapToGrid w:val="0"/>
          <w:szCs w:val="32"/>
          <w:lang w:val="en-US" w:eastAsia="zh-CN"/>
        </w:rPr>
        <w:t xml:space="preserve"> </w:t>
      </w:r>
      <w:r>
        <w:rPr>
          <w:rFonts w:hint="eastAsia"/>
          <w:snapToGrid w:val="0"/>
          <w:szCs w:val="32"/>
        </w:rPr>
        <w:t>寻甸县常青树磷石春库综合治理项目环境质量现状监测报告</w:t>
      </w:r>
    </w:p>
    <w:p w14:paraId="7380EDDE">
      <w:pPr>
        <w:adjustRightInd w:val="0"/>
        <w:snapToGrid w:val="0"/>
        <w:ind w:firstLine="0" w:firstLineChars="0"/>
        <w:rPr>
          <w:rFonts w:hint="eastAsia"/>
          <w:snapToGrid w:val="0"/>
          <w:szCs w:val="32"/>
        </w:rPr>
      </w:pPr>
      <w:r>
        <w:rPr>
          <w:rFonts w:hint="eastAsia"/>
          <w:snapToGrid w:val="0"/>
          <w:szCs w:val="32"/>
        </w:rPr>
        <w:t xml:space="preserve">附件14 </w:t>
      </w:r>
      <w:r>
        <w:rPr>
          <w:rFonts w:hint="eastAsia"/>
          <w:snapToGrid w:val="0"/>
          <w:szCs w:val="32"/>
          <w:lang w:val="en-US" w:eastAsia="zh-CN"/>
        </w:rPr>
        <w:t xml:space="preserve"> </w:t>
      </w:r>
      <w:r>
        <w:rPr>
          <w:rFonts w:hint="eastAsia"/>
          <w:snapToGrid w:val="0"/>
          <w:szCs w:val="32"/>
        </w:rPr>
        <w:t>环评合同</w:t>
      </w:r>
    </w:p>
    <w:p w14:paraId="504BEF2E">
      <w:pPr>
        <w:adjustRightInd w:val="0"/>
        <w:snapToGrid w:val="0"/>
        <w:ind w:firstLine="0" w:firstLineChars="0"/>
        <w:rPr>
          <w:rFonts w:hint="eastAsia"/>
          <w:snapToGrid w:val="0"/>
          <w:szCs w:val="32"/>
        </w:rPr>
      </w:pPr>
      <w:r>
        <w:rPr>
          <w:rFonts w:hint="eastAsia"/>
          <w:snapToGrid w:val="0"/>
          <w:szCs w:val="32"/>
        </w:rPr>
        <w:t xml:space="preserve">附件15 </w:t>
      </w:r>
      <w:r>
        <w:rPr>
          <w:rFonts w:hint="eastAsia"/>
          <w:snapToGrid w:val="0"/>
          <w:szCs w:val="32"/>
          <w:lang w:val="en-US" w:eastAsia="zh-CN"/>
        </w:rPr>
        <w:t xml:space="preserve"> </w:t>
      </w:r>
      <w:r>
        <w:rPr>
          <w:rFonts w:hint="eastAsia"/>
          <w:snapToGrid w:val="0"/>
          <w:szCs w:val="32"/>
        </w:rPr>
        <w:t>审核程序表</w:t>
      </w:r>
    </w:p>
    <w:p w14:paraId="6A3E8B8E">
      <w:pPr>
        <w:adjustRightInd w:val="0"/>
        <w:snapToGrid w:val="0"/>
        <w:ind w:firstLine="0" w:firstLineChars="0"/>
        <w:rPr>
          <w:rFonts w:hint="eastAsia"/>
          <w:snapToGrid w:val="0"/>
          <w:szCs w:val="32"/>
        </w:rPr>
      </w:pPr>
      <w:r>
        <w:rPr>
          <w:rFonts w:hint="eastAsia"/>
          <w:snapToGrid w:val="0"/>
          <w:szCs w:val="32"/>
        </w:rPr>
        <w:t xml:space="preserve">附件16 </w:t>
      </w:r>
      <w:r>
        <w:rPr>
          <w:rFonts w:hint="eastAsia"/>
          <w:snapToGrid w:val="0"/>
          <w:szCs w:val="32"/>
          <w:lang w:val="en-US" w:eastAsia="zh-CN"/>
        </w:rPr>
        <w:t xml:space="preserve"> </w:t>
      </w:r>
      <w:r>
        <w:rPr>
          <w:rFonts w:hint="eastAsia"/>
          <w:snapToGrid w:val="0"/>
          <w:szCs w:val="32"/>
        </w:rPr>
        <w:t>项目进度表</w:t>
      </w:r>
    </w:p>
    <w:p w14:paraId="7FBBE831">
      <w:pPr>
        <w:pStyle w:val="3"/>
        <w:sectPr>
          <w:headerReference r:id="rId5" w:type="default"/>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7DD9A363">
      <w:pPr>
        <w:pStyle w:val="35"/>
        <w:adjustRightInd w:val="0"/>
        <w:snapToGrid w:val="0"/>
        <w:spacing w:before="0" w:beforeAutospacing="0" w:after="0" w:afterAutospacing="0"/>
        <w:ind w:firstLine="0" w:firstLineChars="0"/>
        <w:jc w:val="center"/>
        <w:outlineLvl w:val="0"/>
        <w:rPr>
          <w:rFonts w:ascii="Times New Roman" w:hAnsi="Times New Roman"/>
          <w:snapToGrid w:val="0"/>
          <w:sz w:val="30"/>
          <w:szCs w:val="30"/>
        </w:rPr>
      </w:pPr>
      <w:bookmarkStart w:id="0" w:name="_Toc21361"/>
      <w:bookmarkStart w:id="1" w:name="_Toc23560"/>
      <w:r>
        <w:rPr>
          <w:rFonts w:hint="eastAsia" w:ascii="Times New Roman" w:hAnsi="Times New Roman"/>
          <w:snapToGrid w:val="0"/>
          <w:sz w:val="30"/>
          <w:szCs w:val="30"/>
        </w:rPr>
        <w:t>一、建设项目基本情况</w:t>
      </w:r>
      <w:bookmarkEnd w:id="0"/>
      <w:bookmarkEnd w:id="1"/>
    </w:p>
    <w:tbl>
      <w:tblPr>
        <w:tblStyle w:val="40"/>
        <w:tblW w:w="8923"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835"/>
        <w:gridCol w:w="1109"/>
        <w:gridCol w:w="1845"/>
        <w:gridCol w:w="2145"/>
        <w:gridCol w:w="2989"/>
      </w:tblGrid>
      <w:tr w14:paraId="56A55D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2" w:hRule="atLeast"/>
        </w:trPr>
        <w:tc>
          <w:tcPr>
            <w:tcW w:w="1944" w:type="dxa"/>
            <w:gridSpan w:val="2"/>
            <w:tcMar>
              <w:top w:w="16" w:type="dxa"/>
              <w:left w:w="16" w:type="dxa"/>
              <w:right w:w="16" w:type="dxa"/>
            </w:tcMar>
            <w:vAlign w:val="center"/>
          </w:tcPr>
          <w:p w14:paraId="4BFFD6E1">
            <w:pPr>
              <w:adjustRightInd w:val="0"/>
              <w:snapToGrid w:val="0"/>
              <w:spacing w:line="240" w:lineRule="auto"/>
              <w:ind w:firstLine="0" w:firstLineChars="0"/>
              <w:jc w:val="center"/>
              <w:rPr>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建设项目名称</w:t>
            </w:r>
          </w:p>
        </w:tc>
        <w:tc>
          <w:tcPr>
            <w:tcW w:w="6979" w:type="dxa"/>
            <w:gridSpan w:val="3"/>
            <w:vAlign w:val="center"/>
          </w:tcPr>
          <w:p w14:paraId="530A520A">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寻甸县常青树磷石膏库综合治理项目（鸡街镇大旋塘北部和南部废弃采石场生态修复工程）</w:t>
            </w:r>
          </w:p>
        </w:tc>
      </w:tr>
      <w:tr w14:paraId="707A8D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6" w:hRule="atLeast"/>
        </w:trPr>
        <w:tc>
          <w:tcPr>
            <w:tcW w:w="1944" w:type="dxa"/>
            <w:gridSpan w:val="2"/>
            <w:tcMar>
              <w:top w:w="16" w:type="dxa"/>
              <w:left w:w="16" w:type="dxa"/>
              <w:right w:w="16" w:type="dxa"/>
            </w:tcMar>
            <w:vAlign w:val="center"/>
          </w:tcPr>
          <w:p w14:paraId="39332E5E">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项目代码</w:t>
            </w:r>
          </w:p>
        </w:tc>
        <w:tc>
          <w:tcPr>
            <w:tcW w:w="6979" w:type="dxa"/>
            <w:gridSpan w:val="3"/>
            <w:vAlign w:val="center"/>
          </w:tcPr>
          <w:p w14:paraId="46981D1B">
            <w:pPr>
              <w:adjustRightInd w:val="0"/>
              <w:snapToGrid w:val="0"/>
              <w:spacing w:line="240" w:lineRule="auto"/>
              <w:ind w:firstLine="0" w:firstLineChars="0"/>
              <w:jc w:val="center"/>
              <w:rPr>
                <w:rFonts w:hint="default" w:eastAsia="宋体"/>
                <w:color w:val="000000" w:themeColor="text1"/>
                <w:szCs w:val="21"/>
                <w:highlight w:val="none"/>
                <w:lang w:val="en-US" w:eastAsia="zh-CN"/>
                <w14:textFill>
                  <w14:solidFill>
                    <w14:schemeClr w14:val="tx1"/>
                  </w14:solidFill>
                </w14:textFill>
              </w:rPr>
            </w:pPr>
            <w:r>
              <w:rPr>
                <w:rFonts w:hint="eastAsia"/>
                <w:color w:val="000000" w:themeColor="text1"/>
                <w:szCs w:val="21"/>
                <w:highlight w:val="none"/>
                <w:lang w:val="en-US" w:eastAsia="zh-CN"/>
                <w14:textFill>
                  <w14:solidFill>
                    <w14:schemeClr w14:val="tx1"/>
                  </w14:solidFill>
                </w14:textFill>
              </w:rPr>
              <w:t>--</w:t>
            </w:r>
          </w:p>
        </w:tc>
      </w:tr>
      <w:tr w14:paraId="7CECE23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44" w:type="dxa"/>
            <w:gridSpan w:val="2"/>
            <w:tcMar>
              <w:top w:w="16" w:type="dxa"/>
              <w:left w:w="16" w:type="dxa"/>
              <w:right w:w="16" w:type="dxa"/>
            </w:tcMar>
            <w:vAlign w:val="center"/>
          </w:tcPr>
          <w:p w14:paraId="2EF3C095">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建设单位联系人</w:t>
            </w:r>
          </w:p>
        </w:tc>
        <w:tc>
          <w:tcPr>
            <w:tcW w:w="1845" w:type="dxa"/>
            <w:vAlign w:val="center"/>
          </w:tcPr>
          <w:p w14:paraId="6371201B">
            <w:pPr>
              <w:adjustRightInd w:val="0"/>
              <w:snapToGrid w:val="0"/>
              <w:spacing w:line="240" w:lineRule="auto"/>
              <w:ind w:firstLine="0" w:firstLineChars="0"/>
              <w:jc w:val="center"/>
              <w:rPr>
                <w:rFonts w:hint="default" w:eastAsia="宋体"/>
                <w:color w:val="000000" w:themeColor="text1"/>
                <w:szCs w:val="21"/>
                <w:highlight w:val="none"/>
                <w:lang w:val="en-US" w:eastAsia="zh-CN"/>
                <w14:textFill>
                  <w14:solidFill>
                    <w14:schemeClr w14:val="tx1"/>
                  </w14:solidFill>
                </w14:textFill>
              </w:rPr>
            </w:pPr>
          </w:p>
        </w:tc>
        <w:tc>
          <w:tcPr>
            <w:tcW w:w="2145" w:type="dxa"/>
            <w:vAlign w:val="center"/>
          </w:tcPr>
          <w:p w14:paraId="1121AC37">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联系方式</w:t>
            </w:r>
          </w:p>
        </w:tc>
        <w:tc>
          <w:tcPr>
            <w:tcW w:w="2989" w:type="dxa"/>
            <w:vAlign w:val="center"/>
          </w:tcPr>
          <w:p w14:paraId="7849D0AF">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p>
        </w:tc>
      </w:tr>
      <w:tr w14:paraId="0F1C05E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44" w:type="dxa"/>
            <w:gridSpan w:val="2"/>
            <w:tcMar>
              <w:top w:w="16" w:type="dxa"/>
              <w:left w:w="16" w:type="dxa"/>
              <w:right w:w="16" w:type="dxa"/>
            </w:tcMar>
            <w:vAlign w:val="center"/>
          </w:tcPr>
          <w:p w14:paraId="41E04856">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建设地点</w:t>
            </w:r>
          </w:p>
        </w:tc>
        <w:tc>
          <w:tcPr>
            <w:tcW w:w="6979" w:type="dxa"/>
            <w:gridSpan w:val="3"/>
            <w:vAlign w:val="center"/>
          </w:tcPr>
          <w:p w14:paraId="4C0065AD">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寻甸县鸡街镇古城新石桥村大旋塘采石场</w:t>
            </w:r>
          </w:p>
        </w:tc>
      </w:tr>
      <w:tr w14:paraId="3C579E9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44" w:type="dxa"/>
            <w:gridSpan w:val="2"/>
            <w:tcMar>
              <w:top w:w="16" w:type="dxa"/>
              <w:left w:w="16" w:type="dxa"/>
              <w:right w:w="16" w:type="dxa"/>
            </w:tcMar>
            <w:vAlign w:val="center"/>
          </w:tcPr>
          <w:p w14:paraId="6E42629A">
            <w:pPr>
              <w:adjustRightInd w:val="0"/>
              <w:snapToGrid w:val="0"/>
              <w:spacing w:line="240" w:lineRule="auto"/>
              <w:ind w:firstLine="0" w:firstLineChars="0"/>
              <w:jc w:val="center"/>
              <w:rPr>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地理坐标</w:t>
            </w:r>
          </w:p>
        </w:tc>
        <w:tc>
          <w:tcPr>
            <w:tcW w:w="6979" w:type="dxa"/>
            <w:gridSpan w:val="3"/>
            <w:vAlign w:val="center"/>
          </w:tcPr>
          <w:p w14:paraId="70E5F62A">
            <w:pPr>
              <w:adjustRightInd w:val="0"/>
              <w:snapToGrid w:val="0"/>
              <w:spacing w:line="240" w:lineRule="auto"/>
              <w:ind w:firstLine="0" w:firstLineChars="0"/>
              <w:jc w:val="center"/>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东经102°48′12.47887″，北纬25°36′11.11837″</w:t>
            </w:r>
          </w:p>
        </w:tc>
      </w:tr>
      <w:tr w14:paraId="631FDD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6" w:hRule="atLeast"/>
        </w:trPr>
        <w:tc>
          <w:tcPr>
            <w:tcW w:w="1944" w:type="dxa"/>
            <w:gridSpan w:val="2"/>
            <w:tcMar>
              <w:top w:w="16" w:type="dxa"/>
              <w:left w:w="16" w:type="dxa"/>
              <w:right w:w="16" w:type="dxa"/>
            </w:tcMar>
            <w:vAlign w:val="center"/>
          </w:tcPr>
          <w:p w14:paraId="3F24C244">
            <w:pPr>
              <w:adjustRightInd w:val="0"/>
              <w:snapToGrid w:val="0"/>
              <w:spacing w:line="240" w:lineRule="auto"/>
              <w:ind w:firstLine="0" w:firstLineChars="0"/>
              <w:jc w:val="center"/>
              <w:rPr>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建设项目</w:t>
            </w:r>
          </w:p>
          <w:p w14:paraId="38DFD04D">
            <w:pPr>
              <w:adjustRightInd w:val="0"/>
              <w:snapToGrid w:val="0"/>
              <w:spacing w:line="240" w:lineRule="auto"/>
              <w:ind w:firstLine="0" w:firstLineChars="0"/>
              <w:jc w:val="center"/>
              <w:rPr>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行业类别</w:t>
            </w:r>
          </w:p>
        </w:tc>
        <w:tc>
          <w:tcPr>
            <w:tcW w:w="1845" w:type="dxa"/>
            <w:vAlign w:val="center"/>
          </w:tcPr>
          <w:p w14:paraId="0AC8608D">
            <w:pPr>
              <w:adjustRightInd w:val="0"/>
              <w:snapToGrid w:val="0"/>
              <w:spacing w:line="240" w:lineRule="auto"/>
              <w:ind w:firstLine="0" w:firstLineChars="0"/>
              <w:jc w:val="center"/>
              <w:rPr>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八、非金属矿采选业-11土砂石开采101（不含河道采砂项目）-其他</w:t>
            </w:r>
          </w:p>
        </w:tc>
        <w:tc>
          <w:tcPr>
            <w:tcW w:w="2145" w:type="dxa"/>
            <w:vAlign w:val="center"/>
          </w:tcPr>
          <w:p w14:paraId="44EA3D65">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用地（用海）面积（㎡）/长度（km）</w:t>
            </w:r>
          </w:p>
        </w:tc>
        <w:tc>
          <w:tcPr>
            <w:tcW w:w="2989" w:type="dxa"/>
            <w:vAlign w:val="center"/>
          </w:tcPr>
          <w:p w14:paraId="0492C582">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lang w:eastAsia="zh-CN"/>
                <w14:textFill>
                  <w14:solidFill>
                    <w14:schemeClr w14:val="tx1"/>
                  </w14:solidFill>
                </w14:textFill>
              </w:rPr>
              <w:t>127097</w:t>
            </w:r>
            <w:r>
              <w:rPr>
                <w:rFonts w:hint="eastAsia"/>
                <w:color w:val="000000" w:themeColor="text1"/>
                <w:szCs w:val="21"/>
                <w:highlight w:val="none"/>
                <w14:textFill>
                  <w14:solidFill>
                    <w14:schemeClr w14:val="tx1"/>
                  </w14:solidFill>
                </w14:textFill>
              </w:rPr>
              <w:t>m</w:t>
            </w:r>
            <w:r>
              <w:rPr>
                <w:rFonts w:hint="eastAsia"/>
                <w:color w:val="000000" w:themeColor="text1"/>
                <w:szCs w:val="21"/>
                <w:highlight w:val="none"/>
                <w:vertAlign w:val="superscript"/>
                <w14:textFill>
                  <w14:solidFill>
                    <w14:schemeClr w14:val="tx1"/>
                  </w14:solidFill>
                </w14:textFill>
              </w:rPr>
              <w:t>2</w:t>
            </w:r>
          </w:p>
        </w:tc>
      </w:tr>
      <w:tr w14:paraId="3499CCE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44" w:type="dxa"/>
            <w:gridSpan w:val="2"/>
            <w:tcMar>
              <w:top w:w="16" w:type="dxa"/>
              <w:left w:w="16" w:type="dxa"/>
              <w:right w:w="16" w:type="dxa"/>
            </w:tcMar>
            <w:vAlign w:val="center"/>
          </w:tcPr>
          <w:p w14:paraId="42F101BC">
            <w:pPr>
              <w:adjustRightInd w:val="0"/>
              <w:snapToGrid w:val="0"/>
              <w:spacing w:line="240" w:lineRule="auto"/>
              <w:ind w:firstLine="0" w:firstLineChars="0"/>
              <w:jc w:val="center"/>
              <w:rPr>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建设性质</w:t>
            </w:r>
          </w:p>
        </w:tc>
        <w:tc>
          <w:tcPr>
            <w:tcW w:w="1845" w:type="dxa"/>
            <w:vAlign w:val="center"/>
          </w:tcPr>
          <w:p w14:paraId="74F4CF27">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sym w:font="Wingdings 2" w:char="0052"/>
            </w:r>
            <w:r>
              <w:rPr>
                <w:rFonts w:hint="eastAsia"/>
                <w:color w:val="000000" w:themeColor="text1"/>
                <w:szCs w:val="21"/>
                <w:highlight w:val="none"/>
                <w14:textFill>
                  <w14:solidFill>
                    <w14:schemeClr w14:val="tx1"/>
                  </w14:solidFill>
                </w14:textFill>
              </w:rPr>
              <w:t>新建（迁建）</w:t>
            </w:r>
          </w:p>
          <w:p w14:paraId="0208BB98">
            <w:pPr>
              <w:adjustRightInd w:val="0"/>
              <w:snapToGrid w:val="0"/>
              <w:spacing w:line="240" w:lineRule="auto"/>
              <w:ind w:firstLine="240" w:firstLineChars="1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□改建</w:t>
            </w:r>
          </w:p>
          <w:p w14:paraId="642A04DF">
            <w:pPr>
              <w:adjustRightInd w:val="0"/>
              <w:snapToGrid w:val="0"/>
              <w:spacing w:line="240" w:lineRule="auto"/>
              <w:ind w:firstLine="240" w:firstLineChars="1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□扩建</w:t>
            </w:r>
          </w:p>
          <w:p w14:paraId="0C0D2C44">
            <w:pPr>
              <w:adjustRightInd w:val="0"/>
              <w:snapToGrid w:val="0"/>
              <w:spacing w:line="240" w:lineRule="auto"/>
              <w:ind w:firstLine="240" w:firstLineChars="10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□技术改造</w:t>
            </w:r>
          </w:p>
        </w:tc>
        <w:tc>
          <w:tcPr>
            <w:tcW w:w="2145" w:type="dxa"/>
            <w:vAlign w:val="center"/>
          </w:tcPr>
          <w:p w14:paraId="61D4A18B">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建设项目</w:t>
            </w:r>
          </w:p>
          <w:p w14:paraId="4F5974F4">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申报情形</w:t>
            </w:r>
          </w:p>
        </w:tc>
        <w:tc>
          <w:tcPr>
            <w:tcW w:w="2989" w:type="dxa"/>
            <w:vAlign w:val="center"/>
          </w:tcPr>
          <w:p w14:paraId="45083C2C">
            <w:pPr>
              <w:adjustRightInd w:val="0"/>
              <w:snapToGrid w:val="0"/>
              <w:spacing w:line="240" w:lineRule="auto"/>
              <w:ind w:firstLine="0" w:firstLineChars="0"/>
              <w:jc w:val="left"/>
              <w:rPr>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sym w:font="Wingdings 2" w:char="0052"/>
            </w:r>
            <w:r>
              <w:rPr>
                <w:rFonts w:hint="eastAsia"/>
                <w:snapToGrid w:val="0"/>
                <w:color w:val="000000" w:themeColor="text1"/>
                <w:kern w:val="0"/>
                <w:highlight w:val="none"/>
                <w14:textFill>
                  <w14:solidFill>
                    <w14:schemeClr w14:val="tx1"/>
                  </w14:solidFill>
                </w14:textFill>
              </w:rPr>
              <w:t>首次申报项目</w:t>
            </w:r>
          </w:p>
          <w:p w14:paraId="36A5C376">
            <w:pPr>
              <w:adjustRightInd w:val="0"/>
              <w:snapToGrid w:val="0"/>
              <w:spacing w:line="240" w:lineRule="auto"/>
              <w:ind w:firstLine="0" w:firstLineChars="0"/>
              <w:jc w:val="left"/>
              <w:rPr>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□不予批准后再次申报项目</w:t>
            </w:r>
          </w:p>
          <w:p w14:paraId="3AA1E8DD">
            <w:pPr>
              <w:adjustRightInd w:val="0"/>
              <w:snapToGrid w:val="0"/>
              <w:spacing w:line="240" w:lineRule="auto"/>
              <w:ind w:firstLine="0" w:firstLineChars="0"/>
              <w:jc w:val="left"/>
              <w:rPr>
                <w:snapToGrid w:val="0"/>
                <w:color w:val="000000" w:themeColor="text1"/>
                <w:kern w:val="0"/>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□超五年重新审核项目</w:t>
            </w:r>
          </w:p>
          <w:p w14:paraId="43B44332">
            <w:pPr>
              <w:adjustRightInd w:val="0"/>
              <w:snapToGrid w:val="0"/>
              <w:spacing w:line="240" w:lineRule="auto"/>
              <w:ind w:firstLine="0" w:firstLineChars="0"/>
              <w:jc w:val="left"/>
              <w:rPr>
                <w:color w:val="000000" w:themeColor="text1"/>
                <w:szCs w:val="21"/>
                <w:highlight w:val="none"/>
                <w14:textFill>
                  <w14:solidFill>
                    <w14:schemeClr w14:val="tx1"/>
                  </w14:solidFill>
                </w14:textFill>
              </w:rPr>
            </w:pPr>
            <w:r>
              <w:rPr>
                <w:rFonts w:hint="eastAsia"/>
                <w:snapToGrid w:val="0"/>
                <w:color w:val="000000" w:themeColor="text1"/>
                <w:kern w:val="0"/>
                <w:highlight w:val="none"/>
                <w14:textFill>
                  <w14:solidFill>
                    <w14:schemeClr w14:val="tx1"/>
                  </w14:solidFill>
                </w14:textFill>
              </w:rPr>
              <w:t>□重大变动重新报批项目</w:t>
            </w:r>
          </w:p>
        </w:tc>
      </w:tr>
      <w:tr w14:paraId="1EB909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62" w:hRule="atLeast"/>
        </w:trPr>
        <w:tc>
          <w:tcPr>
            <w:tcW w:w="1944" w:type="dxa"/>
            <w:gridSpan w:val="2"/>
            <w:tcMar>
              <w:top w:w="16" w:type="dxa"/>
              <w:left w:w="16" w:type="dxa"/>
              <w:right w:w="16" w:type="dxa"/>
            </w:tcMar>
            <w:vAlign w:val="center"/>
          </w:tcPr>
          <w:p w14:paraId="7A5BDE77">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项目审批（核准</w:t>
            </w:r>
            <w:r>
              <w:rPr>
                <w:color w:val="000000" w:themeColor="text1"/>
                <w:szCs w:val="21"/>
                <w:highlight w:val="none"/>
                <w14:textFill>
                  <w14:solidFill>
                    <w14:schemeClr w14:val="tx1"/>
                  </w14:solidFill>
                </w14:textFill>
              </w:rPr>
              <w:t>/</w:t>
            </w:r>
          </w:p>
          <w:p w14:paraId="2DC118D4">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备案）部门（选填）</w:t>
            </w:r>
          </w:p>
        </w:tc>
        <w:tc>
          <w:tcPr>
            <w:tcW w:w="1845" w:type="dxa"/>
            <w:vAlign w:val="center"/>
          </w:tcPr>
          <w:p w14:paraId="61901EF9">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寻甸回族彝族自治县发展和改革局</w:t>
            </w:r>
          </w:p>
        </w:tc>
        <w:tc>
          <w:tcPr>
            <w:tcW w:w="2145" w:type="dxa"/>
            <w:vAlign w:val="center"/>
          </w:tcPr>
          <w:p w14:paraId="737ACB6F">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项目审批（核准</w:t>
            </w:r>
            <w:r>
              <w:rPr>
                <w:color w:val="000000" w:themeColor="text1"/>
                <w:szCs w:val="21"/>
                <w:highlight w:val="none"/>
                <w14:textFill>
                  <w14:solidFill>
                    <w14:schemeClr w14:val="tx1"/>
                  </w14:solidFill>
                </w14:textFill>
              </w:rPr>
              <w:t>/</w:t>
            </w:r>
          </w:p>
          <w:p w14:paraId="47C054E3">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备案）文号（选填）</w:t>
            </w:r>
          </w:p>
        </w:tc>
        <w:tc>
          <w:tcPr>
            <w:tcW w:w="2989" w:type="dxa"/>
            <w:vAlign w:val="center"/>
          </w:tcPr>
          <w:p w14:paraId="6E18F180">
            <w:pPr>
              <w:adjustRightInd w:val="0"/>
              <w:snapToGrid w:val="0"/>
              <w:spacing w:line="240" w:lineRule="auto"/>
              <w:ind w:firstLine="0" w:firstLineChars="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寻发改投资[2025]1号</w:t>
            </w:r>
          </w:p>
        </w:tc>
      </w:tr>
      <w:tr w14:paraId="1AECFA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5" w:hRule="atLeast"/>
        </w:trPr>
        <w:tc>
          <w:tcPr>
            <w:tcW w:w="1944" w:type="dxa"/>
            <w:gridSpan w:val="2"/>
            <w:tcMar>
              <w:top w:w="16" w:type="dxa"/>
              <w:left w:w="16" w:type="dxa"/>
              <w:right w:w="16" w:type="dxa"/>
            </w:tcMar>
            <w:vAlign w:val="center"/>
          </w:tcPr>
          <w:p w14:paraId="0C431AB8">
            <w:pPr>
              <w:adjustRightInd w:val="0"/>
              <w:snapToGrid w:val="0"/>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总投资（万元）</w:t>
            </w:r>
          </w:p>
        </w:tc>
        <w:tc>
          <w:tcPr>
            <w:tcW w:w="1845" w:type="dxa"/>
            <w:vAlign w:val="center"/>
          </w:tcPr>
          <w:p w14:paraId="55883D6D">
            <w:pPr>
              <w:adjustRightInd w:val="0"/>
              <w:snapToGrid w:val="0"/>
              <w:spacing w:line="240" w:lineRule="auto"/>
              <w:ind w:firstLine="0" w:firstLineChars="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6373.87</w:t>
            </w:r>
          </w:p>
        </w:tc>
        <w:tc>
          <w:tcPr>
            <w:tcW w:w="2145" w:type="dxa"/>
            <w:tcMar>
              <w:top w:w="16" w:type="dxa"/>
              <w:left w:w="16" w:type="dxa"/>
              <w:right w:w="16" w:type="dxa"/>
            </w:tcMar>
            <w:vAlign w:val="center"/>
          </w:tcPr>
          <w:p w14:paraId="6A754D16">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环保投资（万元）</w:t>
            </w:r>
          </w:p>
        </w:tc>
        <w:tc>
          <w:tcPr>
            <w:tcW w:w="2989" w:type="dxa"/>
            <w:vAlign w:val="center"/>
          </w:tcPr>
          <w:p w14:paraId="142A7A5C">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864.5</w:t>
            </w:r>
          </w:p>
        </w:tc>
      </w:tr>
      <w:tr w14:paraId="7817AE5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64" w:hRule="atLeast"/>
        </w:trPr>
        <w:tc>
          <w:tcPr>
            <w:tcW w:w="1944" w:type="dxa"/>
            <w:gridSpan w:val="2"/>
            <w:tcMar>
              <w:top w:w="16" w:type="dxa"/>
              <w:left w:w="16" w:type="dxa"/>
              <w:right w:w="16" w:type="dxa"/>
            </w:tcMar>
            <w:vAlign w:val="center"/>
          </w:tcPr>
          <w:p w14:paraId="04EB94B4">
            <w:pPr>
              <w:adjustRightInd w:val="0"/>
              <w:snapToGrid w:val="0"/>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环保投资占比（</w:t>
            </w:r>
            <w:r>
              <w:rPr>
                <w:color w:val="000000" w:themeColor="text1"/>
                <w:szCs w:val="21"/>
                <w:highlight w:val="none"/>
                <w14:textFill>
                  <w14:solidFill>
                    <w14:schemeClr w14:val="tx1"/>
                  </w14:solidFill>
                </w14:textFill>
              </w:rPr>
              <w:t>%</w:t>
            </w:r>
            <w:r>
              <w:rPr>
                <w:rFonts w:hint="eastAsia"/>
                <w:color w:val="000000" w:themeColor="text1"/>
                <w:szCs w:val="21"/>
                <w:highlight w:val="none"/>
                <w14:textFill>
                  <w14:solidFill>
                    <w14:schemeClr w14:val="tx1"/>
                  </w14:solidFill>
                </w14:textFill>
              </w:rPr>
              <w:t>）</w:t>
            </w:r>
          </w:p>
        </w:tc>
        <w:tc>
          <w:tcPr>
            <w:tcW w:w="1845" w:type="dxa"/>
            <w:vAlign w:val="center"/>
          </w:tcPr>
          <w:p w14:paraId="23E5514B">
            <w:pPr>
              <w:adjustRightInd w:val="0"/>
              <w:snapToGrid w:val="0"/>
              <w:spacing w:line="240" w:lineRule="auto"/>
              <w:ind w:firstLine="0" w:firstLineChars="0"/>
              <w:jc w:val="center"/>
              <w:rPr>
                <w:rFonts w:hint="eastAsia"/>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13.56</w:t>
            </w:r>
          </w:p>
        </w:tc>
        <w:tc>
          <w:tcPr>
            <w:tcW w:w="2145" w:type="dxa"/>
            <w:tcMar>
              <w:top w:w="16" w:type="dxa"/>
              <w:left w:w="16" w:type="dxa"/>
              <w:right w:w="16" w:type="dxa"/>
            </w:tcMar>
            <w:vAlign w:val="center"/>
          </w:tcPr>
          <w:p w14:paraId="56968E46">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施工工期</w:t>
            </w:r>
          </w:p>
        </w:tc>
        <w:tc>
          <w:tcPr>
            <w:tcW w:w="2989" w:type="dxa"/>
            <w:vAlign w:val="center"/>
          </w:tcPr>
          <w:p w14:paraId="1A0B01E6">
            <w:pPr>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总工期30个月</w:t>
            </w:r>
          </w:p>
        </w:tc>
      </w:tr>
      <w:tr w14:paraId="5608002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264" w:hRule="atLeast"/>
        </w:trPr>
        <w:tc>
          <w:tcPr>
            <w:tcW w:w="1944" w:type="dxa"/>
            <w:gridSpan w:val="2"/>
            <w:tcMar>
              <w:top w:w="16" w:type="dxa"/>
              <w:left w:w="16" w:type="dxa"/>
              <w:right w:w="16" w:type="dxa"/>
            </w:tcMar>
          </w:tcPr>
          <w:p w14:paraId="763BD02B">
            <w:pPr>
              <w:adjustRightInd w:val="0"/>
              <w:snapToGrid w:val="0"/>
              <w:ind w:firstLine="0" w:firstLineChars="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是否开工建设</w:t>
            </w:r>
          </w:p>
        </w:tc>
        <w:tc>
          <w:tcPr>
            <w:tcW w:w="6979" w:type="dxa"/>
            <w:gridSpan w:val="3"/>
            <w:vAlign w:val="center"/>
          </w:tcPr>
          <w:p w14:paraId="58089210">
            <w:pPr>
              <w:adjustRightInd w:val="0"/>
              <w:snapToGrid w:val="0"/>
              <w:spacing w:line="240" w:lineRule="auto"/>
              <w:ind w:firstLine="480"/>
              <w:rPr>
                <w:color w:val="000000" w:themeColor="text1"/>
                <w:szCs w:val="21"/>
                <w:highlight w:val="none"/>
                <w14:textFill>
                  <w14:solidFill>
                    <w14:schemeClr w14:val="tx1"/>
                  </w14:solidFill>
                </w14:textFill>
              </w:rPr>
            </w:pPr>
            <w:r>
              <w:rPr>
                <w:rFonts w:hint="eastAsia"/>
                <w:color w:val="000000" w:themeColor="text1"/>
                <w:highlight w:val="none"/>
                <w14:textFill>
                  <w14:solidFill>
                    <w14:schemeClr w14:val="tx1"/>
                  </w14:solidFill>
                </w14:textFill>
              </w:rPr>
              <w:sym w:font="Wingdings 2" w:char="0052"/>
            </w:r>
            <w:r>
              <w:rPr>
                <w:rFonts w:hint="eastAsia"/>
                <w:color w:val="000000" w:themeColor="text1"/>
                <w:szCs w:val="21"/>
                <w:highlight w:val="none"/>
                <w14:textFill>
                  <w14:solidFill>
                    <w14:schemeClr w14:val="tx1"/>
                  </w14:solidFill>
                </w14:textFill>
              </w:rPr>
              <w:t>否</w:t>
            </w:r>
          </w:p>
          <w:p w14:paraId="6E015B74">
            <w:pPr>
              <w:adjustRightInd w:val="0"/>
              <w:snapToGrid w:val="0"/>
              <w:spacing w:line="240" w:lineRule="auto"/>
              <w:ind w:firstLine="480"/>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□是：</w:t>
            </w:r>
          </w:p>
        </w:tc>
      </w:tr>
      <w:tr w14:paraId="30980FA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98" w:hRule="atLeast"/>
        </w:trPr>
        <w:tc>
          <w:tcPr>
            <w:tcW w:w="1944" w:type="dxa"/>
            <w:gridSpan w:val="2"/>
            <w:tcMar>
              <w:top w:w="16" w:type="dxa"/>
              <w:left w:w="16" w:type="dxa"/>
              <w:right w:w="16" w:type="dxa"/>
            </w:tcMar>
            <w:vAlign w:val="center"/>
          </w:tcPr>
          <w:p w14:paraId="26140426">
            <w:pPr>
              <w:autoSpaceDE w:val="0"/>
              <w:autoSpaceDN w:val="0"/>
              <w:adjustRightInd w:val="0"/>
              <w:snapToGrid w:val="0"/>
              <w:spacing w:line="240" w:lineRule="auto"/>
              <w:ind w:firstLine="0" w:firstLineChars="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专项评价设置情况</w:t>
            </w:r>
          </w:p>
        </w:tc>
        <w:tc>
          <w:tcPr>
            <w:tcW w:w="6979" w:type="dxa"/>
            <w:gridSpan w:val="3"/>
            <w:tcMar>
              <w:top w:w="16" w:type="dxa"/>
              <w:left w:w="16" w:type="dxa"/>
              <w:right w:w="16" w:type="dxa"/>
            </w:tcMar>
            <w:vAlign w:val="center"/>
          </w:tcPr>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54"/>
              <w:gridCol w:w="3470"/>
              <w:gridCol w:w="2313"/>
            </w:tblGrid>
            <w:tr w14:paraId="4B107A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4" w:hRule="atLeast"/>
              </w:trPr>
              <w:tc>
                <w:tcPr>
                  <w:tcW w:w="1154" w:type="dxa"/>
                  <w:vAlign w:val="center"/>
                </w:tcPr>
                <w:p w14:paraId="24018075">
                  <w:pPr>
                    <w:adjustRightInd w:val="0"/>
                    <w:snapToGrid w:val="0"/>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专项类别</w:t>
                  </w:r>
                </w:p>
              </w:tc>
              <w:tc>
                <w:tcPr>
                  <w:tcW w:w="3470" w:type="dxa"/>
                  <w:vAlign w:val="center"/>
                </w:tcPr>
                <w:p w14:paraId="550C7B1B">
                  <w:pPr>
                    <w:adjustRightInd w:val="0"/>
                    <w:snapToGrid w:val="0"/>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涉及项目类别</w:t>
                  </w:r>
                </w:p>
              </w:tc>
              <w:tc>
                <w:tcPr>
                  <w:tcW w:w="2313" w:type="dxa"/>
                  <w:vAlign w:val="center"/>
                </w:tcPr>
                <w:p w14:paraId="5488DBFC">
                  <w:pPr>
                    <w:adjustRightInd w:val="0"/>
                    <w:snapToGrid w:val="0"/>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项目情况</w:t>
                  </w:r>
                </w:p>
              </w:tc>
            </w:tr>
            <w:tr w14:paraId="4455E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4" w:type="dxa"/>
                  <w:vAlign w:val="center"/>
                </w:tcPr>
                <w:p w14:paraId="29694FC3">
                  <w:pPr>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地表水</w:t>
                  </w:r>
                </w:p>
              </w:tc>
              <w:tc>
                <w:tcPr>
                  <w:tcW w:w="3470" w:type="dxa"/>
                  <w:vAlign w:val="center"/>
                </w:tcPr>
                <w:p w14:paraId="07D084C5">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水力发电：引水式发电、涉及调峰发电的项目；</w:t>
                  </w:r>
                </w:p>
                <w:p w14:paraId="11B92649">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人工湖、人工湿地：全部；</w:t>
                  </w:r>
                </w:p>
                <w:p w14:paraId="328B554A">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水库：全部；</w:t>
                  </w:r>
                </w:p>
                <w:p w14:paraId="1E03B541">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引水工程：全部（配套的管线工程等除外）；</w:t>
                  </w:r>
                </w:p>
                <w:p w14:paraId="11AC63F8">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防洪除涝工程：包含水库的项目；</w:t>
                  </w:r>
                </w:p>
                <w:p w14:paraId="79F7C51C">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河湖整治：涉及清淤且底泥存在重金属污染的项目</w:t>
                  </w:r>
                </w:p>
              </w:tc>
              <w:tc>
                <w:tcPr>
                  <w:tcW w:w="2313" w:type="dxa"/>
                  <w:vAlign w:val="center"/>
                </w:tcPr>
                <w:p w14:paraId="575BECC9">
                  <w:pPr>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本项目属于</w:t>
                  </w:r>
                  <w:r>
                    <w:rPr>
                      <w:rFonts w:hint="eastAsia"/>
                      <w:color w:val="000000" w:themeColor="text1"/>
                      <w:sz w:val="21"/>
                      <w:szCs w:val="21"/>
                      <w:highlight w:val="none"/>
                      <w14:textFill>
                        <w14:solidFill>
                          <w14:schemeClr w14:val="tx1"/>
                        </w14:solidFill>
                      </w14:textFill>
                    </w:rPr>
                    <w:t>废弃矿坑生态修复项目，不涉及水力发电、饮水工程等地表水专项设置项目内容。不设地表水专项评价。</w:t>
                  </w:r>
                </w:p>
              </w:tc>
            </w:tr>
            <w:tr w14:paraId="0512F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4" w:type="dxa"/>
                  <w:vAlign w:val="center"/>
                </w:tcPr>
                <w:p w14:paraId="5315ADD9">
                  <w:pPr>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地下水</w:t>
                  </w:r>
                </w:p>
              </w:tc>
              <w:tc>
                <w:tcPr>
                  <w:tcW w:w="3470" w:type="dxa"/>
                  <w:vAlign w:val="center"/>
                </w:tcPr>
                <w:p w14:paraId="699B5ADE">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陆地石油和天然气开采：全部；</w:t>
                  </w:r>
                </w:p>
                <w:p w14:paraId="5093B5AA">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地下水（含矿泉水）开采：全部；</w:t>
                  </w:r>
                </w:p>
                <w:p w14:paraId="4860C395">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水利、水电、交通等：含穿越可溶岩地层隧道的项目</w:t>
                  </w:r>
                </w:p>
              </w:tc>
              <w:tc>
                <w:tcPr>
                  <w:tcW w:w="2313" w:type="dxa"/>
                  <w:vAlign w:val="center"/>
                </w:tcPr>
                <w:p w14:paraId="57199EFB">
                  <w:pPr>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本项目属于</w:t>
                  </w:r>
                  <w:r>
                    <w:rPr>
                      <w:rFonts w:hint="eastAsia"/>
                      <w:color w:val="000000" w:themeColor="text1"/>
                      <w:sz w:val="21"/>
                      <w:szCs w:val="21"/>
                      <w:highlight w:val="none"/>
                      <w14:textFill>
                        <w14:solidFill>
                          <w14:schemeClr w14:val="tx1"/>
                        </w14:solidFill>
                      </w14:textFill>
                    </w:rPr>
                    <w:t>废弃矿坑生态修复项目，不涉及陆地石油和天然气开采、地下水开采、</w:t>
                  </w:r>
                  <w:r>
                    <w:rPr>
                      <w:rFonts w:hint="eastAsia"/>
                      <w:color w:val="000000" w:themeColor="text1"/>
                      <w:kern w:val="0"/>
                      <w:sz w:val="21"/>
                      <w:szCs w:val="21"/>
                      <w:highlight w:val="none"/>
                      <w:lang w:bidi="ar"/>
                      <w14:textFill>
                        <w14:solidFill>
                          <w14:schemeClr w14:val="tx1"/>
                        </w14:solidFill>
                      </w14:textFill>
                    </w:rPr>
                    <w:t>水利、水电、交通等穿越可溶岩地层隧道的项目内容。不</w:t>
                  </w:r>
                  <w:r>
                    <w:rPr>
                      <w:rFonts w:hint="eastAsia"/>
                      <w:color w:val="000000" w:themeColor="text1"/>
                      <w:sz w:val="21"/>
                      <w:szCs w:val="21"/>
                      <w:highlight w:val="none"/>
                      <w14:textFill>
                        <w14:solidFill>
                          <w14:schemeClr w14:val="tx1"/>
                        </w14:solidFill>
                      </w14:textFill>
                    </w:rPr>
                    <w:t>设置地下水专项评价。</w:t>
                  </w:r>
                </w:p>
              </w:tc>
            </w:tr>
            <w:tr w14:paraId="52D18B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4" w:type="dxa"/>
                  <w:vAlign w:val="center"/>
                </w:tcPr>
                <w:p w14:paraId="0FC0612F">
                  <w:pPr>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生态</w:t>
                  </w:r>
                </w:p>
              </w:tc>
              <w:tc>
                <w:tcPr>
                  <w:tcW w:w="3470" w:type="dxa"/>
                  <w:vAlign w:val="center"/>
                </w:tcPr>
                <w:p w14:paraId="06874810">
                  <w:pPr>
                    <w:adjustRightInd w:val="0"/>
                    <w:snapToGrid w:val="0"/>
                    <w:spacing w:line="240" w:lineRule="auto"/>
                    <w:ind w:firstLine="0" w:firstLineChars="0"/>
                    <w:rPr>
                      <w:rFonts w:hint="eastAsia" w:eastAsia="宋体"/>
                      <w:color w:val="000000" w:themeColor="text1"/>
                      <w:kern w:val="0"/>
                      <w:sz w:val="21"/>
                      <w:szCs w:val="21"/>
                      <w:highlight w:val="none"/>
                      <w:lang w:eastAsia="zh-CN"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涉及环境敏感区（不包括饮用水水源保护区，以居住、医疗卫生、文化教育、科研、行政办公为主要功能的区域，以及文物保护单位）的项目</w:t>
                  </w:r>
                  <w:r>
                    <w:rPr>
                      <w:rFonts w:hint="eastAsia"/>
                      <w:color w:val="000000" w:themeColor="text1"/>
                      <w:kern w:val="0"/>
                      <w:sz w:val="21"/>
                      <w:szCs w:val="21"/>
                      <w:highlight w:val="none"/>
                      <w:lang w:eastAsia="zh-CN" w:bidi="ar"/>
                      <w14:textFill>
                        <w14:solidFill>
                          <w14:schemeClr w14:val="tx1"/>
                        </w14:solidFill>
                      </w14:textFill>
                    </w:rPr>
                    <w:t>。</w:t>
                  </w:r>
                </w:p>
              </w:tc>
              <w:tc>
                <w:tcPr>
                  <w:tcW w:w="2313" w:type="dxa"/>
                  <w:vAlign w:val="center"/>
                </w:tcPr>
                <w:p w14:paraId="3CCADF52">
                  <w:pPr>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项目修复区不涉及环境敏感区，不设生态专项评价。</w:t>
                  </w:r>
                </w:p>
              </w:tc>
            </w:tr>
            <w:tr w14:paraId="315F0F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4" w:type="dxa"/>
                  <w:vAlign w:val="center"/>
                </w:tcPr>
                <w:p w14:paraId="46EC2110">
                  <w:pPr>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大气</w:t>
                  </w:r>
                </w:p>
              </w:tc>
              <w:tc>
                <w:tcPr>
                  <w:tcW w:w="3470" w:type="dxa"/>
                  <w:vAlign w:val="center"/>
                </w:tcPr>
                <w:p w14:paraId="0CECB09B">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油气、液体化工码头：全部；</w:t>
                  </w:r>
                </w:p>
                <w:p w14:paraId="1C9FA9EB">
                  <w:pPr>
                    <w:adjustRightInd w:val="0"/>
                    <w:snapToGrid w:val="0"/>
                    <w:spacing w:line="240" w:lineRule="auto"/>
                    <w:ind w:firstLine="0" w:firstLineChars="0"/>
                    <w:rPr>
                      <w:rFonts w:hint="eastAsia" w:eastAsia="宋体"/>
                      <w:color w:val="000000" w:themeColor="text1"/>
                      <w:kern w:val="0"/>
                      <w:sz w:val="21"/>
                      <w:szCs w:val="21"/>
                      <w:highlight w:val="none"/>
                      <w:lang w:eastAsia="zh-CN"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干散货（含煤炭、矿石）、件杂、多用途、通用码头：涉及粉尘、挥发性有机物排放的项目</w:t>
                  </w:r>
                  <w:r>
                    <w:rPr>
                      <w:rFonts w:hint="eastAsia"/>
                      <w:color w:val="000000" w:themeColor="text1"/>
                      <w:kern w:val="0"/>
                      <w:sz w:val="21"/>
                      <w:szCs w:val="21"/>
                      <w:highlight w:val="none"/>
                      <w:lang w:eastAsia="zh-CN" w:bidi="ar"/>
                      <w14:textFill>
                        <w14:solidFill>
                          <w14:schemeClr w14:val="tx1"/>
                        </w14:solidFill>
                      </w14:textFill>
                    </w:rPr>
                    <w:t>。</w:t>
                  </w:r>
                </w:p>
              </w:tc>
              <w:tc>
                <w:tcPr>
                  <w:tcW w:w="2313" w:type="dxa"/>
                  <w:vAlign w:val="center"/>
                </w:tcPr>
                <w:p w14:paraId="5A851332">
                  <w:pPr>
                    <w:adjustRightInd w:val="0"/>
                    <w:snapToGrid w:val="0"/>
                    <w:spacing w:line="240" w:lineRule="auto"/>
                    <w:ind w:firstLine="0" w:firstLineChars="0"/>
                    <w:jc w:val="both"/>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项目属于</w:t>
                  </w:r>
                  <w:r>
                    <w:rPr>
                      <w:rFonts w:hint="eastAsia"/>
                      <w:color w:val="000000" w:themeColor="text1"/>
                      <w:sz w:val="21"/>
                      <w:szCs w:val="21"/>
                      <w:highlight w:val="none"/>
                      <w14:textFill>
                        <w14:solidFill>
                          <w14:schemeClr w14:val="tx1"/>
                        </w14:solidFill>
                      </w14:textFill>
                    </w:rPr>
                    <w:t>废弃矿坑生态修复项目，不涉及码头项目，不设大气专项评价。</w:t>
                  </w:r>
                </w:p>
              </w:tc>
            </w:tr>
            <w:tr w14:paraId="5D8E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4" w:type="dxa"/>
                  <w:vAlign w:val="center"/>
                </w:tcPr>
                <w:p w14:paraId="7DE99253">
                  <w:pPr>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噪声</w:t>
                  </w:r>
                </w:p>
              </w:tc>
              <w:tc>
                <w:tcPr>
                  <w:tcW w:w="3470" w:type="dxa"/>
                  <w:vAlign w:val="center"/>
                </w:tcPr>
                <w:p w14:paraId="53E9DE16">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公路、铁路、机场等交通运输业涉及环境敏感区（以居住、医疗卫生、文化教育、科研、行政办公为主要功能的区域）的项目；</w:t>
                  </w:r>
                </w:p>
                <w:p w14:paraId="3D7A9CE1">
                  <w:pPr>
                    <w:adjustRightInd w:val="0"/>
                    <w:snapToGrid w:val="0"/>
                    <w:spacing w:line="240" w:lineRule="auto"/>
                    <w:ind w:firstLine="0" w:firstLineChars="0"/>
                    <w:rPr>
                      <w:rFonts w:hint="eastAsia" w:eastAsia="宋体"/>
                      <w:color w:val="000000" w:themeColor="text1"/>
                      <w:kern w:val="0"/>
                      <w:sz w:val="21"/>
                      <w:szCs w:val="21"/>
                      <w:highlight w:val="none"/>
                      <w:lang w:eastAsia="zh-CN"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城市道路（不含维护，不含支路、人行天桥、人行地道）：全部</w:t>
                  </w:r>
                  <w:r>
                    <w:rPr>
                      <w:rFonts w:hint="eastAsia"/>
                      <w:color w:val="000000" w:themeColor="text1"/>
                      <w:kern w:val="0"/>
                      <w:sz w:val="21"/>
                      <w:szCs w:val="21"/>
                      <w:highlight w:val="none"/>
                      <w:lang w:eastAsia="zh-CN" w:bidi="ar"/>
                      <w14:textFill>
                        <w14:solidFill>
                          <w14:schemeClr w14:val="tx1"/>
                        </w14:solidFill>
                      </w14:textFill>
                    </w:rPr>
                    <w:t>。</w:t>
                  </w:r>
                </w:p>
              </w:tc>
              <w:tc>
                <w:tcPr>
                  <w:tcW w:w="2313" w:type="dxa"/>
                  <w:vAlign w:val="center"/>
                </w:tcPr>
                <w:p w14:paraId="42A78423">
                  <w:pPr>
                    <w:adjustRightInd w:val="0"/>
                    <w:snapToGrid w:val="0"/>
                    <w:spacing w:line="240" w:lineRule="auto"/>
                    <w:ind w:firstLine="0" w:firstLineChars="0"/>
                    <w:jc w:val="both"/>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项目属于</w:t>
                  </w:r>
                  <w:r>
                    <w:rPr>
                      <w:rFonts w:hint="eastAsia"/>
                      <w:color w:val="000000" w:themeColor="text1"/>
                      <w:sz w:val="21"/>
                      <w:szCs w:val="21"/>
                      <w:highlight w:val="none"/>
                      <w14:textFill>
                        <w14:solidFill>
                          <w14:schemeClr w14:val="tx1"/>
                        </w14:solidFill>
                      </w14:textFill>
                    </w:rPr>
                    <w:t>废弃矿坑生态修复项目，不涉及交通运输业项目，不设噪声专项评价。</w:t>
                  </w:r>
                </w:p>
              </w:tc>
            </w:tr>
            <w:tr w14:paraId="2199AD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54" w:type="dxa"/>
                  <w:vAlign w:val="center"/>
                </w:tcPr>
                <w:p w14:paraId="26AF97B4">
                  <w:pPr>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环境风险</w:t>
                  </w:r>
                </w:p>
              </w:tc>
              <w:tc>
                <w:tcPr>
                  <w:tcW w:w="3470" w:type="dxa"/>
                  <w:vAlign w:val="center"/>
                </w:tcPr>
                <w:p w14:paraId="425129FE">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石油和天然气开采：全部；</w:t>
                  </w:r>
                </w:p>
                <w:p w14:paraId="33DE9CDF">
                  <w:pPr>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油气、液体化工码头：全部；</w:t>
                  </w:r>
                </w:p>
                <w:p w14:paraId="030B185E">
                  <w:pPr>
                    <w:adjustRightInd w:val="0"/>
                    <w:snapToGrid w:val="0"/>
                    <w:spacing w:line="240" w:lineRule="auto"/>
                    <w:ind w:firstLine="0" w:firstLineChars="0"/>
                    <w:rPr>
                      <w:rFonts w:hint="eastAsia" w:eastAsia="宋体"/>
                      <w:color w:val="000000" w:themeColor="text1"/>
                      <w:kern w:val="0"/>
                      <w:sz w:val="21"/>
                      <w:szCs w:val="21"/>
                      <w:highlight w:val="none"/>
                      <w:lang w:eastAsia="zh-CN"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原油、成品油、天然气管线（不含城镇天然气管线、企业厂区内管线），危险化学品输送管线（不含企业厂区内管线）：全部</w:t>
                  </w:r>
                  <w:r>
                    <w:rPr>
                      <w:rFonts w:hint="eastAsia"/>
                      <w:color w:val="000000" w:themeColor="text1"/>
                      <w:kern w:val="0"/>
                      <w:sz w:val="21"/>
                      <w:szCs w:val="21"/>
                      <w:highlight w:val="none"/>
                      <w:lang w:eastAsia="zh-CN" w:bidi="ar"/>
                      <w14:textFill>
                        <w14:solidFill>
                          <w14:schemeClr w14:val="tx1"/>
                        </w14:solidFill>
                      </w14:textFill>
                    </w:rPr>
                    <w:t>。</w:t>
                  </w:r>
                </w:p>
              </w:tc>
              <w:tc>
                <w:tcPr>
                  <w:tcW w:w="2313" w:type="dxa"/>
                  <w:vAlign w:val="center"/>
                </w:tcPr>
                <w:p w14:paraId="56A546FB">
                  <w:pPr>
                    <w:adjustRightInd w:val="0"/>
                    <w:snapToGrid w:val="0"/>
                    <w:spacing w:line="240" w:lineRule="auto"/>
                    <w:ind w:firstLine="0" w:firstLineChars="0"/>
                    <w:jc w:val="both"/>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项目属于</w:t>
                  </w:r>
                  <w:r>
                    <w:rPr>
                      <w:rFonts w:hint="eastAsia"/>
                      <w:color w:val="000000" w:themeColor="text1"/>
                      <w:sz w:val="21"/>
                      <w:szCs w:val="21"/>
                      <w:highlight w:val="none"/>
                      <w14:textFill>
                        <w14:solidFill>
                          <w14:schemeClr w14:val="tx1"/>
                        </w14:solidFill>
                      </w14:textFill>
                    </w:rPr>
                    <w:t>废弃矿坑生态修复项目，不涉及指南规定的情况，不设环境风险专项评价。</w:t>
                  </w:r>
                </w:p>
              </w:tc>
            </w:tr>
            <w:tr w14:paraId="1323D6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937" w:type="dxa"/>
                  <w:gridSpan w:val="3"/>
                  <w:tcBorders>
                    <w:left w:val="nil"/>
                    <w:bottom w:val="nil"/>
                    <w:right w:val="nil"/>
                  </w:tcBorders>
                  <w:vAlign w:val="center"/>
                </w:tcPr>
                <w:p w14:paraId="29B660C2">
                  <w:pPr>
                    <w:adjustRightInd w:val="0"/>
                    <w:snapToGrid w:val="0"/>
                    <w:spacing w:line="240" w:lineRule="auto"/>
                    <w:ind w:firstLine="420"/>
                    <w:rPr>
                      <w:rFonts w:hint="eastAsia" w:eastAsia="宋体"/>
                      <w:color w:val="000000" w:themeColor="text1"/>
                      <w:kern w:val="0"/>
                      <w:sz w:val="21"/>
                      <w:szCs w:val="21"/>
                      <w:highlight w:val="none"/>
                      <w:lang w:eastAsia="zh-CN" w:bidi="ar"/>
                      <w14:textFill>
                        <w14:solidFill>
                          <w14:schemeClr w14:val="tx1"/>
                        </w14:solidFill>
                      </w14:textFill>
                    </w:rPr>
                  </w:pPr>
                  <w:r>
                    <w:rPr>
                      <w:rFonts w:hint="eastAsia"/>
                      <w:kern w:val="0"/>
                      <w:lang w:val="en-US" w:eastAsia="zh-CN" w:bidi="ar"/>
                    </w:rPr>
                    <w:t>综上所述：本项目不设置专项评价。</w:t>
                  </w:r>
                </w:p>
              </w:tc>
            </w:tr>
          </w:tbl>
          <w:p w14:paraId="69D3FCD9">
            <w:pPr>
              <w:adjustRightInd w:val="0"/>
              <w:snapToGrid w:val="0"/>
              <w:spacing w:line="240" w:lineRule="auto"/>
              <w:ind w:firstLine="0" w:firstLineChars="0"/>
              <w:jc w:val="center"/>
              <w:rPr>
                <w:color w:val="000000" w:themeColor="text1"/>
                <w:kern w:val="0"/>
                <w:szCs w:val="21"/>
                <w:highlight w:val="none"/>
                <w:lang w:bidi="ar"/>
                <w14:textFill>
                  <w14:solidFill>
                    <w14:schemeClr w14:val="tx1"/>
                  </w14:solidFill>
                </w14:textFill>
              </w:rPr>
            </w:pPr>
          </w:p>
        </w:tc>
      </w:tr>
      <w:tr w14:paraId="6021160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44" w:type="dxa"/>
            <w:gridSpan w:val="2"/>
            <w:tcMar>
              <w:top w:w="16" w:type="dxa"/>
              <w:left w:w="16" w:type="dxa"/>
              <w:right w:w="16" w:type="dxa"/>
            </w:tcMar>
            <w:vAlign w:val="center"/>
          </w:tcPr>
          <w:p w14:paraId="7A9ECACC">
            <w:pPr>
              <w:autoSpaceDE w:val="0"/>
              <w:autoSpaceDN w:val="0"/>
              <w:adjustRightInd w:val="0"/>
              <w:snapToGrid w:val="0"/>
              <w:spacing w:line="240" w:lineRule="auto"/>
              <w:ind w:firstLine="0" w:firstLineChars="0"/>
              <w:jc w:val="center"/>
              <w:rPr>
                <w:color w:val="000000" w:themeColor="text1"/>
                <w:kern w:val="0"/>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规划情况</w:t>
            </w:r>
          </w:p>
        </w:tc>
        <w:tc>
          <w:tcPr>
            <w:tcW w:w="6979" w:type="dxa"/>
            <w:gridSpan w:val="3"/>
            <w:tcMar>
              <w:top w:w="16" w:type="dxa"/>
              <w:left w:w="16" w:type="dxa"/>
              <w:right w:w="16" w:type="dxa"/>
            </w:tcMar>
            <w:vAlign w:val="center"/>
          </w:tcPr>
          <w:p w14:paraId="244C2872">
            <w:pPr>
              <w:adjustRightInd w:val="0"/>
              <w:snapToGrid w:val="0"/>
              <w:ind w:firstLine="0" w:firstLineChars="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无</w:t>
            </w:r>
          </w:p>
        </w:tc>
      </w:tr>
      <w:tr w14:paraId="458FC0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1944" w:type="dxa"/>
            <w:gridSpan w:val="2"/>
            <w:tcMar>
              <w:top w:w="16" w:type="dxa"/>
              <w:left w:w="16" w:type="dxa"/>
              <w:right w:w="16" w:type="dxa"/>
            </w:tcMar>
            <w:vAlign w:val="center"/>
          </w:tcPr>
          <w:p w14:paraId="7D6BC05C">
            <w:pPr>
              <w:autoSpaceDE w:val="0"/>
              <w:autoSpaceDN w:val="0"/>
              <w:adjustRightInd w:val="0"/>
              <w:snapToGrid w:val="0"/>
              <w:spacing w:line="240" w:lineRule="auto"/>
              <w:ind w:firstLine="0" w:firstLineChars="0"/>
              <w:jc w:val="center"/>
              <w:rPr>
                <w:color w:val="000000" w:themeColor="text1"/>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规划环境影响</w:t>
            </w:r>
          </w:p>
          <w:p w14:paraId="45DA4F55">
            <w:pPr>
              <w:autoSpaceDE w:val="0"/>
              <w:autoSpaceDN w:val="0"/>
              <w:adjustRightInd w:val="0"/>
              <w:snapToGrid w:val="0"/>
              <w:spacing w:line="240" w:lineRule="auto"/>
              <w:ind w:firstLine="0" w:firstLineChars="0"/>
              <w:jc w:val="center"/>
              <w:rPr>
                <w:color w:val="000000" w:themeColor="text1"/>
                <w:kern w:val="0"/>
                <w:szCs w:val="2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评价情况</w:t>
            </w:r>
          </w:p>
        </w:tc>
        <w:tc>
          <w:tcPr>
            <w:tcW w:w="6979" w:type="dxa"/>
            <w:gridSpan w:val="3"/>
            <w:tcMar>
              <w:top w:w="16" w:type="dxa"/>
              <w:left w:w="16" w:type="dxa"/>
              <w:right w:w="16" w:type="dxa"/>
            </w:tcMar>
            <w:vAlign w:val="center"/>
          </w:tcPr>
          <w:p w14:paraId="536C73CC">
            <w:pPr>
              <w:adjustRightInd w:val="0"/>
              <w:snapToGrid w:val="0"/>
              <w:ind w:firstLine="0" w:firstLineChars="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无</w:t>
            </w:r>
          </w:p>
        </w:tc>
      </w:tr>
      <w:tr w14:paraId="2854867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35" w:type="dxa"/>
            <w:tcMar>
              <w:top w:w="16" w:type="dxa"/>
              <w:left w:w="16" w:type="dxa"/>
              <w:right w:w="16" w:type="dxa"/>
            </w:tcMar>
            <w:vAlign w:val="center"/>
          </w:tcPr>
          <w:p w14:paraId="7C798894">
            <w:pPr>
              <w:autoSpaceDE w:val="0"/>
              <w:autoSpaceDN w:val="0"/>
              <w:adjustRightInd w:val="0"/>
              <w:snapToGrid w:val="0"/>
              <w:spacing w:line="240" w:lineRule="auto"/>
              <w:ind w:firstLine="0" w:firstLineChars="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规划及</w:t>
            </w:r>
            <w:r>
              <w:rPr>
                <w:rFonts w:hint="eastAsia"/>
                <w:color w:val="000000" w:themeColor="text1"/>
                <w:szCs w:val="21"/>
                <w:highlight w:val="none"/>
                <w14:textFill>
                  <w14:solidFill>
                    <w14:schemeClr w14:val="tx1"/>
                  </w14:solidFill>
                </w14:textFill>
              </w:rPr>
              <w:t>规划环境影响评价</w:t>
            </w:r>
            <w:r>
              <w:rPr>
                <w:rFonts w:hint="eastAsia"/>
                <w:color w:val="000000" w:themeColor="text1"/>
                <w:kern w:val="0"/>
                <w:szCs w:val="21"/>
                <w:highlight w:val="none"/>
                <w14:textFill>
                  <w14:solidFill>
                    <w14:schemeClr w14:val="tx1"/>
                  </w14:solidFill>
                </w14:textFill>
              </w:rPr>
              <w:t>符合性分析</w:t>
            </w:r>
          </w:p>
        </w:tc>
        <w:tc>
          <w:tcPr>
            <w:tcW w:w="8088" w:type="dxa"/>
            <w:gridSpan w:val="4"/>
            <w:tcMar>
              <w:top w:w="16" w:type="dxa"/>
              <w:left w:w="16" w:type="dxa"/>
              <w:right w:w="16" w:type="dxa"/>
            </w:tcMar>
            <w:vAlign w:val="center"/>
          </w:tcPr>
          <w:p w14:paraId="6BFA06CA">
            <w:pPr>
              <w:adjustRightInd w:val="0"/>
              <w:snapToGrid w:val="0"/>
              <w:ind w:firstLine="0" w:firstLineChars="0"/>
              <w:jc w:val="center"/>
              <w:rPr>
                <w:color w:val="000000" w:themeColor="text1"/>
                <w:kern w:val="0"/>
                <w:szCs w:val="21"/>
                <w:highlight w:val="none"/>
                <w14:textFill>
                  <w14:solidFill>
                    <w14:schemeClr w14:val="tx1"/>
                  </w14:solidFill>
                </w14:textFill>
              </w:rPr>
            </w:pPr>
            <w:r>
              <w:rPr>
                <w:rFonts w:hint="eastAsia"/>
                <w:color w:val="000000" w:themeColor="text1"/>
                <w:kern w:val="0"/>
                <w:szCs w:val="21"/>
                <w:highlight w:val="none"/>
                <w14:textFill>
                  <w14:solidFill>
                    <w14:schemeClr w14:val="tx1"/>
                  </w14:solidFill>
                </w14:textFill>
              </w:rPr>
              <w:t>无</w:t>
            </w:r>
          </w:p>
        </w:tc>
      </w:tr>
      <w:tr w14:paraId="22C5400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c>
          <w:tcPr>
            <w:tcW w:w="835" w:type="dxa"/>
            <w:tcMar>
              <w:top w:w="16" w:type="dxa"/>
              <w:left w:w="16" w:type="dxa"/>
              <w:right w:w="16" w:type="dxa"/>
            </w:tcMar>
            <w:vAlign w:val="center"/>
          </w:tcPr>
          <w:p w14:paraId="0A45D132">
            <w:pPr>
              <w:autoSpaceDE w:val="0"/>
              <w:autoSpaceDN w:val="0"/>
              <w:adjustRightInd w:val="0"/>
              <w:snapToGrid w:val="0"/>
              <w:spacing w:line="240" w:lineRule="auto"/>
              <w:ind w:firstLine="0" w:firstLineChars="0"/>
              <w:jc w:val="center"/>
              <w:rPr>
                <w:color w:val="000000" w:themeColor="text1"/>
                <w:kern w:val="0"/>
                <w:szCs w:val="21"/>
                <w:highlight w:val="none"/>
                <w14:textFill>
                  <w14:solidFill>
                    <w14:schemeClr w14:val="tx1"/>
                  </w14:solidFill>
                </w14:textFill>
              </w:rPr>
            </w:pPr>
            <w:bookmarkStart w:id="2" w:name="_Hlk56690880"/>
            <w:r>
              <w:rPr>
                <w:rFonts w:hint="eastAsia"/>
                <w:color w:val="000000" w:themeColor="text1"/>
                <w:kern w:val="0"/>
                <w:szCs w:val="21"/>
                <w:highlight w:val="none"/>
                <w14:textFill>
                  <w14:solidFill>
                    <w14:schemeClr w14:val="tx1"/>
                  </w14:solidFill>
                </w14:textFill>
              </w:rPr>
              <w:t>其他符合性分析</w:t>
            </w:r>
            <w:bookmarkEnd w:id="2"/>
          </w:p>
        </w:tc>
        <w:tc>
          <w:tcPr>
            <w:tcW w:w="8088" w:type="dxa"/>
            <w:gridSpan w:val="4"/>
            <w:tcMar>
              <w:top w:w="16" w:type="dxa"/>
              <w:left w:w="16" w:type="dxa"/>
              <w:right w:w="16" w:type="dxa"/>
            </w:tcMar>
            <w:vAlign w:val="center"/>
          </w:tcPr>
          <w:p w14:paraId="000DEBFB">
            <w:pPr>
              <w:adjustRightInd w:val="0"/>
              <w:snapToGrid w:val="0"/>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1、产业政策符合性分析</w:t>
            </w:r>
          </w:p>
          <w:p w14:paraId="105133C8">
            <w:pPr>
              <w:widowControl/>
              <w:ind w:firstLine="480"/>
              <w:jc w:val="left"/>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对照中华人民共和国国家发展和改革委员会令第7号《产业结构调整指导目录（2024年本）》，本项目属于鼓励类“第四十二项、环境保护与资源节约综合利用”第2条“生态环境修复和资源利用：矿山生态环境恢复工程”。</w:t>
            </w:r>
          </w:p>
          <w:p w14:paraId="404ED80D">
            <w:pPr>
              <w:adjustRightInd w:val="0"/>
              <w:snapToGrid w:val="0"/>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2、项目与昆明市生态环境分区管控成果动态更新方案符合性分析</w:t>
            </w:r>
          </w:p>
          <w:p w14:paraId="1F534B7C">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昆明市生态环境局于2024年11月12日发布了《昆明市生态环境分区管控动态更新方案（2023年）》。项目与《昆明市生态环境分区管控动态更新方案（2023年）》的符合性分析如下。</w:t>
            </w:r>
          </w:p>
          <w:p w14:paraId="40C5D7A6">
            <w:pPr>
              <w:pStyle w:val="24"/>
              <w:adjustRightInd w:val="0"/>
              <w:spacing w:before="0" w:after="0" w:line="240" w:lineRule="auto"/>
              <w:ind w:right="0"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表1-2</w:t>
            </w:r>
            <w:r>
              <w:rPr>
                <w:rFonts w:hint="eastAsia"/>
                <w:b/>
                <w:bCs/>
                <w:color w:val="000000" w:themeColor="text1"/>
                <w:sz w:val="21"/>
                <w:szCs w:val="21"/>
                <w:highlight w:val="none"/>
                <w:lang w:val="en-US" w:eastAsia="zh-CN"/>
                <w14:textFill>
                  <w14:solidFill>
                    <w14:schemeClr w14:val="tx1"/>
                  </w14:solidFill>
                </w14:textFill>
              </w:rPr>
              <w:t xml:space="preserve">  </w:t>
            </w:r>
            <w:r>
              <w:rPr>
                <w:rFonts w:hint="eastAsia"/>
                <w:b/>
                <w:bCs/>
                <w:color w:val="000000" w:themeColor="text1"/>
                <w:sz w:val="21"/>
                <w:szCs w:val="21"/>
                <w:highlight w:val="none"/>
                <w14:textFill>
                  <w14:solidFill>
                    <w14:schemeClr w14:val="tx1"/>
                  </w14:solidFill>
                </w14:textFill>
              </w:rPr>
              <w:t>项目与昆明市生态环境分区管控成果动态更新方案符合性分析</w:t>
            </w:r>
          </w:p>
          <w:tbl>
            <w:tblPr>
              <w:tblStyle w:val="41"/>
              <w:tblW w:w="495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456"/>
              <w:gridCol w:w="4109"/>
              <w:gridCol w:w="2528"/>
              <w:gridCol w:w="428"/>
            </w:tblGrid>
            <w:tr w14:paraId="02CC76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gridSpan w:val="2"/>
                  <w:vAlign w:val="center"/>
                </w:tcPr>
                <w:p w14:paraId="498867E6">
                  <w:pPr>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项目</w:t>
                  </w:r>
                </w:p>
              </w:tc>
              <w:tc>
                <w:tcPr>
                  <w:tcW w:w="2575" w:type="pct"/>
                  <w:vAlign w:val="center"/>
                </w:tcPr>
                <w:p w14:paraId="0A693FF9">
                  <w:pPr>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管控要求</w:t>
                  </w:r>
                </w:p>
              </w:tc>
              <w:tc>
                <w:tcPr>
                  <w:tcW w:w="1584" w:type="pct"/>
                  <w:vAlign w:val="center"/>
                </w:tcPr>
                <w:p w14:paraId="79D3F785">
                  <w:pPr>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项目情况</w:t>
                  </w:r>
                </w:p>
              </w:tc>
              <w:tc>
                <w:tcPr>
                  <w:tcW w:w="268" w:type="pct"/>
                  <w:vAlign w:val="center"/>
                </w:tcPr>
                <w:p w14:paraId="7504E741">
                  <w:pPr>
                    <w:adjustRightInd w:val="0"/>
                    <w:snapToGrid w:val="0"/>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符合性</w:t>
                  </w:r>
                </w:p>
              </w:tc>
            </w:tr>
            <w:tr w14:paraId="1D147F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gridSpan w:val="2"/>
                  <w:vAlign w:val="center"/>
                </w:tcPr>
                <w:p w14:paraId="2E94365D">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生态保护红线及一般生态空间更新结果</w:t>
                  </w:r>
                </w:p>
              </w:tc>
              <w:tc>
                <w:tcPr>
                  <w:tcW w:w="2575" w:type="pct"/>
                  <w:vAlign w:val="center"/>
                </w:tcPr>
                <w:p w14:paraId="55B6A3C5">
                  <w:pPr>
                    <w:adjustRightInd w:val="0"/>
                    <w:snapToGrid w:val="0"/>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更新后，生态保护红线全面与《昆明市国土空间总体规划（2021—2035年）》衔接，全市生态保护红线面积4274.70平方公里，占全市国土面积的20.34%，较原有面积占比减少1.85%。全市一般生态空间面积5151.56平方公里，占国土空间面积的24.37%，较原有面积占比增加2.45%。</w:t>
                  </w:r>
                </w:p>
              </w:tc>
              <w:tc>
                <w:tcPr>
                  <w:tcW w:w="1584" w:type="pct"/>
                  <w:vAlign w:val="center"/>
                </w:tcPr>
                <w:p w14:paraId="513153B7">
                  <w:pPr>
                    <w:widowControl/>
                    <w:adjustRightInd w:val="0"/>
                    <w:snapToGrid w:val="0"/>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项目位于云南省昆明市寻甸县鸡街镇古城新石桥村大旋塘采石场，根据自然资源局查询意见，项目未占用生态保护红线。</w:t>
                  </w:r>
                </w:p>
              </w:tc>
              <w:tc>
                <w:tcPr>
                  <w:tcW w:w="268" w:type="pct"/>
                  <w:vAlign w:val="center"/>
                </w:tcPr>
                <w:p w14:paraId="59CE7E22">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2418D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gridSpan w:val="2"/>
                  <w:vAlign w:val="center"/>
                </w:tcPr>
                <w:p w14:paraId="37DF839D">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环境质量底线及资源利用上线更新结果</w:t>
                  </w:r>
                </w:p>
              </w:tc>
              <w:tc>
                <w:tcPr>
                  <w:tcW w:w="2575" w:type="pct"/>
                  <w:vAlign w:val="center"/>
                </w:tcPr>
                <w:p w14:paraId="58B5F323">
                  <w:pPr>
                    <w:pStyle w:val="87"/>
                    <w:adjustRightInd w:val="0"/>
                    <w:snapToGrid w:val="0"/>
                    <w:spacing w:before="0" w:beforeAutospacing="0" w:after="0" w:line="240" w:lineRule="auto"/>
                    <w:ind w:left="0" w:leftChars="0" w:firstLine="0" w:firstLineChars="0"/>
                    <w:jc w:val="center"/>
                    <w:rPr>
                      <w:rFonts w:ascii="Times New Roman" w:hAnsi="Times New Roman"/>
                      <w:color w:val="000000" w:themeColor="text1"/>
                      <w:kern w:val="0"/>
                      <w:sz w:val="21"/>
                      <w:szCs w:val="21"/>
                      <w:highlight w:val="none"/>
                      <w:lang w:bidi="ar"/>
                      <w14:textFill>
                        <w14:solidFill>
                          <w14:schemeClr w14:val="tx1"/>
                        </w14:solidFill>
                      </w14:textFill>
                    </w:rPr>
                  </w:pPr>
                  <w:r>
                    <w:rPr>
                      <w:rFonts w:hint="eastAsia" w:ascii="Times New Roman" w:hAnsi="Times New Roman"/>
                      <w:color w:val="000000" w:themeColor="text1"/>
                      <w:kern w:val="0"/>
                      <w:sz w:val="21"/>
                      <w:szCs w:val="21"/>
                      <w:highlight w:val="none"/>
                      <w:lang w:bidi="ar"/>
                      <w14:textFill>
                        <w14:solidFill>
                          <w14:schemeClr w14:val="tx1"/>
                        </w14:solidFill>
                      </w14:textFill>
                    </w:rPr>
                    <w:t>到2025年，昆明市地表水国控断面达到或好于Ⅲ类水体比例应达到81.5%，45个省控断面达到或好于Ⅲ类水体比例应达到80%，劣V类水体全面消除，县级及以上集中式饮用水水源地水质达标率100%；空气质量优良天数比率达99.1%，细颗粒物（PM2.5）浓度不高于24微克/立方米，重污染天数为0；全市土壤环境质量总体保持稳定，局部稳中向好，受污染耕地安全利用率不低于90%，重点建设用地安全利用得到有效保障。</w:t>
                  </w:r>
                </w:p>
                <w:p w14:paraId="20051E00">
                  <w:pPr>
                    <w:pStyle w:val="87"/>
                    <w:adjustRightInd w:val="0"/>
                    <w:snapToGrid w:val="0"/>
                    <w:spacing w:before="0" w:beforeAutospacing="0" w:after="0" w:line="240" w:lineRule="auto"/>
                    <w:ind w:left="0" w:leftChars="0" w:firstLine="0" w:firstLineChars="0"/>
                    <w:jc w:val="center"/>
                    <w:rPr>
                      <w:rFonts w:ascii="Times New Roman" w:hAnsi="Times New Roman"/>
                      <w:color w:val="000000" w:themeColor="text1"/>
                      <w:kern w:val="0"/>
                      <w:sz w:val="21"/>
                      <w:szCs w:val="21"/>
                      <w:highlight w:val="none"/>
                      <w:lang w:bidi="ar"/>
                      <w14:textFill>
                        <w14:solidFill>
                          <w14:schemeClr w14:val="tx1"/>
                        </w14:solidFill>
                      </w14:textFill>
                    </w:rPr>
                  </w:pPr>
                  <w:r>
                    <w:rPr>
                      <w:rFonts w:hint="eastAsia" w:ascii="Times New Roman" w:hAnsi="Times New Roman"/>
                      <w:color w:val="000000" w:themeColor="text1"/>
                      <w:kern w:val="0"/>
                      <w:sz w:val="21"/>
                      <w:szCs w:val="21"/>
                      <w:highlight w:val="none"/>
                      <w:lang w:bidi="ar"/>
                      <w14:textFill>
                        <w14:solidFill>
                          <w14:schemeClr w14:val="tx1"/>
                        </w14:solidFill>
                      </w14:textFill>
                    </w:rPr>
                    <w:t>到2025年，按照国家、省、市有关要求和规划，按时完成全市用水总量、用水效率、限制纳污“三条红线”水资源上限控制指标；按时完成耕地保有量、基本农田保护面积、建设用地总规模等土地资源利用上限控制指标；按时完成单位GDP能耗下降率、能源消费总量等能源控制指标；矿产资源开采与保护达到预期目标；河湖岸线资源管控达到相关要求。</w:t>
                  </w:r>
                </w:p>
              </w:tc>
              <w:tc>
                <w:tcPr>
                  <w:tcW w:w="1584" w:type="pct"/>
                  <w:vAlign w:val="center"/>
                </w:tcPr>
                <w:p w14:paraId="1D8A4A63">
                  <w:pPr>
                    <w:widowControl/>
                    <w:adjustRightInd w:val="0"/>
                    <w:snapToGrid w:val="0"/>
                    <w:spacing w:line="240" w:lineRule="auto"/>
                    <w:ind w:firstLine="0" w:firstLineChars="0"/>
                    <w:jc w:val="left"/>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根据《2023年度昆明市生态环境状况公报》，各县（市）区环境空气质量总体保持良好，各项污染物平均浓度均达到二级空气质量标准。该项目为废弃矿坑生态修复项目，项目施工期采取洒水降尘等措施，项目对区域空气质量影响较小。项目施工期废水经沉淀池沉淀后回用于场地降尘，运营期无废水产生，不会对周围地表水造成影响。根据本次环评土壤监测结果，项目修复范围及周边采集到的所有土壤监测样品均满足《土壤环境质量建设用地土壤污染风险管控标准（试行）（GB36600—2018)》筛选值要求。</w:t>
                  </w:r>
                </w:p>
              </w:tc>
              <w:tc>
                <w:tcPr>
                  <w:tcW w:w="268" w:type="pct"/>
                  <w:vAlign w:val="center"/>
                </w:tcPr>
                <w:p w14:paraId="4380EC99">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279D2E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71" w:type="pct"/>
                  <w:gridSpan w:val="2"/>
                  <w:vAlign w:val="center"/>
                </w:tcPr>
                <w:p w14:paraId="676E19ED">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生态环境准入清单调整结果</w:t>
                  </w:r>
                </w:p>
              </w:tc>
              <w:tc>
                <w:tcPr>
                  <w:tcW w:w="2575" w:type="pct"/>
                  <w:vAlign w:val="center"/>
                </w:tcPr>
                <w:p w14:paraId="117B159D">
                  <w:pPr>
                    <w:widowControl/>
                    <w:adjustRightInd w:val="0"/>
                    <w:snapToGrid w:val="0"/>
                    <w:spacing w:line="240" w:lineRule="auto"/>
                    <w:ind w:firstLine="0" w:firstLineChars="0"/>
                    <w:jc w:val="left"/>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结合昆明市不同生态环境管控单元的生态环境主要特征、突出问题和环境质量目标，提出以改善生态环境质量为导向、对应到各环境管控单元、可操作的管控要求。</w:t>
                  </w:r>
                </w:p>
                <w:p w14:paraId="0B4626D4">
                  <w:pPr>
                    <w:widowControl/>
                    <w:adjustRightInd w:val="0"/>
                    <w:snapToGrid w:val="0"/>
                    <w:spacing w:line="240" w:lineRule="auto"/>
                    <w:ind w:firstLine="0" w:firstLineChars="0"/>
                    <w:jc w:val="left"/>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昆明市的优先保护单元和一般管控单元管控要求以共性要求为基础，对存在的个例问题制定相应的管控要求。重点管控单元聚焦单元突出的环境问题，以解决现状环境问题为目的提管控要求，增补了减污降碳协同管控相关要求，调整了重点管控单元相应的管控内容。</w:t>
                  </w:r>
                </w:p>
              </w:tc>
              <w:tc>
                <w:tcPr>
                  <w:tcW w:w="1584" w:type="pct"/>
                  <w:vAlign w:val="center"/>
                </w:tcPr>
                <w:p w14:paraId="69DAF620">
                  <w:pPr>
                    <w:widowControl/>
                    <w:adjustRightInd w:val="0"/>
                    <w:snapToGrid w:val="0"/>
                    <w:spacing w:line="240" w:lineRule="auto"/>
                    <w:ind w:firstLine="0" w:firstLineChars="0"/>
                    <w:jc w:val="left"/>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项目属于</w:t>
                  </w:r>
                  <w:r>
                    <w:rPr>
                      <w:rFonts w:hint="eastAsia"/>
                      <w:color w:val="000000" w:themeColor="text1"/>
                      <w:sz w:val="21"/>
                      <w:szCs w:val="21"/>
                      <w:highlight w:val="none"/>
                      <w14:textFill>
                        <w14:solidFill>
                          <w14:schemeClr w14:val="tx1"/>
                        </w14:solidFill>
                      </w14:textFill>
                    </w:rPr>
                    <w:t>废弃矿坑生态修复项目，</w:t>
                  </w:r>
                  <w:r>
                    <w:rPr>
                      <w:rFonts w:hint="eastAsia"/>
                      <w:color w:val="000000" w:themeColor="text1"/>
                      <w:kern w:val="0"/>
                      <w:sz w:val="21"/>
                      <w:szCs w:val="21"/>
                      <w:highlight w:val="none"/>
                      <w:lang w:bidi="ar"/>
                      <w14:textFill>
                        <w14:solidFill>
                          <w14:schemeClr w14:val="tx1"/>
                        </w14:solidFill>
                      </w14:textFill>
                    </w:rPr>
                    <w:t>在原有矿区范围内施工，不新增占地，符合一般管控单元相关要求。</w:t>
                  </w:r>
                </w:p>
              </w:tc>
              <w:tc>
                <w:tcPr>
                  <w:tcW w:w="268" w:type="pct"/>
                  <w:vAlign w:val="center"/>
                </w:tcPr>
                <w:p w14:paraId="65B445C7">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756C06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restart"/>
                  <w:vAlign w:val="center"/>
                </w:tcPr>
                <w:p w14:paraId="6AF5578F">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t>寻甸回族彝族自治县矿产资源重点管控单元</w:t>
                  </w:r>
                </w:p>
              </w:tc>
              <w:tc>
                <w:tcPr>
                  <w:tcW w:w="285" w:type="pct"/>
                  <w:vAlign w:val="center"/>
                </w:tcPr>
                <w:p w14:paraId="4F5CDCE0">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空间布局约束</w:t>
                  </w:r>
                </w:p>
              </w:tc>
              <w:tc>
                <w:tcPr>
                  <w:tcW w:w="2575" w:type="pct"/>
                  <w:vAlign w:val="center"/>
                </w:tcPr>
                <w:p w14:paraId="7D9354EC">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落实《云南省矿产资源总体规划》禁止开采区规定，禁止开采区内不得新设采矿权。</w:t>
                  </w:r>
                </w:p>
                <w:p w14:paraId="6915956A">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1.对于规划区与饮用水水源保护区重叠区域不新设采矿权，原有矿权逐步有序退出，排污口不得设置在饮用水水源保护区内。饮用水水源二级保护区执行绿色勘查相关要求。</w:t>
                  </w:r>
                </w:p>
                <w:p w14:paraId="40F7D5DA">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2.禁止在长江干流岸线三公里范围内和重要支流岸线一公里范围内新建、改建、扩建尾矿库；</w:t>
                  </w:r>
                </w:p>
                <w:p w14:paraId="0B6D6701">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3.不再新建露天磷矿山，严格总磷排放管控要求，控制总磷排放总量，涉及磷矿开采企业应对排污口和周边环境进行总磷监测，依法公开监测信息；</w:t>
                  </w:r>
                </w:p>
                <w:p w14:paraId="1C329D5C">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4.继续实施长江经济带废弃矿山生态修复工作。</w:t>
                  </w:r>
                </w:p>
                <w:p w14:paraId="19AF49E6">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5.矿山开采地面设施禁止占用永久基本农田。</w:t>
                  </w:r>
                </w:p>
                <w:p w14:paraId="250F0326">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6.矿山企业应当按照“谁开发、谁保护、谁破坏、谁治理”的原则，结合矿山生产实际，及时组织开展矿山地质环境恢复治理和土。</w:t>
                  </w:r>
                </w:p>
                <w:p w14:paraId="3BDB3003">
                  <w:pPr>
                    <w:widowControl/>
                    <w:adjustRightInd w:val="0"/>
                    <w:snapToGrid w:val="0"/>
                    <w:spacing w:line="240" w:lineRule="auto"/>
                    <w:ind w:firstLine="0" w:firstLineChars="0"/>
                    <w:jc w:val="left"/>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7.地复垦相关工作，切实履行矿山生态修复义务。加快推进历史遗留矿山生态修复工作。</w:t>
                  </w:r>
                </w:p>
              </w:tc>
              <w:tc>
                <w:tcPr>
                  <w:tcW w:w="1584" w:type="pct"/>
                  <w:vAlign w:val="center"/>
                </w:tcPr>
                <w:p w14:paraId="071A7C9E">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项目属于废弃矿坑生态修复项目，不涉及</w:t>
                  </w:r>
                  <w:r>
                    <w:rPr>
                      <w:rFonts w:hint="eastAsia"/>
                      <w:color w:val="000000" w:themeColor="text1"/>
                      <w:kern w:val="0"/>
                      <w:sz w:val="21"/>
                      <w:szCs w:val="21"/>
                      <w:highlight w:val="none"/>
                      <w:lang w:val="en-US" w:eastAsia="zh-CN" w:bidi="ar"/>
                      <w14:textFill>
                        <w14:solidFill>
                          <w14:schemeClr w14:val="tx1"/>
                        </w14:solidFill>
                      </w14:textFill>
                    </w:rPr>
                    <w:t>新开采区。不涉及</w:t>
                  </w:r>
                  <w:r>
                    <w:rPr>
                      <w:rFonts w:hint="eastAsia"/>
                      <w:color w:val="000000" w:themeColor="text1"/>
                      <w:kern w:val="0"/>
                      <w:sz w:val="21"/>
                      <w:szCs w:val="21"/>
                      <w:highlight w:val="none"/>
                      <w:lang w:bidi="ar"/>
                      <w14:textFill>
                        <w14:solidFill>
                          <w14:schemeClr w14:val="tx1"/>
                        </w14:solidFill>
                      </w14:textFill>
                    </w:rPr>
                    <w:t>新建露天磷矿山</w:t>
                  </w:r>
                  <w:r>
                    <w:rPr>
                      <w:rFonts w:hint="eastAsia"/>
                      <w:color w:val="000000" w:themeColor="text1"/>
                      <w:kern w:val="0"/>
                      <w:sz w:val="21"/>
                      <w:szCs w:val="21"/>
                      <w:highlight w:val="none"/>
                      <w:lang w:eastAsia="zh-CN" w:bidi="ar"/>
                      <w14:textFill>
                        <w14:solidFill>
                          <w14:schemeClr w14:val="tx1"/>
                        </w14:solidFill>
                      </w14:textFill>
                    </w:rPr>
                    <w:t>。</w:t>
                  </w:r>
                  <w:r>
                    <w:rPr>
                      <w:rFonts w:hint="eastAsia"/>
                      <w:color w:val="000000" w:themeColor="text1"/>
                      <w:kern w:val="0"/>
                      <w:sz w:val="21"/>
                      <w:szCs w:val="21"/>
                      <w:highlight w:val="none"/>
                      <w:lang w:val="en-US" w:eastAsia="zh-CN" w:bidi="ar"/>
                      <w14:textFill>
                        <w14:solidFill>
                          <w14:schemeClr w14:val="tx1"/>
                        </w14:solidFill>
                      </w14:textFill>
                    </w:rPr>
                    <w:t>本项目不在</w:t>
                  </w:r>
                  <w:r>
                    <w:rPr>
                      <w:rFonts w:hint="eastAsia"/>
                      <w:color w:val="000000" w:themeColor="text1"/>
                      <w:kern w:val="0"/>
                      <w:sz w:val="21"/>
                      <w:szCs w:val="21"/>
                      <w:highlight w:val="none"/>
                      <w:lang w:bidi="ar"/>
                      <w14:textFill>
                        <w14:solidFill>
                          <w14:schemeClr w14:val="tx1"/>
                        </w14:solidFill>
                      </w14:textFill>
                    </w:rPr>
                    <w:t>长江干流岸线三公里范围内和重要支流岸线一公里范围内</w:t>
                  </w:r>
                  <w:r>
                    <w:rPr>
                      <w:rFonts w:hint="eastAsia"/>
                      <w:color w:val="000000" w:themeColor="text1"/>
                      <w:kern w:val="0"/>
                      <w:sz w:val="21"/>
                      <w:szCs w:val="21"/>
                      <w:highlight w:val="none"/>
                      <w:lang w:eastAsia="zh-CN" w:bidi="ar"/>
                      <w14:textFill>
                        <w14:solidFill>
                          <w14:schemeClr w14:val="tx1"/>
                        </w14:solidFill>
                      </w14:textFill>
                    </w:rPr>
                    <w:t>，</w:t>
                  </w:r>
                  <w:r>
                    <w:rPr>
                      <w:rFonts w:hint="eastAsia"/>
                      <w:color w:val="000000" w:themeColor="text1"/>
                      <w:kern w:val="0"/>
                      <w:sz w:val="21"/>
                      <w:szCs w:val="21"/>
                      <w:highlight w:val="none"/>
                      <w:lang w:val="en-US" w:eastAsia="zh-CN" w:bidi="ar"/>
                      <w14:textFill>
                        <w14:solidFill>
                          <w14:schemeClr w14:val="tx1"/>
                        </w14:solidFill>
                      </w14:textFill>
                    </w:rPr>
                    <w:t>也不属于尾矿库项目；本项目不</w:t>
                  </w:r>
                  <w:r>
                    <w:rPr>
                      <w:rFonts w:hint="eastAsia"/>
                      <w:color w:val="000000" w:themeColor="text1"/>
                      <w:kern w:val="0"/>
                      <w:sz w:val="21"/>
                      <w:szCs w:val="21"/>
                      <w:highlight w:val="none"/>
                      <w:lang w:bidi="ar"/>
                      <w14:textFill>
                        <w14:solidFill>
                          <w14:schemeClr w14:val="tx1"/>
                        </w14:solidFill>
                      </w14:textFill>
                    </w:rPr>
                    <w:t>占用永久基本农田。</w:t>
                  </w:r>
                </w:p>
                <w:p w14:paraId="6B916702">
                  <w:pPr>
                    <w:widowControl/>
                    <w:adjustRightInd w:val="0"/>
                    <w:snapToGrid w:val="0"/>
                    <w:spacing w:line="240" w:lineRule="auto"/>
                    <w:ind w:firstLine="0" w:firstLineChars="0"/>
                    <w:jc w:val="left"/>
                    <w:rPr>
                      <w:rFonts w:hint="default" w:eastAsia="宋体"/>
                      <w:color w:val="000000" w:themeColor="text1"/>
                      <w:kern w:val="0"/>
                      <w:sz w:val="21"/>
                      <w:szCs w:val="21"/>
                      <w:highlight w:val="none"/>
                      <w:lang w:val="en-US" w:eastAsia="zh-CN" w:bidi="ar"/>
                      <w14:textFill>
                        <w14:solidFill>
                          <w14:schemeClr w14:val="tx1"/>
                        </w14:solidFill>
                      </w14:textFill>
                    </w:rPr>
                  </w:pPr>
                </w:p>
              </w:tc>
              <w:tc>
                <w:tcPr>
                  <w:tcW w:w="268" w:type="pct"/>
                  <w:vAlign w:val="center"/>
                </w:tcPr>
                <w:p w14:paraId="6E1CC72D">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0EA0B8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14:paraId="346C9C56">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285" w:type="pct"/>
                  <w:vAlign w:val="center"/>
                </w:tcPr>
                <w:p w14:paraId="55A48326">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t>污染物排放管控</w:t>
                  </w:r>
                </w:p>
              </w:tc>
              <w:tc>
                <w:tcPr>
                  <w:tcW w:w="2575" w:type="pct"/>
                  <w:vAlign w:val="center"/>
                </w:tcPr>
                <w:p w14:paraId="6D38D1F6">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1.贯彻“边开采、边治理、边恢复”的原则，及时治理恢复矿山地质环境，复垦矿山占用土地和损毁土地。</w:t>
                  </w:r>
                </w:p>
                <w:p w14:paraId="4FACF329">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2.实施“矿山复绿”行动。重点加强历史遗留矿山矿区土地复垦，实施矿山地质环境治理恢复及矿区土地复垦工程。</w:t>
                  </w:r>
                </w:p>
                <w:p w14:paraId="7B079DA6">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3.加强尾矿、废石等资源的再利用与资源综合利用，对尾矿库、废石堆通过平整、覆土、种植等措施开展复垦还绿，严防重金属污染。</w:t>
                  </w:r>
                </w:p>
                <w:p w14:paraId="4BD9776A">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4.矿山企业应当按照“谁开发、谁保护、谁破坏、谁治理”的原则。</w:t>
                  </w:r>
                </w:p>
                <w:p w14:paraId="5510A157">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5.进一步加强重金属污染防控，严格实行重点行业重点污染物总量控制指标，减少重金属排放。</w:t>
                  </w:r>
                </w:p>
              </w:tc>
              <w:tc>
                <w:tcPr>
                  <w:tcW w:w="1584" w:type="pct"/>
                  <w:vAlign w:val="center"/>
                </w:tcPr>
                <w:p w14:paraId="652AFEA9">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项目属于废弃矿坑生态修复项目，</w:t>
                  </w:r>
                  <w:r>
                    <w:rPr>
                      <w:rFonts w:hint="eastAsia"/>
                      <w:color w:val="000000" w:themeColor="text1"/>
                      <w:kern w:val="0"/>
                      <w:sz w:val="21"/>
                      <w:szCs w:val="21"/>
                      <w:highlight w:val="none"/>
                      <w:lang w:val="en-US" w:eastAsia="zh-CN" w:bidi="ar"/>
                      <w14:textFill>
                        <w14:solidFill>
                          <w14:schemeClr w14:val="tx1"/>
                        </w14:solidFill>
                      </w14:textFill>
                    </w:rPr>
                    <w:t>修复过程中产生的渗滤液回用于堆场洒水抑尘。</w:t>
                  </w:r>
                </w:p>
              </w:tc>
              <w:tc>
                <w:tcPr>
                  <w:tcW w:w="268" w:type="pct"/>
                  <w:vAlign w:val="center"/>
                </w:tcPr>
                <w:p w14:paraId="4F26847C">
                  <w:pPr>
                    <w:adjustRightInd w:val="0"/>
                    <w:snapToGrid w:val="0"/>
                    <w:spacing w:line="240" w:lineRule="auto"/>
                    <w:ind w:firstLine="0" w:firstLineChars="0"/>
                    <w:jc w:val="center"/>
                    <w:rPr>
                      <w:rFonts w:hint="eastAsia"/>
                      <w:color w:val="000000" w:themeColor="text1"/>
                      <w:sz w:val="21"/>
                      <w:szCs w:val="21"/>
                      <w:highlight w:val="none"/>
                      <w14:textFill>
                        <w14:solidFill>
                          <w14:schemeClr w14:val="tx1"/>
                        </w14:solidFill>
                      </w14:textFill>
                    </w:rPr>
                  </w:pPr>
                </w:p>
              </w:tc>
            </w:tr>
            <w:tr w14:paraId="3DC08B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14:paraId="1C4B0D19">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285" w:type="pct"/>
                  <w:vAlign w:val="center"/>
                </w:tcPr>
                <w:p w14:paraId="44CB9BA6">
                  <w:pPr>
                    <w:widowControl/>
                    <w:adjustRightInd w:val="0"/>
                    <w:snapToGrid w:val="0"/>
                    <w:spacing w:line="240" w:lineRule="auto"/>
                    <w:ind w:firstLine="0" w:firstLineChars="0"/>
                    <w:jc w:val="left"/>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环境风险防控</w:t>
                  </w:r>
                </w:p>
              </w:tc>
              <w:tc>
                <w:tcPr>
                  <w:tcW w:w="2575" w:type="pct"/>
                  <w:vAlign w:val="center"/>
                </w:tcPr>
                <w:p w14:paraId="52BC46C3">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1.产生、利用或处置含重金属的固体废物（含危险废物）的企业在贮存、转移、利用、处置固体废物（含危险废物）过程中，应配套防扬散、防流失、防渗漏及其他防止污染环境的措施。</w:t>
                  </w:r>
                </w:p>
                <w:p w14:paraId="175D1ADA">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2.各工矿企业应当结合风险源状况明确环境风险的防范、减缓措施。构建“单元—厂区—园区/区域”的环境风险防控体系，设置事故废水收集和应急储存设施。加强地下水环境的监控、预警。编制企事业单位突发环境事件应急预案。金属矿山开采过程中需对人群健康风险进行识别，采取有效措施预防由矿山开发利用带来的疾病。</w:t>
                  </w:r>
                </w:p>
              </w:tc>
              <w:tc>
                <w:tcPr>
                  <w:tcW w:w="1584" w:type="pct"/>
                  <w:vAlign w:val="center"/>
                </w:tcPr>
                <w:p w14:paraId="5A1F4D19">
                  <w:pPr>
                    <w:widowControl/>
                    <w:adjustRightInd w:val="0"/>
                    <w:snapToGrid w:val="0"/>
                    <w:spacing w:line="240" w:lineRule="auto"/>
                    <w:ind w:firstLine="0" w:firstLineChars="0"/>
                    <w:jc w:val="left"/>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本项目属于废弃矿坑生态修复项目，项目不涉及</w:t>
                  </w:r>
                  <w:r>
                    <w:rPr>
                      <w:color w:val="000000" w:themeColor="text1"/>
                      <w:kern w:val="0"/>
                      <w:sz w:val="21"/>
                      <w:szCs w:val="21"/>
                      <w:highlight w:val="none"/>
                      <w:lang w:bidi="ar"/>
                      <w14:textFill>
                        <w14:solidFill>
                          <w14:schemeClr w14:val="tx1"/>
                        </w14:solidFill>
                      </w14:textFill>
                    </w:rPr>
                    <w:t>高污染、高环境风险”产品与工艺装备</w:t>
                  </w:r>
                  <w:r>
                    <w:rPr>
                      <w:rFonts w:hint="eastAsia"/>
                      <w:color w:val="000000" w:themeColor="text1"/>
                      <w:kern w:val="0"/>
                      <w:sz w:val="21"/>
                      <w:szCs w:val="21"/>
                      <w:highlight w:val="none"/>
                      <w:lang w:bidi="ar"/>
                      <w14:textFill>
                        <w14:solidFill>
                          <w14:schemeClr w14:val="tx1"/>
                        </w14:solidFill>
                      </w14:textFill>
                    </w:rPr>
                    <w:t>；不涉及农药使用；为废弃矿坑生态修复，非开发项目。</w:t>
                  </w:r>
                </w:p>
              </w:tc>
              <w:tc>
                <w:tcPr>
                  <w:tcW w:w="268" w:type="pct"/>
                  <w:vAlign w:val="center"/>
                </w:tcPr>
                <w:p w14:paraId="41CA8405">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r>
            <w:tr w14:paraId="040908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85" w:type="pct"/>
                  <w:vMerge w:val="continue"/>
                  <w:vAlign w:val="center"/>
                </w:tcPr>
                <w:p w14:paraId="4DA79C50">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c>
                <w:tcPr>
                  <w:tcW w:w="285" w:type="pct"/>
                  <w:vAlign w:val="center"/>
                </w:tcPr>
                <w:p w14:paraId="1789C3D2">
                  <w:pPr>
                    <w:widowControl/>
                    <w:adjustRightInd w:val="0"/>
                    <w:snapToGrid w:val="0"/>
                    <w:spacing w:line="240" w:lineRule="auto"/>
                    <w:ind w:firstLine="0" w:firstLineChars="0"/>
                    <w:jc w:val="left"/>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资源开发效率要求</w:t>
                  </w:r>
                </w:p>
              </w:tc>
              <w:tc>
                <w:tcPr>
                  <w:tcW w:w="2575" w:type="pct"/>
                  <w:vAlign w:val="center"/>
                </w:tcPr>
                <w:p w14:paraId="7C8A4216">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1.积极推进矿产资源开发规模化、集约化，落实云南省关于煤矿转型升级、非煤矿山转型升级、煤炭行业化解过剩产能有关要求。</w:t>
                  </w:r>
                </w:p>
                <w:p w14:paraId="07BBF46E">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 xml:space="preserve">2.对原有大中型矿业进行技术改造，淘汰污染严重、资源利用率低的落后设备与工艺。加强绿色勘查开采新技术、新方法和新工艺研发与推广。构建绿色勘查开采新模式，因地制宜推广充填开采、保水开采、减沉开采等技术方法，推广区域矿山建矿模式和边开采边复垦边归还采矿用地模式，推广节能减排绿色采选冶技术。 </w:t>
                  </w:r>
                </w:p>
                <w:p w14:paraId="1C518EA9">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3.应从源头减少废水产生，实施清污分流，应充分利用矿井水、循环利用选矿水。</w:t>
                  </w:r>
                </w:p>
                <w:p w14:paraId="71AA53AF">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 xml:space="preserve">4.加快老矿山改造升级，建设绿色矿山，提高矿产资源回采率和综合回收率，大力开展粉煤灰、磷石膏、炉渣、冶炼废渣、尾矿等资源化利用。 </w:t>
                  </w:r>
                </w:p>
                <w:p w14:paraId="21919E11">
                  <w:pPr>
                    <w:widowControl/>
                    <w:adjustRightInd w:val="0"/>
                    <w:snapToGrid w:val="0"/>
                    <w:spacing w:line="240" w:lineRule="auto"/>
                    <w:ind w:firstLine="0" w:firstLineChars="0"/>
                    <w:jc w:val="left"/>
                    <w:rPr>
                      <w:rFonts w:hint="eastAsia"/>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5.提高煤矸石、废石等综合利用率，降低废石排放率，鼓励利用尾矿、废石、建筑垃圾等生产机制砂石，提高固体废物循环利用水平。</w:t>
                  </w:r>
                </w:p>
              </w:tc>
              <w:tc>
                <w:tcPr>
                  <w:tcW w:w="1584" w:type="pct"/>
                  <w:vAlign w:val="center"/>
                </w:tcPr>
                <w:p w14:paraId="19C7F078">
                  <w:pPr>
                    <w:widowControl/>
                    <w:adjustRightInd w:val="0"/>
                    <w:snapToGrid w:val="0"/>
                    <w:spacing w:line="240" w:lineRule="auto"/>
                    <w:ind w:firstLine="0" w:firstLineChars="0"/>
                    <w:jc w:val="left"/>
                    <w:rPr>
                      <w:rFonts w:hint="default"/>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本项目属于废弃矿坑生态修复项目，</w:t>
                  </w:r>
                  <w:r>
                    <w:rPr>
                      <w:rFonts w:hint="eastAsia"/>
                      <w:color w:val="000000" w:themeColor="text1"/>
                      <w:kern w:val="0"/>
                      <w:sz w:val="21"/>
                      <w:szCs w:val="21"/>
                      <w:highlight w:val="none"/>
                      <w:lang w:val="en-US" w:eastAsia="zh-CN" w:bidi="ar"/>
                      <w14:textFill>
                        <w14:solidFill>
                          <w14:schemeClr w14:val="tx1"/>
                        </w14:solidFill>
                      </w14:textFill>
                    </w:rPr>
                    <w:t>不属于</w:t>
                  </w:r>
                  <w:r>
                    <w:rPr>
                      <w:rFonts w:hint="eastAsia"/>
                      <w:color w:val="000000" w:themeColor="text1"/>
                      <w:kern w:val="0"/>
                      <w:sz w:val="21"/>
                      <w:szCs w:val="21"/>
                      <w:highlight w:val="none"/>
                      <w:lang w:bidi="ar"/>
                      <w14:textFill>
                        <w14:solidFill>
                          <w14:schemeClr w14:val="tx1"/>
                        </w14:solidFill>
                      </w14:textFill>
                    </w:rPr>
                    <w:t>非煤矿山</w:t>
                  </w:r>
                  <w:r>
                    <w:rPr>
                      <w:rFonts w:hint="eastAsia"/>
                      <w:color w:val="000000" w:themeColor="text1"/>
                      <w:kern w:val="0"/>
                      <w:sz w:val="21"/>
                      <w:szCs w:val="21"/>
                      <w:highlight w:val="none"/>
                      <w:lang w:eastAsia="zh-CN" w:bidi="ar"/>
                      <w14:textFill>
                        <w14:solidFill>
                          <w14:schemeClr w14:val="tx1"/>
                        </w14:solidFill>
                      </w14:textFill>
                    </w:rPr>
                    <w:t>、</w:t>
                  </w:r>
                  <w:r>
                    <w:rPr>
                      <w:rFonts w:hint="eastAsia"/>
                      <w:color w:val="000000" w:themeColor="text1"/>
                      <w:kern w:val="0"/>
                      <w:sz w:val="21"/>
                      <w:szCs w:val="21"/>
                      <w:highlight w:val="none"/>
                      <w:lang w:bidi="ar"/>
                      <w14:textFill>
                        <w14:solidFill>
                          <w14:schemeClr w14:val="tx1"/>
                        </w14:solidFill>
                      </w14:textFill>
                    </w:rPr>
                    <w:t>煤炭行业</w:t>
                  </w:r>
                  <w:r>
                    <w:rPr>
                      <w:rFonts w:hint="eastAsia"/>
                      <w:color w:val="000000" w:themeColor="text1"/>
                      <w:kern w:val="0"/>
                      <w:sz w:val="21"/>
                      <w:szCs w:val="21"/>
                      <w:highlight w:val="none"/>
                      <w:lang w:eastAsia="zh-CN" w:bidi="ar"/>
                      <w14:textFill>
                        <w14:solidFill>
                          <w14:schemeClr w14:val="tx1"/>
                        </w14:solidFill>
                      </w14:textFill>
                    </w:rPr>
                    <w:t>；</w:t>
                  </w:r>
                  <w:r>
                    <w:rPr>
                      <w:rFonts w:hint="eastAsia"/>
                      <w:color w:val="000000" w:themeColor="text1"/>
                      <w:kern w:val="0"/>
                      <w:sz w:val="21"/>
                      <w:szCs w:val="21"/>
                      <w:highlight w:val="none"/>
                      <w:lang w:val="en-US" w:eastAsia="zh-CN" w:bidi="ar"/>
                      <w14:textFill>
                        <w14:solidFill>
                          <w14:schemeClr w14:val="tx1"/>
                        </w14:solidFill>
                      </w14:textFill>
                    </w:rPr>
                    <w:t>修复过程中产生的渗滤液回用于堆场洒水抑尘。</w:t>
                  </w:r>
                </w:p>
                <w:p w14:paraId="2084882A">
                  <w:pPr>
                    <w:widowControl/>
                    <w:adjustRightInd w:val="0"/>
                    <w:snapToGrid w:val="0"/>
                    <w:spacing w:line="240" w:lineRule="auto"/>
                    <w:ind w:firstLine="0" w:firstLineChars="0"/>
                    <w:jc w:val="left"/>
                    <w:rPr>
                      <w:rFonts w:hint="eastAsia" w:eastAsia="宋体"/>
                      <w:color w:val="000000" w:themeColor="text1"/>
                      <w:kern w:val="0"/>
                      <w:sz w:val="21"/>
                      <w:szCs w:val="21"/>
                      <w:highlight w:val="none"/>
                      <w:lang w:val="en-US" w:eastAsia="zh-CN" w:bidi="ar"/>
                      <w14:textFill>
                        <w14:solidFill>
                          <w14:schemeClr w14:val="tx1"/>
                        </w14:solidFill>
                      </w14:textFill>
                    </w:rPr>
                  </w:pPr>
                  <w:r>
                    <w:rPr>
                      <w:rFonts w:hint="eastAsia"/>
                      <w:color w:val="000000" w:themeColor="text1"/>
                      <w:kern w:val="0"/>
                      <w:sz w:val="21"/>
                      <w:szCs w:val="21"/>
                      <w:highlight w:val="none"/>
                      <w:lang w:val="en-US" w:eastAsia="zh-CN" w:bidi="ar"/>
                      <w14:textFill>
                        <w14:solidFill>
                          <w14:schemeClr w14:val="tx1"/>
                        </w14:solidFill>
                      </w14:textFill>
                    </w:rPr>
                    <w:t>本项目对常青树堆存磷石膏经无害化预处理后制成充填材料，对寻甸县鸡街镇大旋塘南部采石场进行矿山生态修复工程充填。</w:t>
                  </w:r>
                </w:p>
              </w:tc>
              <w:tc>
                <w:tcPr>
                  <w:tcW w:w="268" w:type="pct"/>
                  <w:vAlign w:val="center"/>
                </w:tcPr>
                <w:p w14:paraId="1FD2ADCB">
                  <w:pPr>
                    <w:adjustRightInd w:val="0"/>
                    <w:snapToGrid w:val="0"/>
                    <w:spacing w:line="240" w:lineRule="auto"/>
                    <w:ind w:firstLine="0" w:firstLineChars="0"/>
                    <w:jc w:val="center"/>
                    <w:rPr>
                      <w:color w:val="000000" w:themeColor="text1"/>
                      <w:sz w:val="21"/>
                      <w:szCs w:val="21"/>
                      <w:highlight w:val="none"/>
                      <w14:textFill>
                        <w14:solidFill>
                          <w14:schemeClr w14:val="tx1"/>
                        </w14:solidFill>
                      </w14:textFill>
                    </w:rPr>
                  </w:pPr>
                </w:p>
              </w:tc>
            </w:tr>
          </w:tbl>
          <w:p w14:paraId="21246101">
            <w:pPr>
              <w:adjustRightInd w:val="0"/>
              <w:snapToGrid w:val="0"/>
              <w:ind w:firstLine="480"/>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由上表可知，本项目建设符合</w:t>
            </w:r>
            <w:r>
              <w:rPr>
                <w:rFonts w:hint="eastAsia"/>
                <w:color w:val="000000" w:themeColor="text1"/>
                <w:kern w:val="0"/>
                <w:highlight w:val="none"/>
                <w:lang w:bidi="ar"/>
                <w14:textFill>
                  <w14:solidFill>
                    <w14:schemeClr w14:val="tx1"/>
                  </w14:solidFill>
                </w14:textFill>
              </w:rPr>
              <w:t>昆明市生态环境分区管控成果动态更新方案</w:t>
            </w:r>
            <w:r>
              <w:rPr>
                <w:color w:val="000000" w:themeColor="text1"/>
                <w:highlight w:val="none"/>
                <w14:textFill>
                  <w14:solidFill>
                    <w14:schemeClr w14:val="tx1"/>
                  </w14:solidFill>
                </w14:textFill>
              </w:rPr>
              <w:t>中相关要求</w:t>
            </w:r>
            <w:r>
              <w:rPr>
                <w:rFonts w:hint="eastAsia"/>
                <w:color w:val="000000" w:themeColor="text1"/>
                <w:highlight w:val="none"/>
                <w14:textFill>
                  <w14:solidFill>
                    <w14:schemeClr w14:val="tx1"/>
                  </w14:solidFill>
                </w14:textFill>
              </w:rPr>
              <w:t>。</w:t>
            </w:r>
          </w:p>
          <w:p w14:paraId="721E04D9">
            <w:pPr>
              <w:adjustRightInd w:val="0"/>
              <w:snapToGrid w:val="0"/>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3、项目与《中华人民共和国长江保护法》符合性分析</w:t>
            </w:r>
          </w:p>
          <w:p w14:paraId="1D2B3AB6">
            <w:pPr>
              <w:widowControl/>
              <w:adjustRightInd w:val="0"/>
              <w:snapToGrid w:val="0"/>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为了加强长江流域生态环境保护和修复，促进资源合理高效利用，保障生态安全，实现人与自然和谐共生、中华民族永续发展制定的法律。</w:t>
            </w:r>
          </w:p>
          <w:p w14:paraId="017ADC18">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2020年12月26日，中华人民共和国第十三届全国人民代表大会常务委员会第二十四次会议通过《中华人民共和国长江保护法》。</w:t>
            </w:r>
            <w:bookmarkStart w:id="3" w:name="_Hlk201523274"/>
            <w:bookmarkStart w:id="4" w:name="_Hlk201522586"/>
            <w:r>
              <w:rPr>
                <w:rFonts w:hint="eastAsia"/>
                <w:color w:val="000000" w:themeColor="text1"/>
                <w:kern w:val="0"/>
                <w:highlight w:val="none"/>
                <w:lang w:bidi="ar"/>
                <w14:textFill>
                  <w14:solidFill>
                    <w14:schemeClr w14:val="tx1"/>
                  </w14:solidFill>
                </w14:textFill>
              </w:rPr>
              <w:t>项目最近地表水体为</w:t>
            </w:r>
            <w:bookmarkStart w:id="5" w:name="_Hlk201523395"/>
            <w:r>
              <w:rPr>
                <w:rFonts w:hint="eastAsia"/>
                <w:color w:val="000000" w:themeColor="text1"/>
                <w:kern w:val="0"/>
                <w:highlight w:val="none"/>
                <w:lang w:bidi="ar"/>
                <w14:textFill>
                  <w14:solidFill>
                    <w14:schemeClr w14:val="tx1"/>
                  </w14:solidFill>
                </w14:textFill>
              </w:rPr>
              <w:t>穿过项目区的卡巴拉季节性溪沟</w:t>
            </w:r>
            <w:bookmarkEnd w:id="5"/>
            <w:r>
              <w:rPr>
                <w:rFonts w:hint="eastAsia"/>
                <w:color w:val="000000" w:themeColor="text1"/>
                <w:kern w:val="0"/>
                <w:highlight w:val="none"/>
                <w:lang w:bidi="ar"/>
                <w14:textFill>
                  <w14:solidFill>
                    <w14:schemeClr w14:val="tx1"/>
                  </w14:solidFill>
                </w14:textFill>
              </w:rPr>
              <w:t>，</w:t>
            </w:r>
            <w:bookmarkStart w:id="6" w:name="_Hlk201523401"/>
            <w:r>
              <w:rPr>
                <w:rFonts w:hint="eastAsia"/>
                <w:color w:val="000000" w:themeColor="text1"/>
                <w:kern w:val="0"/>
                <w:highlight w:val="none"/>
                <w:lang w:bidi="ar"/>
                <w14:textFill>
                  <w14:solidFill>
                    <w14:schemeClr w14:val="tx1"/>
                  </w14:solidFill>
                </w14:textFill>
              </w:rPr>
              <w:t>自东向西汇入鸡街河</w:t>
            </w:r>
            <w:bookmarkEnd w:id="6"/>
            <w:r>
              <w:rPr>
                <w:rFonts w:hint="eastAsia"/>
                <w:color w:val="000000" w:themeColor="text1"/>
                <w:kern w:val="0"/>
                <w:highlight w:val="none"/>
                <w:lang w:bidi="ar"/>
                <w14:textFill>
                  <w14:solidFill>
                    <w14:schemeClr w14:val="tx1"/>
                  </w14:solidFill>
                </w14:textFill>
              </w:rPr>
              <w:t>，</w:t>
            </w:r>
            <w:bookmarkEnd w:id="3"/>
            <w:r>
              <w:rPr>
                <w:rFonts w:hint="eastAsia"/>
                <w:color w:val="000000" w:themeColor="text1"/>
                <w:kern w:val="0"/>
                <w:highlight w:val="none"/>
                <w:lang w:bidi="ar"/>
                <w14:textFill>
                  <w14:solidFill>
                    <w14:schemeClr w14:val="tx1"/>
                  </w14:solidFill>
                </w14:textFill>
              </w:rPr>
              <w:t>属于长江流域。</w:t>
            </w:r>
            <w:bookmarkEnd w:id="4"/>
            <w:r>
              <w:rPr>
                <w:rFonts w:hint="eastAsia"/>
                <w:color w:val="000000" w:themeColor="text1"/>
                <w:kern w:val="0"/>
                <w:highlight w:val="none"/>
                <w:lang w:bidi="ar"/>
                <w14:textFill>
                  <w14:solidFill>
                    <w14:schemeClr w14:val="tx1"/>
                  </w14:solidFill>
                </w14:textFill>
              </w:rPr>
              <w:t>项目与《中华人民共和国长江保护法》符合性分析见下表。</w:t>
            </w:r>
          </w:p>
          <w:p w14:paraId="2658184A">
            <w:pPr>
              <w:widowControl/>
              <w:adjustRightInd w:val="0"/>
              <w:snapToGrid w:val="0"/>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表1-3  项目与《中华人民共和国长江保护法》的符合性分析</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267"/>
              <w:gridCol w:w="2140"/>
              <w:gridCol w:w="639"/>
            </w:tblGrid>
            <w:tr w14:paraId="78DA27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1960C4BC">
                  <w:pPr>
                    <w:pStyle w:val="24"/>
                    <w:adjustRightInd w:val="0"/>
                    <w:spacing w:before="0" w:after="0" w:line="240" w:lineRule="auto"/>
                    <w:ind w:right="0"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长江保护法相关规定</w:t>
                  </w:r>
                </w:p>
              </w:tc>
              <w:tc>
                <w:tcPr>
                  <w:tcW w:w="2145" w:type="dxa"/>
                  <w:vAlign w:val="center"/>
                </w:tcPr>
                <w:p w14:paraId="49393F6C">
                  <w:pPr>
                    <w:pStyle w:val="24"/>
                    <w:adjustRightInd w:val="0"/>
                    <w:spacing w:before="0" w:after="0" w:line="240" w:lineRule="auto"/>
                    <w:ind w:right="0"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项目情况</w:t>
                  </w:r>
                </w:p>
              </w:tc>
              <w:tc>
                <w:tcPr>
                  <w:tcW w:w="640" w:type="dxa"/>
                  <w:vAlign w:val="center"/>
                </w:tcPr>
                <w:p w14:paraId="2457FF55">
                  <w:pPr>
                    <w:pStyle w:val="24"/>
                    <w:adjustRightInd w:val="0"/>
                    <w:spacing w:before="0" w:after="0" w:line="240" w:lineRule="auto"/>
                    <w:ind w:right="0"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符合性</w:t>
                  </w:r>
                </w:p>
              </w:tc>
            </w:tr>
            <w:tr w14:paraId="4B6E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2D5EEA6A">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第二十六条、</w:t>
                  </w:r>
                  <w:r>
                    <w:rPr>
                      <w:rFonts w:hint="eastAsia"/>
                      <w:color w:val="000000" w:themeColor="text1"/>
                      <w:kern w:val="0"/>
                      <w:sz w:val="21"/>
                      <w:szCs w:val="21"/>
                      <w:highlight w:val="none"/>
                      <w:lang w:bidi="ar"/>
                      <w14:textFill>
                        <w14:solidFill>
                          <w14:schemeClr w14:val="tx1"/>
                        </w14:solidFill>
                      </w14:textFill>
                    </w:rPr>
                    <w:t>禁止在长江干支流岸线一公里范围内新建、扩建化工园区和化工项目。禁止在长江干流岸线三公里范围内和重要支流岸线一公里范围内新建、改建扩建尾矿库；但是以提升安全、生态环境保护水平为目的的改建除外。</w:t>
                  </w:r>
                </w:p>
              </w:tc>
              <w:tc>
                <w:tcPr>
                  <w:tcW w:w="2145" w:type="dxa"/>
                  <w:vAlign w:val="center"/>
                </w:tcPr>
                <w:p w14:paraId="359BB453">
                  <w:pPr>
                    <w:pStyle w:val="24"/>
                    <w:adjustRightInd w:val="0"/>
                    <w:spacing w:before="0" w:after="0" w:line="240" w:lineRule="auto"/>
                    <w:ind w:right="0"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本项目为废弃矿坑生态修复项目，不属于化工园区和化工项目、尾矿库项目，不涉及此条禁止的行为。</w:t>
                  </w:r>
                </w:p>
              </w:tc>
              <w:tc>
                <w:tcPr>
                  <w:tcW w:w="640" w:type="dxa"/>
                  <w:vAlign w:val="center"/>
                </w:tcPr>
                <w:p w14:paraId="61A58F8B">
                  <w:pPr>
                    <w:pStyle w:val="24"/>
                    <w:adjustRightInd w:val="0"/>
                    <w:spacing w:before="0" w:after="0" w:line="240" w:lineRule="auto"/>
                    <w:ind w:right="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6A95FF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24005168">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第二十八条、禁止在长江流域禁止采砂区和止采砂期从事采砂活动。</w:t>
                  </w:r>
                </w:p>
              </w:tc>
              <w:tc>
                <w:tcPr>
                  <w:tcW w:w="2145" w:type="dxa"/>
                  <w:vAlign w:val="center"/>
                </w:tcPr>
                <w:p w14:paraId="6BC923FE">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本项目不涉及采砂活动，不涉及此条禁止的行为。</w:t>
                  </w:r>
                </w:p>
              </w:tc>
              <w:tc>
                <w:tcPr>
                  <w:tcW w:w="640" w:type="dxa"/>
                  <w:vAlign w:val="center"/>
                </w:tcPr>
                <w:p w14:paraId="7F166271">
                  <w:pPr>
                    <w:pStyle w:val="24"/>
                    <w:adjustRightInd w:val="0"/>
                    <w:spacing w:before="0" w:after="0" w:line="240" w:lineRule="auto"/>
                    <w:ind w:right="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36BFB5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415FDD49">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第三十八条、完善规划和建设项目水资源论证制度；加强对高耗水行业重点用水单位的用水定额管理，严格控制高耗水项目建设。</w:t>
                  </w:r>
                </w:p>
              </w:tc>
              <w:tc>
                <w:tcPr>
                  <w:tcW w:w="2145" w:type="dxa"/>
                  <w:vAlign w:val="center"/>
                </w:tcPr>
                <w:p w14:paraId="3459A79A">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本项目不属于高耗水项目。</w:t>
                  </w:r>
                </w:p>
              </w:tc>
              <w:tc>
                <w:tcPr>
                  <w:tcW w:w="640" w:type="dxa"/>
                  <w:vAlign w:val="center"/>
                </w:tcPr>
                <w:p w14:paraId="319B4FB8">
                  <w:pPr>
                    <w:pStyle w:val="24"/>
                    <w:adjustRightInd w:val="0"/>
                    <w:spacing w:before="0" w:after="0" w:line="240" w:lineRule="auto"/>
                    <w:ind w:right="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09B693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7898C16F">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四十七条、在长江流域江河、湖泊新设、改设或者扩大排污，应当按照国家有关规定报经有管辖权的生态环境主管部门或者长江流域生态环境监督管理机构同意。对未达到水质目标的水功能区，除污水集中处理设施排污口外，应当严格控制新设、改设或者扩大排污口。</w:t>
                  </w:r>
                </w:p>
              </w:tc>
              <w:tc>
                <w:tcPr>
                  <w:tcW w:w="2145" w:type="dxa"/>
                  <w:vAlign w:val="center"/>
                </w:tcPr>
                <w:p w14:paraId="56D5F797">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本项目无废水外排，不设置排污口。</w:t>
                  </w:r>
                </w:p>
              </w:tc>
              <w:tc>
                <w:tcPr>
                  <w:tcW w:w="640" w:type="dxa"/>
                  <w:vAlign w:val="center"/>
                </w:tcPr>
                <w:p w14:paraId="595EC2F0">
                  <w:pPr>
                    <w:pStyle w:val="24"/>
                    <w:adjustRightInd w:val="0"/>
                    <w:spacing w:before="0" w:after="0" w:line="240" w:lineRule="auto"/>
                    <w:ind w:right="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2FA9A7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26FA9578">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第四十九条、禁止在长江流域河湖管理范围内倾倒、填埋、堆放、弃置、处理固体废物。</w:t>
                  </w:r>
                </w:p>
              </w:tc>
              <w:tc>
                <w:tcPr>
                  <w:tcW w:w="2145" w:type="dxa"/>
                  <w:vAlign w:val="center"/>
                </w:tcPr>
                <w:p w14:paraId="388EC99C">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本项目固体废物处置率100%，不涉及此条禁止行为。</w:t>
                  </w:r>
                </w:p>
              </w:tc>
              <w:tc>
                <w:tcPr>
                  <w:tcW w:w="640" w:type="dxa"/>
                  <w:vAlign w:val="center"/>
                </w:tcPr>
                <w:p w14:paraId="65615C1A">
                  <w:pPr>
                    <w:pStyle w:val="24"/>
                    <w:adjustRightInd w:val="0"/>
                    <w:spacing w:before="0" w:after="0" w:line="240" w:lineRule="auto"/>
                    <w:ind w:right="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6A55CB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220FC33D">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第五十一条、禁止在长江流域水上运输剧毒化学品和国家规定禁止通过内河运输的其他危险化学品。</w:t>
                  </w:r>
                </w:p>
              </w:tc>
              <w:tc>
                <w:tcPr>
                  <w:tcW w:w="2145" w:type="dxa"/>
                  <w:vAlign w:val="center"/>
                </w:tcPr>
                <w:p w14:paraId="3A737A2F">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本项目不涉及此条禁止行为。</w:t>
                  </w:r>
                </w:p>
              </w:tc>
              <w:tc>
                <w:tcPr>
                  <w:tcW w:w="640" w:type="dxa"/>
                  <w:vAlign w:val="center"/>
                </w:tcPr>
                <w:p w14:paraId="42CC90FE">
                  <w:pPr>
                    <w:pStyle w:val="24"/>
                    <w:adjustRightInd w:val="0"/>
                    <w:spacing w:before="0" w:after="0" w:line="240" w:lineRule="auto"/>
                    <w:ind w:right="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80DE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6F328DC9">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五十二条、国家对长江流域生态系统实行自然恢复为主、自然恢复与人工修复相结合的系统治理。国务院自然资源主管部门会同国务院有关部门编制长江流域生态环境修复规划，组织实施重大生态环境修复工程，统筹推进长江流域各项生态环境修复工作。</w:t>
                  </w:r>
                </w:p>
              </w:tc>
              <w:tc>
                <w:tcPr>
                  <w:tcW w:w="2145" w:type="dxa"/>
                  <w:vAlign w:val="center"/>
                </w:tcPr>
                <w:p w14:paraId="6A6ECEB7">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本项目为废弃矿坑生态修复项目，符合相关要求。</w:t>
                  </w:r>
                </w:p>
              </w:tc>
              <w:tc>
                <w:tcPr>
                  <w:tcW w:w="640" w:type="dxa"/>
                  <w:vAlign w:val="center"/>
                </w:tcPr>
                <w:p w14:paraId="6D75B8E5">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326F32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4CBDDCA4">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第六十一条、禁止在长江流域水土流失严重、生态脆弱的区域开展可能造成水土流失的生产建设活动。</w:t>
                  </w:r>
                </w:p>
              </w:tc>
              <w:tc>
                <w:tcPr>
                  <w:tcW w:w="2145" w:type="dxa"/>
                  <w:vAlign w:val="center"/>
                </w:tcPr>
                <w:p w14:paraId="50EF0542">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本项目位于云南省昆明市寻甸县鸡街镇古城新石桥村大旋塘采石场，不位于长江流域水土流失严重、生态脆弱区域。</w:t>
                  </w:r>
                </w:p>
              </w:tc>
              <w:tc>
                <w:tcPr>
                  <w:tcW w:w="640" w:type="dxa"/>
                  <w:vAlign w:val="center"/>
                </w:tcPr>
                <w:p w14:paraId="22F4237A">
                  <w:pPr>
                    <w:pStyle w:val="24"/>
                    <w:adjustRightInd w:val="0"/>
                    <w:spacing w:before="0" w:after="0" w:line="240" w:lineRule="auto"/>
                    <w:ind w:right="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619E9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85" w:type="dxa"/>
                  <w:vAlign w:val="center"/>
                </w:tcPr>
                <w:p w14:paraId="43BA4FDC">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六十二条、长江流域县级以上地方人民政府应当因地制宜采取消除地质灾害隐患、土地复垦、恢复植被、防治污染等措施，加快历史遗留矿山生态环境修复工作，并加强对在建和运行中矿山的监督管理，督促采矿权人切实履行矿山污染防治和生态环境修复责任。</w:t>
                  </w:r>
                </w:p>
              </w:tc>
              <w:tc>
                <w:tcPr>
                  <w:tcW w:w="2145" w:type="dxa"/>
                  <w:vAlign w:val="center"/>
                </w:tcPr>
                <w:p w14:paraId="272A096D">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本项目属于废弃矿坑生态修复项目，符合相关要求。</w:t>
                  </w:r>
                </w:p>
              </w:tc>
              <w:tc>
                <w:tcPr>
                  <w:tcW w:w="640" w:type="dxa"/>
                  <w:vAlign w:val="center"/>
                </w:tcPr>
                <w:p w14:paraId="4C089DD0">
                  <w:pPr>
                    <w:pStyle w:val="24"/>
                    <w:adjustRightInd w:val="0"/>
                    <w:spacing w:before="0" w:after="0" w:line="240" w:lineRule="auto"/>
                    <w:ind w:right="0"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bl>
          <w:p w14:paraId="4ABFABED">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综上所述，本项目的建设实施与《中华人民共和国长江保护法相符》。</w:t>
            </w:r>
          </w:p>
          <w:p w14:paraId="1635259F">
            <w:pPr>
              <w:adjustRightInd w:val="0"/>
              <w:snapToGrid w:val="0"/>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5、项目与《长江经济带发展负面清单指南》（试行，2022年版）符合性分析</w:t>
            </w:r>
          </w:p>
          <w:p w14:paraId="70016994">
            <w:pPr>
              <w:pStyle w:val="39"/>
              <w:keepNext w:val="0"/>
              <w:keepLines w:val="0"/>
              <w:pageBreakBefore w:val="0"/>
              <w:widowControl w:val="0"/>
              <w:kinsoku/>
              <w:wordWrap/>
              <w:overflowPunct/>
              <w:topLinePunct w:val="0"/>
              <w:autoSpaceDE/>
              <w:autoSpaceDN/>
              <w:bidi w:val="0"/>
              <w:adjustRightInd/>
              <w:snapToGrid/>
              <w:spacing w:after="0"/>
              <w:ind w:left="0" w:leftChars="0" w:firstLine="480"/>
              <w:textAlignment w:val="auto"/>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项目为废弃矿坑生态修复项目，位于长江流域，项目与《长江经济带发展负面清单指南》（试行，</w:t>
            </w:r>
            <w:r>
              <w:rPr>
                <w:color w:val="000000" w:themeColor="text1"/>
                <w:kern w:val="0"/>
                <w:highlight w:val="none"/>
                <w:lang w:bidi="ar"/>
                <w14:textFill>
                  <w14:solidFill>
                    <w14:schemeClr w14:val="tx1"/>
                  </w14:solidFill>
                </w14:textFill>
              </w:rPr>
              <w:t>2022</w:t>
            </w:r>
            <w:r>
              <w:rPr>
                <w:rFonts w:hint="eastAsia"/>
                <w:color w:val="000000" w:themeColor="text1"/>
                <w:kern w:val="0"/>
                <w:highlight w:val="none"/>
                <w:lang w:bidi="ar"/>
                <w14:textFill>
                  <w14:solidFill>
                    <w14:schemeClr w14:val="tx1"/>
                  </w14:solidFill>
                </w14:textFill>
              </w:rPr>
              <w:t>年版）的符合性如下。</w:t>
            </w:r>
          </w:p>
          <w:p w14:paraId="4777708A">
            <w:pPr>
              <w:widowControl/>
              <w:adjustRightInd w:val="0"/>
              <w:snapToGrid w:val="0"/>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表1-4  项目与《</w:t>
            </w:r>
            <w:r>
              <w:rPr>
                <w:rFonts w:hint="eastAsia"/>
                <w:b/>
                <w:bCs/>
                <w:color w:val="000000" w:themeColor="text1"/>
                <w:kern w:val="0"/>
                <w:sz w:val="21"/>
                <w:szCs w:val="21"/>
                <w:highlight w:val="none"/>
                <w14:textFill>
                  <w14:solidFill>
                    <w14:schemeClr w14:val="tx1"/>
                  </w14:solidFill>
                </w14:textFill>
              </w:rPr>
              <w:t>长江经济带发展负面清单指南》</w:t>
            </w:r>
            <w:r>
              <w:rPr>
                <w:rFonts w:hint="eastAsia"/>
                <w:b/>
                <w:bCs/>
                <w:color w:val="000000" w:themeColor="text1"/>
                <w:kern w:val="0"/>
                <w:sz w:val="21"/>
                <w:szCs w:val="21"/>
                <w:highlight w:val="none"/>
                <w:lang w:bidi="ar"/>
                <w14:textFill>
                  <w14:solidFill>
                    <w14:schemeClr w14:val="tx1"/>
                  </w14:solidFill>
                </w14:textFill>
              </w:rPr>
              <w:t>（试行，2022年版）符合性分析</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1"/>
              <w:gridCol w:w="2185"/>
              <w:gridCol w:w="917"/>
            </w:tblGrid>
            <w:tr w14:paraId="046EC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736A509C">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文件要求</w:t>
                  </w:r>
                </w:p>
              </w:tc>
              <w:tc>
                <w:tcPr>
                  <w:tcW w:w="1358" w:type="pct"/>
                  <w:tcBorders>
                    <w:top w:val="single" w:color="auto" w:sz="4" w:space="0"/>
                    <w:left w:val="nil"/>
                    <w:bottom w:val="single" w:color="auto" w:sz="4" w:space="0"/>
                    <w:right w:val="single" w:color="auto" w:sz="4" w:space="0"/>
                  </w:tcBorders>
                  <w:vAlign w:val="center"/>
                </w:tcPr>
                <w:p w14:paraId="265C652D">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本项目情况</w:t>
                  </w:r>
                </w:p>
              </w:tc>
              <w:tc>
                <w:tcPr>
                  <w:tcW w:w="570" w:type="pct"/>
                  <w:tcBorders>
                    <w:top w:val="single" w:color="auto" w:sz="4" w:space="0"/>
                    <w:left w:val="nil"/>
                    <w:bottom w:val="single" w:color="auto" w:sz="4" w:space="0"/>
                    <w:right w:val="single" w:color="auto" w:sz="4" w:space="0"/>
                  </w:tcBorders>
                  <w:vAlign w:val="center"/>
                </w:tcPr>
                <w:p w14:paraId="12C77602">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符合性</w:t>
                  </w:r>
                </w:p>
              </w:tc>
            </w:tr>
            <w:tr w14:paraId="38E09E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35885514">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1.禁止建设不符合全国和省级港口布局规划以及港口总体规划的码头项目，禁止建设不符合《长江干线过江通道布局规划》的过长江通道项目。</w:t>
                  </w:r>
                </w:p>
              </w:tc>
              <w:tc>
                <w:tcPr>
                  <w:tcW w:w="1358" w:type="pct"/>
                  <w:tcBorders>
                    <w:top w:val="single" w:color="auto" w:sz="4" w:space="0"/>
                    <w:left w:val="nil"/>
                    <w:bottom w:val="single" w:color="auto" w:sz="4" w:space="0"/>
                    <w:right w:val="single" w:color="auto" w:sz="4" w:space="0"/>
                  </w:tcBorders>
                  <w:vAlign w:val="center"/>
                </w:tcPr>
                <w:p w14:paraId="014AC465">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项目为废弃矿坑生态修复项目，不属于码头、过长江通道项目。</w:t>
                  </w:r>
                </w:p>
              </w:tc>
              <w:tc>
                <w:tcPr>
                  <w:tcW w:w="570" w:type="pct"/>
                  <w:tcBorders>
                    <w:top w:val="single" w:color="auto" w:sz="4" w:space="0"/>
                    <w:left w:val="nil"/>
                    <w:bottom w:val="single" w:color="auto" w:sz="4" w:space="0"/>
                    <w:right w:val="single" w:color="auto" w:sz="4" w:space="0"/>
                  </w:tcBorders>
                  <w:vAlign w:val="center"/>
                </w:tcPr>
                <w:p w14:paraId="12562E0F">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314073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21DEDCA9">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2.禁止在自然保护区核心区、缓冲区的岸线和河段范围内投资建设旅游和生产经营项目。禁止在风景名胜区核心景区的岸线和河段范围内投资建设与风景名胜资源保护无关的项目。</w:t>
                  </w:r>
                </w:p>
              </w:tc>
              <w:tc>
                <w:tcPr>
                  <w:tcW w:w="1358" w:type="pct"/>
                  <w:tcBorders>
                    <w:top w:val="single" w:color="auto" w:sz="4" w:space="0"/>
                    <w:left w:val="nil"/>
                    <w:bottom w:val="single" w:color="auto" w:sz="4" w:space="0"/>
                    <w:right w:val="single" w:color="auto" w:sz="4" w:space="0"/>
                  </w:tcBorders>
                  <w:vAlign w:val="center"/>
                </w:tcPr>
                <w:p w14:paraId="42F64153">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项目为废弃矿坑生态修复项目，未在自然保护区核心区、缓冲区的岸线和河段范围内。</w:t>
                  </w:r>
                </w:p>
              </w:tc>
              <w:tc>
                <w:tcPr>
                  <w:tcW w:w="570" w:type="pct"/>
                  <w:tcBorders>
                    <w:top w:val="single" w:color="auto" w:sz="4" w:space="0"/>
                    <w:left w:val="nil"/>
                    <w:bottom w:val="single" w:color="auto" w:sz="4" w:space="0"/>
                    <w:right w:val="single" w:color="auto" w:sz="4" w:space="0"/>
                  </w:tcBorders>
                  <w:vAlign w:val="center"/>
                </w:tcPr>
                <w:p w14:paraId="5B2B5096">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2E3ADA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1" w:type="pct"/>
                  <w:tcBorders>
                    <w:top w:val="single" w:color="auto" w:sz="4" w:space="0"/>
                    <w:left w:val="single" w:color="auto" w:sz="4" w:space="0"/>
                    <w:bottom w:val="single" w:color="auto" w:sz="4" w:space="0"/>
                    <w:right w:val="single" w:color="auto" w:sz="4" w:space="0"/>
                  </w:tcBorders>
                  <w:vAlign w:val="center"/>
                </w:tcPr>
                <w:p w14:paraId="6F7E51A0">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禁止在饮用水水源一级保护区的岸线和河段范围内新建、改建、扩建与供水设施和保护水源无关的项目，以及网箱养殖、畜禽养殖、旅游等可能污染饮用水水体的投资建设项目。禁止在饮用水水源二级保护区的岸线和河段范围内新建、改建、扩建排放污染物的投资建设项目。</w:t>
                  </w:r>
                </w:p>
              </w:tc>
              <w:tc>
                <w:tcPr>
                  <w:tcW w:w="1358" w:type="pct"/>
                  <w:tcBorders>
                    <w:top w:val="single" w:color="auto" w:sz="4" w:space="0"/>
                    <w:left w:val="nil"/>
                    <w:bottom w:val="single" w:color="auto" w:sz="4" w:space="0"/>
                    <w:right w:val="single" w:color="auto" w:sz="4" w:space="0"/>
                  </w:tcBorders>
                  <w:vAlign w:val="center"/>
                </w:tcPr>
                <w:p w14:paraId="377B3069">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项目为废弃矿坑生态修复项目，选址不涉及饮用水水源保护区。</w:t>
                  </w:r>
                </w:p>
              </w:tc>
              <w:tc>
                <w:tcPr>
                  <w:tcW w:w="570" w:type="pct"/>
                  <w:tcBorders>
                    <w:top w:val="nil"/>
                    <w:left w:val="nil"/>
                    <w:bottom w:val="single" w:color="auto" w:sz="4" w:space="0"/>
                    <w:right w:val="single" w:color="auto" w:sz="4" w:space="0"/>
                  </w:tcBorders>
                  <w:vAlign w:val="center"/>
                </w:tcPr>
                <w:p w14:paraId="0C9960B9">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20CF51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1AD492DF">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4.禁止在水产种质资源保护区的岸线和河段范围内新建围湖造田、围海造地或围填海等投资建设项目。禁止在国家湿地公园的岸线和河段范围内挖沙、采矿，以及任何不符合主体功能定位的投资建设项目。</w:t>
                  </w:r>
                </w:p>
              </w:tc>
              <w:tc>
                <w:tcPr>
                  <w:tcW w:w="1358" w:type="pct"/>
                  <w:tcBorders>
                    <w:top w:val="single" w:color="auto" w:sz="4" w:space="0"/>
                    <w:left w:val="nil"/>
                    <w:bottom w:val="single" w:color="auto" w:sz="4" w:space="0"/>
                    <w:right w:val="single" w:color="auto" w:sz="4" w:space="0"/>
                  </w:tcBorders>
                  <w:vAlign w:val="center"/>
                </w:tcPr>
                <w:p w14:paraId="069FDC3D">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项目为废弃矿坑生态修复项目，选址不涉及水产种质资源保护区、国家湿地公园。</w:t>
                  </w:r>
                </w:p>
              </w:tc>
              <w:tc>
                <w:tcPr>
                  <w:tcW w:w="570" w:type="pct"/>
                  <w:tcBorders>
                    <w:top w:val="single" w:color="auto" w:sz="4" w:space="0"/>
                    <w:left w:val="nil"/>
                    <w:bottom w:val="single" w:color="auto" w:sz="4" w:space="0"/>
                    <w:right w:val="single" w:color="auto" w:sz="4" w:space="0"/>
                  </w:tcBorders>
                  <w:vAlign w:val="center"/>
                </w:tcPr>
                <w:p w14:paraId="7B11C94D">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739D0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0AC2CDD2">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禁止违法利用、占用长江流域河湖岸线。禁止在《长江岸线保护和开发利用总体规划》划定的岸线保护区和保留区内投资建设除事关公共安全及公众利益的防洪护岸、河道治理、供水、生态环境保护、航道整治、国家重要基础设施以外的项目。禁止在《全国</w:t>
                  </w:r>
                  <w:r>
                    <w:rPr>
                      <w:color w:val="000000" w:themeColor="text1"/>
                      <w:sz w:val="21"/>
                      <w:szCs w:val="21"/>
                      <w:highlight w:val="none"/>
                      <w14:textFill>
                        <w14:solidFill>
                          <w14:schemeClr w14:val="tx1"/>
                        </w14:solidFill>
                      </w14:textFill>
                    </w:rPr>
                    <w:t>重要江河湖泊水功能区划》划定的河段及湖泊保护区、保留区内投资建设不利于水资源及自然生态保护的项目。</w:t>
                  </w:r>
                </w:p>
              </w:tc>
              <w:tc>
                <w:tcPr>
                  <w:tcW w:w="1358" w:type="pct"/>
                  <w:tcBorders>
                    <w:top w:val="single" w:color="auto" w:sz="4" w:space="0"/>
                    <w:left w:val="nil"/>
                    <w:bottom w:val="single" w:color="auto" w:sz="4" w:space="0"/>
                    <w:right w:val="single" w:color="auto" w:sz="4" w:space="0"/>
                  </w:tcBorders>
                  <w:vAlign w:val="center"/>
                </w:tcPr>
                <w:p w14:paraId="6C162866">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项目为废弃矿坑生态修复项目，项目实施有利于区域生态环境质量改善；项目不占用长江流域河湖岸线。</w:t>
                  </w:r>
                </w:p>
              </w:tc>
              <w:tc>
                <w:tcPr>
                  <w:tcW w:w="570" w:type="pct"/>
                  <w:tcBorders>
                    <w:top w:val="single" w:color="auto" w:sz="4" w:space="0"/>
                    <w:left w:val="nil"/>
                    <w:bottom w:val="single" w:color="auto" w:sz="4" w:space="0"/>
                    <w:right w:val="single" w:color="auto" w:sz="4" w:space="0"/>
                  </w:tcBorders>
                  <w:vAlign w:val="center"/>
                </w:tcPr>
                <w:p w14:paraId="1F25A7BE">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3D1CF1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1" w:type="pct"/>
                  <w:tcBorders>
                    <w:top w:val="single" w:color="auto" w:sz="4" w:space="0"/>
                    <w:left w:val="single" w:color="auto" w:sz="4" w:space="0"/>
                    <w:bottom w:val="single" w:color="auto" w:sz="4" w:space="0"/>
                    <w:right w:val="single" w:color="auto" w:sz="4" w:space="0"/>
                  </w:tcBorders>
                  <w:vAlign w:val="center"/>
                </w:tcPr>
                <w:p w14:paraId="7F18436A">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6.禁止未经许可在长江干支流及湖泊新设、改设或扩大排污</w:t>
                  </w:r>
                  <w:r>
                    <w:rPr>
                      <w:rFonts w:hint="eastAsia"/>
                      <w:color w:val="000000" w:themeColor="text1"/>
                      <w:sz w:val="21"/>
                      <w:szCs w:val="21"/>
                      <w:highlight w:val="none"/>
                      <w14:textFill>
                        <w14:solidFill>
                          <w14:schemeClr w14:val="tx1"/>
                        </w14:solidFill>
                      </w14:textFill>
                    </w:rPr>
                    <w:t>。</w:t>
                  </w:r>
                </w:p>
              </w:tc>
              <w:tc>
                <w:tcPr>
                  <w:tcW w:w="1358" w:type="pct"/>
                  <w:tcBorders>
                    <w:top w:val="single" w:color="auto" w:sz="4" w:space="0"/>
                    <w:left w:val="nil"/>
                    <w:bottom w:val="single" w:color="auto" w:sz="4" w:space="0"/>
                    <w:right w:val="single" w:color="auto" w:sz="4" w:space="0"/>
                  </w:tcBorders>
                  <w:vAlign w:val="center"/>
                </w:tcPr>
                <w:p w14:paraId="30AABE45">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项目为废弃矿坑生态修复项目，不在金沙江干流、长江一级支流位置，项目修复工程完成后无废水、废气等污染物产生；项目施工期产生的渗滤液经收集后回用，不设置废水排放口。</w:t>
                  </w:r>
                </w:p>
              </w:tc>
              <w:tc>
                <w:tcPr>
                  <w:tcW w:w="570" w:type="pct"/>
                  <w:tcBorders>
                    <w:top w:val="single" w:color="auto" w:sz="4" w:space="0"/>
                    <w:left w:val="nil"/>
                    <w:bottom w:val="single" w:color="auto" w:sz="4" w:space="0"/>
                    <w:right w:val="single" w:color="auto" w:sz="4" w:space="0"/>
                  </w:tcBorders>
                  <w:vAlign w:val="center"/>
                </w:tcPr>
                <w:p w14:paraId="4EE0931E">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7EE4A9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1" w:type="pct"/>
                  <w:tcBorders>
                    <w:top w:val="single" w:color="auto" w:sz="4" w:space="0"/>
                    <w:left w:val="single" w:color="auto" w:sz="4" w:space="0"/>
                    <w:bottom w:val="single" w:color="auto" w:sz="4" w:space="0"/>
                    <w:right w:val="single" w:color="auto" w:sz="4" w:space="0"/>
                  </w:tcBorders>
                  <w:vAlign w:val="center"/>
                </w:tcPr>
                <w:p w14:paraId="65683B7B">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7.禁止在“一江一口两湖七河”和332个水生生物保护区开展生产性捕捞。</w:t>
                  </w:r>
                </w:p>
              </w:tc>
              <w:tc>
                <w:tcPr>
                  <w:tcW w:w="1358" w:type="pct"/>
                  <w:tcBorders>
                    <w:top w:val="single" w:color="auto" w:sz="4" w:space="0"/>
                    <w:left w:val="nil"/>
                    <w:bottom w:val="single" w:color="auto" w:sz="4" w:space="0"/>
                    <w:right w:val="single" w:color="auto" w:sz="4" w:space="0"/>
                  </w:tcBorders>
                  <w:vAlign w:val="center"/>
                </w:tcPr>
                <w:p w14:paraId="67158C3C">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项目为废弃矿坑生态修复项目，不涉及水域工作，不开展生产性捕捞。</w:t>
                  </w:r>
                </w:p>
              </w:tc>
              <w:tc>
                <w:tcPr>
                  <w:tcW w:w="570" w:type="pct"/>
                  <w:tcBorders>
                    <w:top w:val="single" w:color="auto" w:sz="4" w:space="0"/>
                    <w:left w:val="nil"/>
                    <w:bottom w:val="single" w:color="auto" w:sz="4" w:space="0"/>
                    <w:right w:val="single" w:color="auto" w:sz="4" w:space="0"/>
                  </w:tcBorders>
                  <w:vAlign w:val="center"/>
                </w:tcPr>
                <w:p w14:paraId="62B95B6C">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009C3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6B33945E">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8.禁止在长江干支流、重要湖泊岸线一公里范围内新建、扩建化工园区和化工项目。禁止在长江干流岸线三公里范围内和重要支流岸线一公里范围内新建、改建、扩建尾矿库、冶炼渣库和</w:t>
                  </w:r>
                  <w:r>
                    <w:rPr>
                      <w:rFonts w:hint="eastAsia"/>
                      <w:color w:val="000000" w:themeColor="text1"/>
                      <w:sz w:val="21"/>
                      <w:szCs w:val="21"/>
                      <w:highlight w:val="none"/>
                      <w14:textFill>
                        <w14:solidFill>
                          <w14:schemeClr w14:val="tx1"/>
                        </w14:solidFill>
                      </w14:textFill>
                    </w:rPr>
                    <w:t>磷石膏</w:t>
                  </w:r>
                  <w:r>
                    <w:rPr>
                      <w:color w:val="000000" w:themeColor="text1"/>
                      <w:sz w:val="21"/>
                      <w:szCs w:val="21"/>
                      <w:highlight w:val="none"/>
                      <w14:textFill>
                        <w14:solidFill>
                          <w14:schemeClr w14:val="tx1"/>
                        </w14:solidFill>
                      </w14:textFill>
                    </w:rPr>
                    <w:t>库，以提升安全、生态环境保护水平为目的的改建除外。</w:t>
                  </w:r>
                </w:p>
              </w:tc>
              <w:tc>
                <w:tcPr>
                  <w:tcW w:w="1358" w:type="pct"/>
                  <w:tcBorders>
                    <w:top w:val="single" w:color="auto" w:sz="4" w:space="0"/>
                    <w:left w:val="nil"/>
                    <w:bottom w:val="single" w:color="auto" w:sz="4" w:space="0"/>
                    <w:right w:val="single" w:color="auto" w:sz="4" w:space="0"/>
                  </w:tcBorders>
                  <w:vAlign w:val="center"/>
                </w:tcPr>
                <w:p w14:paraId="734AF26B">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项目属于废弃矿坑生态修复项目，不属于化工项目及尾矿库、冶炼渣库和磷石膏库项目。</w:t>
                  </w:r>
                </w:p>
              </w:tc>
              <w:tc>
                <w:tcPr>
                  <w:tcW w:w="570" w:type="pct"/>
                  <w:tcBorders>
                    <w:top w:val="single" w:color="auto" w:sz="4" w:space="0"/>
                    <w:left w:val="nil"/>
                    <w:bottom w:val="single" w:color="auto" w:sz="4" w:space="0"/>
                    <w:right w:val="single" w:color="auto" w:sz="4" w:space="0"/>
                  </w:tcBorders>
                  <w:vAlign w:val="center"/>
                </w:tcPr>
                <w:p w14:paraId="0DAA96DB">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59E24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51D98E36">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9.禁止在合规园区外新建、扩建钢铁、石化、化工、焦化、建材、有色、制浆造纸等高污染项目。</w:t>
                  </w:r>
                </w:p>
              </w:tc>
              <w:tc>
                <w:tcPr>
                  <w:tcW w:w="1358" w:type="pct"/>
                  <w:tcBorders>
                    <w:top w:val="single" w:color="auto" w:sz="4" w:space="0"/>
                    <w:left w:val="nil"/>
                    <w:bottom w:val="single" w:color="auto" w:sz="4" w:space="0"/>
                    <w:right w:val="single" w:color="auto" w:sz="4" w:space="0"/>
                  </w:tcBorders>
                  <w:vAlign w:val="center"/>
                </w:tcPr>
                <w:p w14:paraId="31399708">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项目属于废弃矿坑生态修复项目，不属于禁止建设的高污染项目。</w:t>
                  </w:r>
                </w:p>
              </w:tc>
              <w:tc>
                <w:tcPr>
                  <w:tcW w:w="570" w:type="pct"/>
                  <w:tcBorders>
                    <w:top w:val="single" w:color="auto" w:sz="4" w:space="0"/>
                    <w:left w:val="nil"/>
                    <w:bottom w:val="single" w:color="auto" w:sz="4" w:space="0"/>
                    <w:right w:val="single" w:color="auto" w:sz="4" w:space="0"/>
                  </w:tcBorders>
                  <w:vAlign w:val="center"/>
                </w:tcPr>
                <w:p w14:paraId="3F0CAD5E">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3B9149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3989E200">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10.禁止新建、扩建不符合国家石化、现代煤化工等产业布局规划的项目</w:t>
                  </w:r>
                  <w:r>
                    <w:rPr>
                      <w:rFonts w:hint="eastAsia"/>
                      <w:color w:val="000000" w:themeColor="text1"/>
                      <w:sz w:val="21"/>
                      <w:szCs w:val="21"/>
                      <w:highlight w:val="none"/>
                      <w14:textFill>
                        <w14:solidFill>
                          <w14:schemeClr w14:val="tx1"/>
                        </w14:solidFill>
                      </w14:textFill>
                    </w:rPr>
                    <w:t>。</w:t>
                  </w:r>
                </w:p>
              </w:tc>
              <w:tc>
                <w:tcPr>
                  <w:tcW w:w="1358" w:type="pct"/>
                  <w:tcBorders>
                    <w:top w:val="single" w:color="auto" w:sz="4" w:space="0"/>
                    <w:left w:val="nil"/>
                    <w:bottom w:val="single" w:color="auto" w:sz="4" w:space="0"/>
                    <w:right w:val="single" w:color="auto" w:sz="4" w:space="0"/>
                  </w:tcBorders>
                  <w:vAlign w:val="center"/>
                </w:tcPr>
                <w:p w14:paraId="6389A8D1">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项目属于废弃矿坑生态修复项目，不属于石化、现代煤化工项目。不属于危险化学品生产项目。</w:t>
                  </w:r>
                </w:p>
              </w:tc>
              <w:tc>
                <w:tcPr>
                  <w:tcW w:w="570" w:type="pct"/>
                  <w:tcBorders>
                    <w:top w:val="single" w:color="auto" w:sz="4" w:space="0"/>
                    <w:left w:val="nil"/>
                    <w:bottom w:val="single" w:color="auto" w:sz="4" w:space="0"/>
                    <w:right w:val="single" w:color="auto" w:sz="4" w:space="0"/>
                  </w:tcBorders>
                  <w:vAlign w:val="center"/>
                </w:tcPr>
                <w:p w14:paraId="57245ECA">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92027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40DBBFAF">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11.禁止新建、扩建法律法规和相关政策明令禁止的落后产能项目。禁止新建、扩建不符合国家产能置换要求的严重过剩产能行业的项目。禁止新建、扩建不符合要求的高耗能高排放项目。</w:t>
                  </w:r>
                </w:p>
              </w:tc>
              <w:tc>
                <w:tcPr>
                  <w:tcW w:w="1358" w:type="pct"/>
                  <w:tcBorders>
                    <w:top w:val="single" w:color="auto" w:sz="4" w:space="0"/>
                    <w:left w:val="nil"/>
                    <w:bottom w:val="single" w:color="auto" w:sz="4" w:space="0"/>
                    <w:right w:val="single" w:color="auto" w:sz="4" w:space="0"/>
                  </w:tcBorders>
                  <w:vAlign w:val="center"/>
                </w:tcPr>
                <w:p w14:paraId="4AFA385C">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项目属于废弃矿坑生态修复项目，不属于条款规定的禁止项目类别。</w:t>
                  </w:r>
                </w:p>
              </w:tc>
              <w:tc>
                <w:tcPr>
                  <w:tcW w:w="570" w:type="pct"/>
                  <w:tcBorders>
                    <w:top w:val="single" w:color="auto" w:sz="4" w:space="0"/>
                    <w:left w:val="nil"/>
                    <w:bottom w:val="single" w:color="auto" w:sz="4" w:space="0"/>
                    <w:right w:val="single" w:color="auto" w:sz="4" w:space="0"/>
                  </w:tcBorders>
                  <w:vAlign w:val="center"/>
                </w:tcPr>
                <w:p w14:paraId="4A372114">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bl>
          <w:p w14:paraId="374132CC">
            <w:pPr>
              <w:widowControl/>
              <w:adjustRightInd w:val="0"/>
              <w:snapToGrid w:val="0"/>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综上，项目建设符合</w:t>
            </w:r>
            <w:r>
              <w:rPr>
                <w:rFonts w:hint="eastAsia"/>
                <w:color w:val="000000" w:themeColor="text1"/>
                <w:highlight w:val="none"/>
                <w14:textFill>
                  <w14:solidFill>
                    <w14:schemeClr w14:val="tx1"/>
                  </w14:solidFill>
                </w14:textFill>
              </w:rPr>
              <w:t>《长江经济带发展负面清单指南》相关要求。</w:t>
            </w:r>
          </w:p>
          <w:p w14:paraId="4F2D82A9">
            <w:pPr>
              <w:adjustRightInd w:val="0"/>
              <w:snapToGrid w:val="0"/>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6、项目与《云南省长江经济带发展负面清单指南实施细则》（试行，2022年版）符合性分析</w:t>
            </w:r>
          </w:p>
          <w:p w14:paraId="2C070954">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项目为废弃矿坑生态修复项目，位于长江流域，项目与《云南省长江经济带发展负面清单指南实施细则》（试行，</w:t>
            </w:r>
            <w:r>
              <w:rPr>
                <w:color w:val="000000" w:themeColor="text1"/>
                <w:kern w:val="0"/>
                <w:highlight w:val="none"/>
                <w:lang w:bidi="ar"/>
                <w14:textFill>
                  <w14:solidFill>
                    <w14:schemeClr w14:val="tx1"/>
                  </w14:solidFill>
                </w14:textFill>
              </w:rPr>
              <w:t>2022</w:t>
            </w:r>
            <w:r>
              <w:rPr>
                <w:rFonts w:hint="eastAsia"/>
                <w:color w:val="000000" w:themeColor="text1"/>
                <w:kern w:val="0"/>
                <w:highlight w:val="none"/>
                <w:lang w:bidi="ar"/>
                <w14:textFill>
                  <w14:solidFill>
                    <w14:schemeClr w14:val="tx1"/>
                  </w14:solidFill>
                </w14:textFill>
              </w:rPr>
              <w:t>年版）（云发改基础〔</w:t>
            </w:r>
            <w:r>
              <w:rPr>
                <w:color w:val="000000" w:themeColor="text1"/>
                <w:kern w:val="0"/>
                <w:highlight w:val="none"/>
                <w:lang w:bidi="ar"/>
                <w14:textFill>
                  <w14:solidFill>
                    <w14:schemeClr w14:val="tx1"/>
                  </w14:solidFill>
                </w14:textFill>
              </w:rPr>
              <w:t>2022</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894</w:t>
            </w:r>
            <w:r>
              <w:rPr>
                <w:rFonts w:hint="eastAsia"/>
                <w:color w:val="000000" w:themeColor="text1"/>
                <w:kern w:val="0"/>
                <w:highlight w:val="none"/>
                <w:lang w:bidi="ar"/>
                <w14:textFill>
                  <w14:solidFill>
                    <w14:schemeClr w14:val="tx1"/>
                  </w14:solidFill>
                </w14:textFill>
              </w:rPr>
              <w:t>号）的符合性如下。</w:t>
            </w:r>
          </w:p>
          <w:p w14:paraId="26850C51">
            <w:pPr>
              <w:widowControl/>
              <w:adjustRightInd w:val="0"/>
              <w:snapToGrid w:val="0"/>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表1-5  项目与《</w:t>
            </w:r>
            <w:r>
              <w:rPr>
                <w:rFonts w:hint="eastAsia"/>
                <w:b/>
                <w:bCs/>
                <w:color w:val="000000" w:themeColor="text1"/>
                <w:kern w:val="0"/>
                <w:sz w:val="21"/>
                <w:szCs w:val="21"/>
                <w:highlight w:val="none"/>
                <w14:textFill>
                  <w14:solidFill>
                    <w14:schemeClr w14:val="tx1"/>
                  </w14:solidFill>
                </w14:textFill>
              </w:rPr>
              <w:t>云南省长江经济带发展负面清单指南实施细则》</w:t>
            </w:r>
            <w:r>
              <w:rPr>
                <w:rFonts w:hint="eastAsia"/>
                <w:b/>
                <w:bCs/>
                <w:color w:val="000000" w:themeColor="text1"/>
                <w:kern w:val="0"/>
                <w:sz w:val="21"/>
                <w:szCs w:val="21"/>
                <w:highlight w:val="none"/>
                <w:lang w:bidi="ar"/>
                <w14:textFill>
                  <w14:solidFill>
                    <w14:schemeClr w14:val="tx1"/>
                  </w14:solidFill>
                </w14:textFill>
              </w:rPr>
              <w:t>（试行，2022年版）符合性分析</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941"/>
              <w:gridCol w:w="2185"/>
              <w:gridCol w:w="917"/>
            </w:tblGrid>
            <w:tr w14:paraId="6D2D25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43F7892C">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文件要求</w:t>
                  </w:r>
                </w:p>
              </w:tc>
              <w:tc>
                <w:tcPr>
                  <w:tcW w:w="1358" w:type="pct"/>
                  <w:tcBorders>
                    <w:top w:val="single" w:color="auto" w:sz="4" w:space="0"/>
                    <w:left w:val="nil"/>
                    <w:bottom w:val="single" w:color="auto" w:sz="4" w:space="0"/>
                    <w:right w:val="single" w:color="auto" w:sz="4" w:space="0"/>
                  </w:tcBorders>
                  <w:vAlign w:val="center"/>
                </w:tcPr>
                <w:p w14:paraId="1246A042">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本项目情况</w:t>
                  </w:r>
                </w:p>
              </w:tc>
              <w:tc>
                <w:tcPr>
                  <w:tcW w:w="570" w:type="pct"/>
                  <w:tcBorders>
                    <w:top w:val="single" w:color="auto" w:sz="4" w:space="0"/>
                    <w:left w:val="nil"/>
                    <w:bottom w:val="single" w:color="auto" w:sz="4" w:space="0"/>
                    <w:right w:val="single" w:color="auto" w:sz="4" w:space="0"/>
                  </w:tcBorders>
                  <w:vAlign w:val="center"/>
                </w:tcPr>
                <w:p w14:paraId="2741C87D">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符合性</w:t>
                  </w:r>
                </w:p>
              </w:tc>
            </w:tr>
            <w:tr w14:paraId="570D9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68A28F1E">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禁止新建、改建和扩建不符合《全国内河航道与港口布局规划》等全国港口规划和《昭通市港口码头岸线规划（金沙江段2019年—2035年）》、《景洪港总体规划（2019—2035年）》等州（市）级以上港口布局规划以及港口总体规划的码头项目。</w:t>
                  </w:r>
                </w:p>
              </w:tc>
              <w:tc>
                <w:tcPr>
                  <w:tcW w:w="1358" w:type="pct"/>
                  <w:tcBorders>
                    <w:top w:val="single" w:color="auto" w:sz="4" w:space="0"/>
                    <w:left w:val="nil"/>
                    <w:bottom w:val="single" w:color="auto" w:sz="4" w:space="0"/>
                    <w:right w:val="single" w:color="auto" w:sz="4" w:space="0"/>
                  </w:tcBorders>
                  <w:vAlign w:val="center"/>
                </w:tcPr>
                <w:p w14:paraId="38831822">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项目为废弃矿坑生态修复项目，不属于码头项目。</w:t>
                  </w:r>
                </w:p>
              </w:tc>
              <w:tc>
                <w:tcPr>
                  <w:tcW w:w="570" w:type="pct"/>
                  <w:tcBorders>
                    <w:top w:val="single" w:color="auto" w:sz="4" w:space="0"/>
                    <w:left w:val="nil"/>
                    <w:bottom w:val="single" w:color="auto" w:sz="4" w:space="0"/>
                    <w:right w:val="single" w:color="auto" w:sz="4" w:space="0"/>
                  </w:tcBorders>
                  <w:vAlign w:val="center"/>
                </w:tcPr>
                <w:p w14:paraId="7773B87F">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79ECE4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44C867B7">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2、禁止在自然保护区核心区、缓冲区的岸线和河段范围内投资建设旅游和生产经营项目。禁止建设与自然保护区保护方向不一致的旅游项目。禁止在自然保护区内进行开矿、采石.挖沙等活动。禁止在自然保护区的核心区和缓冲区内建设任何生产设施，禁止在自然保护区的实验区内建设污染环境、破坏资源或者景观的生产设施。</w:t>
                  </w:r>
                </w:p>
              </w:tc>
              <w:tc>
                <w:tcPr>
                  <w:tcW w:w="1358" w:type="pct"/>
                  <w:tcBorders>
                    <w:top w:val="single" w:color="auto" w:sz="4" w:space="0"/>
                    <w:left w:val="nil"/>
                    <w:bottom w:val="single" w:color="auto" w:sz="4" w:space="0"/>
                    <w:right w:val="single" w:color="auto" w:sz="4" w:space="0"/>
                  </w:tcBorders>
                  <w:vAlign w:val="center"/>
                </w:tcPr>
                <w:p w14:paraId="0EE9906E">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项目为废弃矿坑生态修复项目，经查询项目不涉及自然保护区及相关保护区。</w:t>
                  </w:r>
                </w:p>
              </w:tc>
              <w:tc>
                <w:tcPr>
                  <w:tcW w:w="570" w:type="pct"/>
                  <w:tcBorders>
                    <w:top w:val="single" w:color="auto" w:sz="4" w:space="0"/>
                    <w:left w:val="nil"/>
                    <w:bottom w:val="single" w:color="auto" w:sz="4" w:space="0"/>
                    <w:right w:val="single" w:color="auto" w:sz="4" w:space="0"/>
                  </w:tcBorders>
                  <w:vAlign w:val="center"/>
                </w:tcPr>
                <w:p w14:paraId="4CF3629F">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79F950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1" w:type="pct"/>
                  <w:tcBorders>
                    <w:top w:val="single" w:color="auto" w:sz="4" w:space="0"/>
                    <w:left w:val="single" w:color="auto" w:sz="4" w:space="0"/>
                    <w:bottom w:val="single" w:color="auto" w:sz="4" w:space="0"/>
                    <w:right w:val="single" w:color="auto" w:sz="4" w:space="0"/>
                  </w:tcBorders>
                  <w:vAlign w:val="center"/>
                </w:tcPr>
                <w:p w14:paraId="70A56033">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3、禁止在风景名胜区核心景区的岸线和河段范围内投资建设与风景名胜区资源保护无关的项目。禁止在风景名胜区内进行开山、采石、开矿、开荒、修坟立碑等破坏景观、植被和地形地貌的活动以及修建储存爆炸性、易燃性、放射性、毒害性、腐蚀性物品的设施；禁止在风景名胜区内设立开发区和在核心景区内建设宾馆、会所、培训中心、疗养院以及与风景名胜资源保护无关的投资建设项目</w:t>
                  </w:r>
                </w:p>
              </w:tc>
              <w:tc>
                <w:tcPr>
                  <w:tcW w:w="1358" w:type="pct"/>
                  <w:tcBorders>
                    <w:top w:val="single" w:color="auto" w:sz="4" w:space="0"/>
                    <w:left w:val="nil"/>
                    <w:bottom w:val="single" w:color="auto" w:sz="4" w:space="0"/>
                    <w:right w:val="single" w:color="auto" w:sz="4" w:space="0"/>
                  </w:tcBorders>
                  <w:vAlign w:val="center"/>
                </w:tcPr>
                <w:p w14:paraId="7E9648EF">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项目为废弃矿坑生态修复项目，经查询项目不涉及风景名胜区。</w:t>
                  </w:r>
                </w:p>
              </w:tc>
              <w:tc>
                <w:tcPr>
                  <w:tcW w:w="570" w:type="pct"/>
                  <w:tcBorders>
                    <w:top w:val="nil"/>
                    <w:left w:val="nil"/>
                    <w:bottom w:val="single" w:color="auto" w:sz="4" w:space="0"/>
                    <w:right w:val="single" w:color="auto" w:sz="4" w:space="0"/>
                  </w:tcBorders>
                  <w:vAlign w:val="center"/>
                </w:tcPr>
                <w:p w14:paraId="47437EC2">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F3D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6B65D59F">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4、禁止在饮用水水源一级保护区的岸线和河段范围内新建、改建、扩建与供水设施和保护水源无关的投资建设项目以及网箱养殖、畜禽养殖、旅游等可能污染饮用水水体的投资建设项目。禁止在饮用水水源二级保护区的岸线和河段范围内新建、改建、扩建排放污染物的投资建设项目。</w:t>
                  </w:r>
                </w:p>
              </w:tc>
              <w:tc>
                <w:tcPr>
                  <w:tcW w:w="1358" w:type="pct"/>
                  <w:tcBorders>
                    <w:top w:val="single" w:color="auto" w:sz="4" w:space="0"/>
                    <w:left w:val="nil"/>
                    <w:bottom w:val="single" w:color="auto" w:sz="4" w:space="0"/>
                    <w:right w:val="single" w:color="auto" w:sz="4" w:space="0"/>
                  </w:tcBorders>
                  <w:vAlign w:val="center"/>
                </w:tcPr>
                <w:p w14:paraId="2C26FD9B">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项目为废弃矿坑生态修复项目，经查询项目不涉及饮用水水源保护区。</w:t>
                  </w:r>
                </w:p>
              </w:tc>
              <w:tc>
                <w:tcPr>
                  <w:tcW w:w="570" w:type="pct"/>
                  <w:tcBorders>
                    <w:top w:val="single" w:color="auto" w:sz="4" w:space="0"/>
                    <w:left w:val="nil"/>
                    <w:bottom w:val="single" w:color="auto" w:sz="4" w:space="0"/>
                    <w:right w:val="single" w:color="auto" w:sz="4" w:space="0"/>
                  </w:tcBorders>
                  <w:vAlign w:val="center"/>
                </w:tcPr>
                <w:p w14:paraId="63AFD65B">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429F6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6D00909E">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5、禁止在水产种质资源保护区的岸线和河段范围内新建围湖造田、围湖造地或围填海等投资建设项目。禁止擅自征收、占用国家湿地公园的土地；禁止在国家湿地公园内挖沙、采矿，以及建设度假村、高尔夫球场等任何不符合主体功能定位的投资建设项目。</w:t>
                  </w:r>
                </w:p>
              </w:tc>
              <w:tc>
                <w:tcPr>
                  <w:tcW w:w="1358" w:type="pct"/>
                  <w:tcBorders>
                    <w:top w:val="single" w:color="auto" w:sz="4" w:space="0"/>
                    <w:left w:val="nil"/>
                    <w:bottom w:val="single" w:color="auto" w:sz="4" w:space="0"/>
                    <w:right w:val="single" w:color="auto" w:sz="4" w:space="0"/>
                  </w:tcBorders>
                  <w:vAlign w:val="center"/>
                </w:tcPr>
                <w:p w14:paraId="0C7BBEA4">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项目为废弃矿坑生态修复项目，选址不涉及水产种质资源保护区、国家湿地公园。</w:t>
                  </w:r>
                </w:p>
              </w:tc>
              <w:tc>
                <w:tcPr>
                  <w:tcW w:w="570" w:type="pct"/>
                  <w:tcBorders>
                    <w:top w:val="single" w:color="auto" w:sz="4" w:space="0"/>
                    <w:left w:val="nil"/>
                    <w:bottom w:val="single" w:color="auto" w:sz="4" w:space="0"/>
                    <w:right w:val="single" w:color="auto" w:sz="4" w:space="0"/>
                  </w:tcBorders>
                  <w:vAlign w:val="center"/>
                </w:tcPr>
                <w:p w14:paraId="4610B64E">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29A364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1" w:type="pct"/>
                  <w:tcBorders>
                    <w:top w:val="single" w:color="auto" w:sz="4" w:space="0"/>
                    <w:left w:val="single" w:color="auto" w:sz="4" w:space="0"/>
                    <w:bottom w:val="single" w:color="auto" w:sz="4" w:space="0"/>
                    <w:right w:val="single" w:color="auto" w:sz="4" w:space="0"/>
                  </w:tcBorders>
                  <w:vAlign w:val="center"/>
                </w:tcPr>
                <w:p w14:paraId="3D9D6D64">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6、禁止违法利用、占用长江流域河湖岸线。禁止在金沙江岸线保护区和保留区内投资建设除事关公共安全及公众利益的防洪护岸、河道治理、供水、生态环境保护、航道整治、国家重要基础设施以外的项目。禁止在金沙江干流、九大高原湖泊保护区、保留区内投资建设不利于水资源及自然生态保护的项目。</w:t>
                  </w:r>
                </w:p>
              </w:tc>
              <w:tc>
                <w:tcPr>
                  <w:tcW w:w="1358" w:type="pct"/>
                  <w:tcBorders>
                    <w:top w:val="single" w:color="auto" w:sz="4" w:space="0"/>
                    <w:left w:val="nil"/>
                    <w:bottom w:val="single" w:color="auto" w:sz="4" w:space="0"/>
                    <w:right w:val="single" w:color="auto" w:sz="4" w:space="0"/>
                  </w:tcBorders>
                  <w:vAlign w:val="center"/>
                </w:tcPr>
                <w:p w14:paraId="1DF2BC99">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项目为废弃矿坑生态修复项目，项目实施有利于区域生态环境质量改善；项目不占用长江流域河湖岸线。</w:t>
                  </w:r>
                </w:p>
              </w:tc>
              <w:tc>
                <w:tcPr>
                  <w:tcW w:w="570" w:type="pct"/>
                  <w:tcBorders>
                    <w:top w:val="single" w:color="auto" w:sz="4" w:space="0"/>
                    <w:left w:val="nil"/>
                    <w:bottom w:val="single" w:color="auto" w:sz="4" w:space="0"/>
                    <w:right w:val="single" w:color="auto" w:sz="4" w:space="0"/>
                  </w:tcBorders>
                  <w:vAlign w:val="center"/>
                </w:tcPr>
                <w:p w14:paraId="631B0588">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05845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071" w:type="pct"/>
                  <w:tcBorders>
                    <w:top w:val="single" w:color="auto" w:sz="4" w:space="0"/>
                    <w:left w:val="single" w:color="auto" w:sz="4" w:space="0"/>
                    <w:bottom w:val="single" w:color="auto" w:sz="4" w:space="0"/>
                    <w:right w:val="single" w:color="auto" w:sz="4" w:space="0"/>
                  </w:tcBorders>
                  <w:vAlign w:val="center"/>
                </w:tcPr>
                <w:p w14:paraId="0407FC8B">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7、禁止在金沙江干流、长江一级支流建设除党中央、国务院</w:t>
                  </w:r>
                  <w:bookmarkStart w:id="84" w:name="_GoBack"/>
                  <w:bookmarkEnd w:id="84"/>
                  <w:r>
                    <w:rPr>
                      <w:rFonts w:hint="eastAsia"/>
                      <w:color w:val="000000" w:themeColor="text1"/>
                      <w:sz w:val="21"/>
                      <w:szCs w:val="21"/>
                      <w:highlight w:val="none"/>
                      <w14:textFill>
                        <w14:solidFill>
                          <w14:schemeClr w14:val="tx1"/>
                        </w14:solidFill>
                      </w14:textFill>
                    </w:rPr>
                    <w:t>、国家投资主管部门、省级有关部门批复同意以外的过江基础设施项目；禁止未经许可在金沙江干流、长江一级支流、九大高原湖泊流域新设、改设或扩大排污口。</w:t>
                  </w:r>
                </w:p>
              </w:tc>
              <w:tc>
                <w:tcPr>
                  <w:tcW w:w="1358" w:type="pct"/>
                  <w:tcBorders>
                    <w:top w:val="single" w:color="auto" w:sz="4" w:space="0"/>
                    <w:left w:val="nil"/>
                    <w:bottom w:val="single" w:color="auto" w:sz="4" w:space="0"/>
                    <w:right w:val="single" w:color="auto" w:sz="4" w:space="0"/>
                  </w:tcBorders>
                  <w:vAlign w:val="center"/>
                </w:tcPr>
                <w:p w14:paraId="07A61ADE">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项目为废弃矿坑生态修复项目，不在金沙江干流、长江一级支流位置，项目修复工程完成后无废水、废气等污染物产生；项目施工期产生的渗滤液经收集后回用，不设置废水排放口。</w:t>
                  </w:r>
                </w:p>
              </w:tc>
              <w:tc>
                <w:tcPr>
                  <w:tcW w:w="570" w:type="pct"/>
                  <w:tcBorders>
                    <w:top w:val="single" w:color="auto" w:sz="4" w:space="0"/>
                    <w:left w:val="nil"/>
                    <w:bottom w:val="single" w:color="auto" w:sz="4" w:space="0"/>
                    <w:right w:val="single" w:color="auto" w:sz="4" w:space="0"/>
                  </w:tcBorders>
                  <w:vAlign w:val="center"/>
                </w:tcPr>
                <w:p w14:paraId="3DDC0235">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60776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50C17B6A">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8、禁止在金沙江干流、长江一级支流、水生生物保护区和长江流域禁捕水域开展天然渔业资源生产性捕捞。</w:t>
                  </w:r>
                </w:p>
              </w:tc>
              <w:tc>
                <w:tcPr>
                  <w:tcW w:w="1358" w:type="pct"/>
                  <w:tcBorders>
                    <w:top w:val="single" w:color="auto" w:sz="4" w:space="0"/>
                    <w:left w:val="nil"/>
                    <w:bottom w:val="single" w:color="auto" w:sz="4" w:space="0"/>
                    <w:right w:val="single" w:color="auto" w:sz="4" w:space="0"/>
                  </w:tcBorders>
                  <w:vAlign w:val="center"/>
                </w:tcPr>
                <w:p w14:paraId="59BDE61F">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项目为废弃矿坑生态修复项目，不涉及水域工作，不开展生产性捕捞。</w:t>
                  </w:r>
                </w:p>
              </w:tc>
              <w:tc>
                <w:tcPr>
                  <w:tcW w:w="570" w:type="pct"/>
                  <w:tcBorders>
                    <w:top w:val="single" w:color="auto" w:sz="4" w:space="0"/>
                    <w:left w:val="nil"/>
                    <w:bottom w:val="single" w:color="auto" w:sz="4" w:space="0"/>
                    <w:right w:val="single" w:color="auto" w:sz="4" w:space="0"/>
                  </w:tcBorders>
                  <w:vAlign w:val="center"/>
                </w:tcPr>
                <w:p w14:paraId="362FE68D">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D6B91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56DB9E83">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禁止在金沙江干流，长江一级支流和九大高原湖泊岸线一公里范围内新建、扩建化工园区和化工项目。禁止在金沙江干流岸线三公里范围内和长江一级支流岸线一公里范围内新建、改建、扩建尾矿库、冶炼渣库和磷石膏库，以提升安全、生态环境保护水平为目的的改建除外。</w:t>
                  </w:r>
                </w:p>
              </w:tc>
              <w:tc>
                <w:tcPr>
                  <w:tcW w:w="1358" w:type="pct"/>
                  <w:tcBorders>
                    <w:top w:val="single" w:color="auto" w:sz="4" w:space="0"/>
                    <w:left w:val="nil"/>
                    <w:bottom w:val="single" w:color="auto" w:sz="4" w:space="0"/>
                    <w:right w:val="single" w:color="auto" w:sz="4" w:space="0"/>
                  </w:tcBorders>
                  <w:vAlign w:val="center"/>
                </w:tcPr>
                <w:p w14:paraId="3D410C63">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项目属于废弃矿坑生态修复项目，不属于化工项目及尾矿库、冶炼渣库和磷石膏库项目。</w:t>
                  </w:r>
                </w:p>
              </w:tc>
              <w:tc>
                <w:tcPr>
                  <w:tcW w:w="570" w:type="pct"/>
                  <w:tcBorders>
                    <w:top w:val="single" w:color="auto" w:sz="4" w:space="0"/>
                    <w:left w:val="nil"/>
                    <w:bottom w:val="single" w:color="auto" w:sz="4" w:space="0"/>
                    <w:right w:val="single" w:color="auto" w:sz="4" w:space="0"/>
                  </w:tcBorders>
                  <w:vAlign w:val="center"/>
                </w:tcPr>
                <w:p w14:paraId="6D4EDD5E">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3DB671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3A22B2BA">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10、禁止在合规园区外新建、扩建钢铁、石化、化工、焦化、建材、有色、制浆造纸行业中的高污染项目。</w:t>
                  </w:r>
                </w:p>
              </w:tc>
              <w:tc>
                <w:tcPr>
                  <w:tcW w:w="1358" w:type="pct"/>
                  <w:tcBorders>
                    <w:top w:val="single" w:color="auto" w:sz="4" w:space="0"/>
                    <w:left w:val="nil"/>
                    <w:bottom w:val="single" w:color="auto" w:sz="4" w:space="0"/>
                    <w:right w:val="single" w:color="auto" w:sz="4" w:space="0"/>
                  </w:tcBorders>
                  <w:vAlign w:val="center"/>
                </w:tcPr>
                <w:p w14:paraId="36EA029F">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项目属于废弃矿坑生态修复项目，不属于禁止建设的高污染项目。</w:t>
                  </w:r>
                </w:p>
              </w:tc>
              <w:tc>
                <w:tcPr>
                  <w:tcW w:w="570" w:type="pct"/>
                  <w:tcBorders>
                    <w:top w:val="single" w:color="auto" w:sz="4" w:space="0"/>
                    <w:left w:val="nil"/>
                    <w:bottom w:val="single" w:color="auto" w:sz="4" w:space="0"/>
                    <w:right w:val="single" w:color="auto" w:sz="4" w:space="0"/>
                  </w:tcBorders>
                  <w:vAlign w:val="center"/>
                </w:tcPr>
                <w:p w14:paraId="6DEDDE70">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E00A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3BF2DBED">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11、禁止新建、扩建不符合国家石化、现代煤化工等产业布局规划的项目。禁止列入《云南省城镇人口密集区危险化学品生产企业搬迁改造名单》的搬迁改造企业在原址新建、扩建危险化学品生产项目。</w:t>
                  </w:r>
                </w:p>
              </w:tc>
              <w:tc>
                <w:tcPr>
                  <w:tcW w:w="1358" w:type="pct"/>
                  <w:tcBorders>
                    <w:top w:val="single" w:color="auto" w:sz="4" w:space="0"/>
                    <w:left w:val="nil"/>
                    <w:bottom w:val="single" w:color="auto" w:sz="4" w:space="0"/>
                    <w:right w:val="single" w:color="auto" w:sz="4" w:space="0"/>
                  </w:tcBorders>
                  <w:vAlign w:val="center"/>
                </w:tcPr>
                <w:p w14:paraId="7E230AE8">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项目属于废弃矿坑生态修复项目，不属于石化、现代煤化工项目。不属于危险化学品生产项目。</w:t>
                  </w:r>
                </w:p>
              </w:tc>
              <w:tc>
                <w:tcPr>
                  <w:tcW w:w="570" w:type="pct"/>
                  <w:tcBorders>
                    <w:top w:val="single" w:color="auto" w:sz="4" w:space="0"/>
                    <w:left w:val="nil"/>
                    <w:bottom w:val="single" w:color="auto" w:sz="4" w:space="0"/>
                    <w:right w:val="single" w:color="auto" w:sz="4" w:space="0"/>
                  </w:tcBorders>
                  <w:vAlign w:val="center"/>
                </w:tcPr>
                <w:p w14:paraId="61599DF8">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78CE38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071" w:type="pct"/>
                  <w:tcBorders>
                    <w:top w:val="single" w:color="auto" w:sz="4" w:space="0"/>
                    <w:left w:val="single" w:color="auto" w:sz="4" w:space="0"/>
                    <w:bottom w:val="single" w:color="auto" w:sz="4" w:space="0"/>
                    <w:right w:val="single" w:color="auto" w:sz="4" w:space="0"/>
                  </w:tcBorders>
                  <w:vAlign w:val="center"/>
                </w:tcPr>
                <w:p w14:paraId="2BEDF24B">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12、禁止新建、扩建法律法规和相关政策明令禁止的落后产能项目，依法依规关停退出能耗、环保、质量、安全不达标产能和技术落后产能。禁止新建、扩建不符合国家产能置换要求的过剩产能行业的项目。禁止新建、扩建不符合要求的高耗能高排放项目，推动退出重点高耗能行业“限制类”产能。禁止建设高毒高残留以及对环境影响大的农药原药生产装置，严控尿素、磷、电石、焦炭、黄磷、烧碱、纯碱、聚氯乙烯等行业新增产能。</w:t>
                  </w:r>
                </w:p>
              </w:tc>
              <w:tc>
                <w:tcPr>
                  <w:tcW w:w="1358" w:type="pct"/>
                  <w:tcBorders>
                    <w:top w:val="single" w:color="auto" w:sz="4" w:space="0"/>
                    <w:left w:val="nil"/>
                    <w:bottom w:val="single" w:color="auto" w:sz="4" w:space="0"/>
                    <w:right w:val="single" w:color="auto" w:sz="4" w:space="0"/>
                  </w:tcBorders>
                  <w:vAlign w:val="center"/>
                </w:tcPr>
                <w:p w14:paraId="0A8E54FF">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项目属于废弃矿坑生态修复项目，不属于条款规定的禁止项目类别。</w:t>
                  </w:r>
                </w:p>
              </w:tc>
              <w:tc>
                <w:tcPr>
                  <w:tcW w:w="570" w:type="pct"/>
                  <w:tcBorders>
                    <w:top w:val="single" w:color="auto" w:sz="4" w:space="0"/>
                    <w:left w:val="nil"/>
                    <w:bottom w:val="single" w:color="auto" w:sz="4" w:space="0"/>
                    <w:right w:val="single" w:color="auto" w:sz="4" w:space="0"/>
                  </w:tcBorders>
                  <w:vAlign w:val="center"/>
                </w:tcPr>
                <w:p w14:paraId="7E7B394F">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bl>
          <w:p w14:paraId="2C14DEED">
            <w:pPr>
              <w:widowControl/>
              <w:adjustRightInd w:val="0"/>
              <w:snapToGrid w:val="0"/>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综上，项目建设符合《云南省长江经济带发展负面清单指南实施细则》（试行，</w:t>
            </w:r>
            <w:r>
              <w:rPr>
                <w:color w:val="000000" w:themeColor="text1"/>
                <w:kern w:val="0"/>
                <w:highlight w:val="none"/>
                <w:lang w:bidi="ar"/>
                <w14:textFill>
                  <w14:solidFill>
                    <w14:schemeClr w14:val="tx1"/>
                  </w14:solidFill>
                </w14:textFill>
              </w:rPr>
              <w:t>2022</w:t>
            </w:r>
            <w:r>
              <w:rPr>
                <w:rFonts w:hint="eastAsia"/>
                <w:color w:val="000000" w:themeColor="text1"/>
                <w:kern w:val="0"/>
                <w:highlight w:val="none"/>
                <w:lang w:bidi="ar"/>
                <w14:textFill>
                  <w14:solidFill>
                    <w14:schemeClr w14:val="tx1"/>
                  </w14:solidFill>
                </w14:textFill>
              </w:rPr>
              <w:t>年版）文件要求</w:t>
            </w:r>
            <w:r>
              <w:rPr>
                <w:rFonts w:hint="eastAsia"/>
                <w:color w:val="000000" w:themeColor="text1"/>
                <w:highlight w:val="none"/>
                <w14:textFill>
                  <w14:solidFill>
                    <w14:schemeClr w14:val="tx1"/>
                  </w14:solidFill>
                </w14:textFill>
              </w:rPr>
              <w:t>。</w:t>
            </w:r>
          </w:p>
          <w:p w14:paraId="6F61BD75">
            <w:pPr>
              <w:adjustRightInd w:val="0"/>
              <w:snapToGrid w:val="0"/>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7、项目与《自然资源部办公厅关于开展长江经济带废弃露天矿山生态修复工作的通知》符合性分析</w:t>
            </w:r>
          </w:p>
          <w:p w14:paraId="36A1FF3B">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根据《自然资源部办公厅关于开展长江经济带废弃露天矿山生态修复工作的通知》要求，到2020年底，全面完成长江干流及主要支流两岸各10公里范围内废弃露天矿山治理任务，其中云南、贵州、四川、重庆废弃露天矿山以铁、锰、铝土、稀土、磷等金属、非金属为主，滑坡、泥石流、地裂缝等地质灾害较为发育。该区域矿山生态修复重点是消除地质灾害隐患，防治水土流失，恢复植被。结合植被恢复和山体修复，最大限度减少裸露地面，增加绿化面积。</w:t>
            </w:r>
          </w:p>
          <w:p w14:paraId="4CF0A675">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本项目修复措施主要包括：</w:t>
            </w:r>
            <w:r>
              <w:rPr>
                <w:rFonts w:hint="eastAsia"/>
                <w:color w:val="000000" w:themeColor="text1"/>
                <w:spacing w:val="12"/>
                <w:highlight w:val="none"/>
                <w14:textFill>
                  <w14:solidFill>
                    <w14:schemeClr w14:val="tx1"/>
                  </w14:solidFill>
                </w14:textFill>
              </w:rPr>
              <w:t>土地平整工程</w:t>
            </w:r>
            <w:r>
              <w:rPr>
                <w:rFonts w:hint="eastAsia"/>
                <w:color w:val="000000" w:themeColor="text1"/>
                <w:highlight w:val="none"/>
                <w14:textFill>
                  <w14:solidFill>
                    <w14:schemeClr w14:val="tx1"/>
                  </w14:solidFill>
                </w14:textFill>
              </w:rPr>
              <w:t>；坡面工程；修建截排水沟；修建拦挡设施；堆积区内部渗滤液导排管；铺设底部、顶部、坡面防渗层；铺设地下水导排管沟；回填工程（改性磷石膏修复材料）；设置防洪安全监测、拦挡体安全监测、回填区安全监测、地下水监控井、土壤环境跟踪监控等；场地降尘措施；</w:t>
            </w:r>
            <w:r>
              <w:rPr>
                <w:rFonts w:hint="eastAsia"/>
                <w:color w:val="000000" w:themeColor="text1"/>
                <w:szCs w:val="21"/>
                <w:highlight w:val="none"/>
                <w14:textFill>
                  <w14:solidFill>
                    <w14:schemeClr w14:val="tx1"/>
                  </w14:solidFill>
                </w14:textFill>
              </w:rPr>
              <w:t>地表</w:t>
            </w:r>
            <w:r>
              <w:rPr>
                <w:rFonts w:hint="eastAsia"/>
                <w:color w:val="000000" w:themeColor="text1"/>
                <w:highlight w:val="none"/>
                <w14:textFill>
                  <w14:solidFill>
                    <w14:schemeClr w14:val="tx1"/>
                  </w14:solidFill>
                </w14:textFill>
              </w:rPr>
              <w:t>植被恢复及管理抚育。</w:t>
            </w:r>
          </w:p>
          <w:p w14:paraId="3B379FD6">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修复完成后即消除了地质灾害、恢复矿区生态环境，符合该通知要求。</w:t>
            </w:r>
          </w:p>
          <w:p w14:paraId="2CE75647">
            <w:pPr>
              <w:adjustRightInd w:val="0"/>
              <w:snapToGrid w:val="0"/>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8、项目与《一般工业固体废物贮存和填埋污染控制标准》（GB18599-2020）符合性分析</w:t>
            </w:r>
          </w:p>
          <w:p w14:paraId="519A1DD3">
            <w:pPr>
              <w:widowControl/>
              <w:adjustRightInd w:val="0"/>
              <w:snapToGrid w:val="0"/>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表1-6  项目与《</w:t>
            </w:r>
            <w:r>
              <w:rPr>
                <w:rFonts w:hint="eastAsia"/>
                <w:b/>
                <w:bCs/>
                <w:color w:val="000000" w:themeColor="text1"/>
                <w:kern w:val="0"/>
                <w:sz w:val="21"/>
                <w:szCs w:val="21"/>
                <w:highlight w:val="none"/>
                <w14:textFill>
                  <w14:solidFill>
                    <w14:schemeClr w14:val="tx1"/>
                  </w14:solidFill>
                </w14:textFill>
              </w:rPr>
              <w:t>一般工业固体废物贮存和填埋污染控制标准》</w:t>
            </w:r>
            <w:r>
              <w:rPr>
                <w:rFonts w:hint="eastAsia"/>
                <w:b/>
                <w:bCs/>
                <w:color w:val="000000" w:themeColor="text1"/>
                <w:kern w:val="0"/>
                <w:sz w:val="21"/>
                <w:szCs w:val="21"/>
                <w:highlight w:val="none"/>
                <w:lang w:bidi="ar"/>
                <w14:textFill>
                  <w14:solidFill>
                    <w14:schemeClr w14:val="tx1"/>
                  </w14:solidFill>
                </w14:textFill>
              </w:rPr>
              <w:t>符合性分析</w:t>
            </w:r>
          </w:p>
          <w:tbl>
            <w:tblPr>
              <w:tblStyle w:val="40"/>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6"/>
              <w:gridCol w:w="4009"/>
              <w:gridCol w:w="478"/>
            </w:tblGrid>
            <w:tr w14:paraId="41D76B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1122295A">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标准要求</w:t>
                  </w:r>
                </w:p>
              </w:tc>
              <w:tc>
                <w:tcPr>
                  <w:tcW w:w="2492" w:type="pct"/>
                  <w:tcBorders>
                    <w:top w:val="single" w:color="auto" w:sz="4" w:space="0"/>
                    <w:left w:val="nil"/>
                    <w:bottom w:val="single" w:color="auto" w:sz="4" w:space="0"/>
                    <w:right w:val="single" w:color="auto" w:sz="4" w:space="0"/>
                  </w:tcBorders>
                  <w:vAlign w:val="center"/>
                </w:tcPr>
                <w:p w14:paraId="092A19BC">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本项目情况</w:t>
                  </w:r>
                </w:p>
              </w:tc>
              <w:tc>
                <w:tcPr>
                  <w:tcW w:w="296" w:type="pct"/>
                  <w:tcBorders>
                    <w:top w:val="single" w:color="auto" w:sz="4" w:space="0"/>
                    <w:left w:val="nil"/>
                    <w:bottom w:val="single" w:color="auto" w:sz="4" w:space="0"/>
                    <w:right w:val="single" w:color="auto" w:sz="4" w:space="0"/>
                  </w:tcBorders>
                  <w:vAlign w:val="center"/>
                </w:tcPr>
                <w:p w14:paraId="41AA318A">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符合性</w:t>
                  </w:r>
                </w:p>
              </w:tc>
            </w:tr>
            <w:tr w14:paraId="41C5B7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08A83BAB">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4贮存场和填埋场选址要求</w:t>
                  </w:r>
                </w:p>
              </w:tc>
            </w:tr>
            <w:tr w14:paraId="58727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1627C957">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4.1一般工业固体废物贮存场、填埋场的选址应符合环境保护法律法规及相关法定规划要求。</w:t>
                  </w:r>
                </w:p>
              </w:tc>
              <w:tc>
                <w:tcPr>
                  <w:tcW w:w="2492" w:type="pct"/>
                  <w:tcBorders>
                    <w:top w:val="single" w:color="auto" w:sz="4" w:space="0"/>
                    <w:left w:val="nil"/>
                    <w:bottom w:val="single" w:color="auto" w:sz="4" w:space="0"/>
                    <w:right w:val="single" w:color="auto" w:sz="4" w:space="0"/>
                  </w:tcBorders>
                  <w:vAlign w:val="center"/>
                </w:tcPr>
                <w:p w14:paraId="009F4A17">
                  <w:pPr>
                    <w:widowControl/>
                    <w:spacing w:line="240" w:lineRule="auto"/>
                    <w:ind w:firstLine="0" w:firstLineChars="0"/>
                    <w:jc w:val="left"/>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本项目为废弃矿坑生态修复项目，对原有废弃采石场进行生态修复，不涉及环境敏感区，符合环境保护法律法规要求。</w:t>
                  </w:r>
                </w:p>
              </w:tc>
              <w:tc>
                <w:tcPr>
                  <w:tcW w:w="296" w:type="pct"/>
                  <w:tcBorders>
                    <w:top w:val="single" w:color="auto" w:sz="4" w:space="0"/>
                    <w:left w:val="nil"/>
                    <w:bottom w:val="single" w:color="auto" w:sz="4" w:space="0"/>
                    <w:right w:val="single" w:color="auto" w:sz="4" w:space="0"/>
                  </w:tcBorders>
                  <w:vAlign w:val="center"/>
                </w:tcPr>
                <w:p w14:paraId="22B84FBB">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68CBF1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11BFCCC3">
                  <w:pPr>
                    <w:widowControl/>
                    <w:spacing w:line="240" w:lineRule="auto"/>
                    <w:ind w:firstLine="0" w:firstLineChars="0"/>
                    <w:jc w:val="left"/>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4.3贮存场、填埋场不得选在生态保护红线区域、永久基本农田集中区域和其他需要特别保护的区域内。</w:t>
                  </w:r>
                </w:p>
              </w:tc>
              <w:tc>
                <w:tcPr>
                  <w:tcW w:w="2492" w:type="pct"/>
                  <w:tcBorders>
                    <w:top w:val="single" w:color="auto" w:sz="4" w:space="0"/>
                    <w:left w:val="nil"/>
                    <w:bottom w:val="single" w:color="auto" w:sz="4" w:space="0"/>
                    <w:right w:val="single" w:color="auto" w:sz="4" w:space="0"/>
                  </w:tcBorders>
                  <w:vAlign w:val="center"/>
                </w:tcPr>
                <w:p w14:paraId="231F5F94">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项目选址不涉及生态保护红线、永久基本农田和其他需要特别保护的区域。</w:t>
                  </w:r>
                </w:p>
              </w:tc>
              <w:tc>
                <w:tcPr>
                  <w:tcW w:w="296" w:type="pct"/>
                  <w:tcBorders>
                    <w:top w:val="single" w:color="auto" w:sz="4" w:space="0"/>
                    <w:left w:val="nil"/>
                    <w:bottom w:val="single" w:color="auto" w:sz="4" w:space="0"/>
                    <w:right w:val="single" w:color="auto" w:sz="4" w:space="0"/>
                  </w:tcBorders>
                  <w:vAlign w:val="center"/>
                </w:tcPr>
                <w:p w14:paraId="4FD19ED0">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6BAAB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03024E92">
                  <w:pPr>
                    <w:widowControl/>
                    <w:spacing w:line="240" w:lineRule="auto"/>
                    <w:ind w:firstLine="0" w:firstLineChars="0"/>
                    <w:jc w:val="left"/>
                    <w:rPr>
                      <w:color w:val="000000" w:themeColor="text1"/>
                      <w:sz w:val="21"/>
                      <w:szCs w:val="21"/>
                      <w:highlight w:val="none"/>
                      <w:lang w:bidi="ar"/>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4.4贮存场、填埋场应避开活动断层、溶洞区、天然滑坡或泥石流影响区以及湿地等区域。</w:t>
                  </w:r>
                </w:p>
              </w:tc>
              <w:tc>
                <w:tcPr>
                  <w:tcW w:w="2492" w:type="pct"/>
                  <w:tcBorders>
                    <w:top w:val="single" w:color="auto" w:sz="4" w:space="0"/>
                    <w:left w:val="nil"/>
                    <w:bottom w:val="single" w:color="auto" w:sz="4" w:space="0"/>
                    <w:right w:val="single" w:color="auto" w:sz="4" w:space="0"/>
                  </w:tcBorders>
                  <w:vAlign w:val="center"/>
                </w:tcPr>
                <w:p w14:paraId="09552D61">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根据项目水文地质勘察报告，项目修复范围内无活动断层、溶洞区及湿地，项目区岩溶发育主要以溶蚀裂隙为主，目前均被粘性土填充</w:t>
                  </w:r>
                  <w:r>
                    <w:rPr>
                      <w:rFonts w:hint="eastAsia"/>
                      <w:color w:val="000000" w:themeColor="text1"/>
                      <w:sz w:val="21"/>
                      <w:szCs w:val="21"/>
                      <w:highlight w:val="none"/>
                      <w:lang w:bidi="ar"/>
                      <w14:textFill>
                        <w14:solidFill>
                          <w14:schemeClr w14:val="tx1"/>
                        </w14:solidFill>
                      </w14:textFill>
                    </w:rPr>
                    <w:t>。</w:t>
                  </w:r>
                </w:p>
              </w:tc>
              <w:tc>
                <w:tcPr>
                  <w:tcW w:w="296" w:type="pct"/>
                  <w:tcBorders>
                    <w:top w:val="single" w:color="auto" w:sz="4" w:space="0"/>
                    <w:left w:val="nil"/>
                    <w:bottom w:val="single" w:color="auto" w:sz="4" w:space="0"/>
                    <w:right w:val="single" w:color="auto" w:sz="4" w:space="0"/>
                  </w:tcBorders>
                  <w:vAlign w:val="center"/>
                </w:tcPr>
                <w:p w14:paraId="757979B7">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7B3A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104A173A">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8充填及回填利用污染控制要求</w:t>
                  </w:r>
                </w:p>
              </w:tc>
            </w:tr>
            <w:tr w14:paraId="56685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5116ADBD">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8.2</w:t>
                  </w:r>
                  <w:r>
                    <w:rPr>
                      <w:rFonts w:hint="eastAsia"/>
                      <w:color w:val="000000" w:themeColor="text1"/>
                      <w:kern w:val="0"/>
                      <w:sz w:val="21"/>
                      <w:szCs w:val="21"/>
                      <w:highlight w:val="none"/>
                      <w:lang w:bidi="ar"/>
                      <w14:textFill>
                        <w14:solidFill>
                          <w14:schemeClr w14:val="tx1"/>
                        </w14:solidFill>
                      </w14:textFill>
                    </w:rPr>
                    <w:t>第Ⅱ类一般工业固体废物以及不符合</w:t>
                  </w:r>
                  <w:r>
                    <w:rPr>
                      <w:color w:val="000000" w:themeColor="text1"/>
                      <w:kern w:val="0"/>
                      <w:sz w:val="21"/>
                      <w:szCs w:val="21"/>
                      <w:highlight w:val="none"/>
                      <w:lang w:bidi="ar"/>
                      <w14:textFill>
                        <w14:solidFill>
                          <w14:schemeClr w14:val="tx1"/>
                        </w14:solidFill>
                      </w14:textFill>
                    </w:rPr>
                    <w:t>8.1</w:t>
                  </w:r>
                  <w:r>
                    <w:rPr>
                      <w:rFonts w:hint="eastAsia"/>
                      <w:color w:val="000000" w:themeColor="text1"/>
                      <w:kern w:val="0"/>
                      <w:sz w:val="21"/>
                      <w:szCs w:val="21"/>
                      <w:highlight w:val="none"/>
                      <w:lang w:bidi="ar"/>
                      <w14:textFill>
                        <w14:solidFill>
                          <w14:schemeClr w14:val="tx1"/>
                        </w14:solidFill>
                      </w14:textFill>
                    </w:rPr>
                    <w:t>条充填或回填途径的第</w:t>
                  </w:r>
                  <w:r>
                    <w:rPr>
                      <w:color w:val="000000" w:themeColor="text1"/>
                      <w:kern w:val="0"/>
                      <w:sz w:val="21"/>
                      <w:szCs w:val="21"/>
                      <w:highlight w:val="none"/>
                      <w:lang w:bidi="ar"/>
                      <w14:textFill>
                        <w14:solidFill>
                          <w14:schemeClr w14:val="tx1"/>
                        </w14:solidFill>
                      </w14:textFill>
                    </w:rPr>
                    <w:t>I</w:t>
                  </w:r>
                  <w:r>
                    <w:rPr>
                      <w:rFonts w:hint="eastAsia"/>
                      <w:color w:val="000000" w:themeColor="text1"/>
                      <w:kern w:val="0"/>
                      <w:sz w:val="21"/>
                      <w:szCs w:val="21"/>
                      <w:highlight w:val="none"/>
                      <w:lang w:bidi="ar"/>
                      <w14:textFill>
                        <w14:solidFill>
                          <w14:schemeClr w14:val="tx1"/>
                        </w14:solidFill>
                      </w14:textFill>
                    </w:rPr>
                    <w:t>类一般工业固体废物，其充填或回填活动前应开展环境本底调查，并按照</w:t>
                  </w:r>
                  <w:r>
                    <w:rPr>
                      <w:color w:val="000000" w:themeColor="text1"/>
                      <w:kern w:val="0"/>
                      <w:sz w:val="21"/>
                      <w:szCs w:val="21"/>
                      <w:highlight w:val="none"/>
                      <w:lang w:bidi="ar"/>
                      <w14:textFill>
                        <w14:solidFill>
                          <w14:schemeClr w14:val="tx1"/>
                        </w14:solidFill>
                      </w14:textFill>
                    </w:rPr>
                    <w:t>HJ25.3</w:t>
                  </w:r>
                  <w:r>
                    <w:rPr>
                      <w:rFonts w:hint="eastAsia"/>
                      <w:color w:val="000000" w:themeColor="text1"/>
                      <w:kern w:val="0"/>
                      <w:sz w:val="21"/>
                      <w:szCs w:val="21"/>
                      <w:highlight w:val="none"/>
                      <w:lang w:bidi="ar"/>
                      <w14:textFill>
                        <w14:solidFill>
                          <w14:schemeClr w14:val="tx1"/>
                        </w14:solidFill>
                      </w14:textFill>
                    </w:rPr>
                    <w:t>等相关标准进行环境风险评估，重点评估对地下水、地表水及周边土壤的环境污染风险，确保环境风险可以接受。充填或回填活动结束后，应根据风险评估结果对可能受到影响的土壤、地表水及地下水开展长期监测，监测频次至少每年1次。</w:t>
                  </w:r>
                </w:p>
              </w:tc>
              <w:tc>
                <w:tcPr>
                  <w:tcW w:w="2492" w:type="pct"/>
                  <w:tcBorders>
                    <w:top w:val="single" w:color="auto" w:sz="4" w:space="0"/>
                    <w:left w:val="nil"/>
                    <w:bottom w:val="single" w:color="auto" w:sz="4" w:space="0"/>
                    <w:right w:val="single" w:color="auto" w:sz="4" w:space="0"/>
                  </w:tcBorders>
                  <w:vAlign w:val="center"/>
                </w:tcPr>
                <w:p w14:paraId="408BCF04">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本项目采用无害化处理后的改性磷石膏对矿坑进行回填作业，改性磷石膏的质量特性满足云南省地方标准《改性磷石膏用于矿山废弃地生态修复回填技术规范》（DB53/T1269-2024）中5.4要求。</w:t>
                  </w:r>
                </w:p>
                <w:p w14:paraId="3CAAAD74">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项目已开展地表水环境、地下水环境、土壤环境本底调查，并按照</w:t>
                  </w:r>
                  <w:r>
                    <w:rPr>
                      <w:color w:val="000000" w:themeColor="text1"/>
                      <w:sz w:val="21"/>
                      <w:szCs w:val="21"/>
                      <w:highlight w:val="none"/>
                      <w14:textFill>
                        <w14:solidFill>
                          <w14:schemeClr w14:val="tx1"/>
                        </w14:solidFill>
                      </w14:textFill>
                    </w:rPr>
                    <w:t>HJ25.3</w:t>
                  </w:r>
                  <w:r>
                    <w:rPr>
                      <w:rFonts w:hint="eastAsia"/>
                      <w:color w:val="000000" w:themeColor="text1"/>
                      <w:sz w:val="21"/>
                      <w:szCs w:val="21"/>
                      <w:highlight w:val="none"/>
                      <w14:textFill>
                        <w14:solidFill>
                          <w14:schemeClr w14:val="tx1"/>
                        </w14:solidFill>
                      </w14:textFill>
                    </w:rPr>
                    <w:t>、昆明市地方标准《改性磷石膏综合利用矿山生态修复环境风险评估规范》（</w:t>
                  </w:r>
                  <w:r>
                    <w:rPr>
                      <w:color w:val="000000" w:themeColor="text1"/>
                      <w:sz w:val="21"/>
                      <w:szCs w:val="21"/>
                      <w:highlight w:val="none"/>
                      <w14:textFill>
                        <w14:solidFill>
                          <w14:schemeClr w14:val="tx1"/>
                        </w14:solidFill>
                      </w14:textFill>
                    </w:rPr>
                    <w:t>DB5301/T98-2023</w:t>
                  </w:r>
                  <w:r>
                    <w:rPr>
                      <w:rFonts w:hint="eastAsia"/>
                      <w:color w:val="000000" w:themeColor="text1"/>
                      <w:sz w:val="21"/>
                      <w:szCs w:val="21"/>
                      <w:highlight w:val="none"/>
                      <w14:textFill>
                        <w14:solidFill>
                          <w14:schemeClr w14:val="tx1"/>
                        </w14:solidFill>
                      </w14:textFill>
                    </w:rPr>
                    <w:t>）等相关规范的要求开展了环境风险评估工作，编制了风险评估报告，评估报告已通过专家评审，根据专家评审意见和风险评估结论，项目环境风险可接受。本次环评要求对地下水水质进行监控；同时对渗滤液、地下水导排水质进行监测，及时了解回填区情况；提出监测计划，对地下水环境开展跟踪监测。按照规范要求，项目充填结束后项目设置4个土壤监测点</w:t>
                  </w:r>
                  <w:r>
                    <w:rPr>
                      <w:rFonts w:hint="eastAsia" w:ascii="宋体" w:hAnsi="宋体" w:cs="宋体"/>
                      <w:color w:val="000000" w:themeColor="text1"/>
                      <w:kern w:val="0"/>
                      <w:sz w:val="21"/>
                      <w:szCs w:val="21"/>
                      <w:highlight w:val="none"/>
                      <w:lang w:bidi="ar"/>
                      <w14:textFill>
                        <w14:solidFill>
                          <w14:schemeClr w14:val="tx1"/>
                        </w14:solidFill>
                      </w14:textFill>
                    </w:rPr>
                    <w:t>，位于项目区北侧非回填区、项目区外下风向、项目区外南侧，监测因子为pH、氟化物、铜、铅、锌、镉、砷、汞，每年监测1次，</w:t>
                  </w:r>
                  <w:r>
                    <w:rPr>
                      <w:rFonts w:hint="eastAsia"/>
                      <w:color w:val="000000" w:themeColor="text1"/>
                      <w:sz w:val="21"/>
                      <w:szCs w:val="21"/>
                      <w:highlight w:val="none"/>
                      <w14:textFill>
                        <w14:solidFill>
                          <w14:schemeClr w14:val="tx1"/>
                        </w14:solidFill>
                      </w14:textFill>
                    </w:rPr>
                    <w:t>直到相关指标连续3年内，年均检测指标持续稳定，特征指标不呈上升趋势。项目区</w:t>
                  </w:r>
                  <w:r>
                    <w:rPr>
                      <w:rFonts w:hint="eastAsia"/>
                      <w:color w:val="000000" w:themeColor="text1"/>
                      <w:sz w:val="21"/>
                      <w:szCs w:val="21"/>
                      <w:highlight w:val="none"/>
                      <w:lang w:val="en-US" w:eastAsia="zh-CN"/>
                      <w14:textFill>
                        <w14:solidFill>
                          <w14:schemeClr w14:val="tx1"/>
                        </w14:solidFill>
                      </w14:textFill>
                    </w:rPr>
                    <w:t>及周边</w:t>
                  </w:r>
                  <w:r>
                    <w:rPr>
                      <w:rFonts w:hint="eastAsia"/>
                      <w:kern w:val="0"/>
                      <w:sz w:val="21"/>
                      <w:szCs w:val="21"/>
                      <w:lang w:val="en-US" w:eastAsia="zh-CN" w:bidi="ar"/>
                    </w:rPr>
                    <w:t>共设置</w:t>
                  </w:r>
                  <w:r>
                    <w:rPr>
                      <w:rFonts w:hint="eastAsia" w:ascii="宋体" w:hAnsi="宋体"/>
                      <w:kern w:val="0"/>
                      <w:sz w:val="21"/>
                      <w:szCs w:val="21"/>
                    </w:rPr>
                    <w:t>7</w:t>
                  </w:r>
                  <w:r>
                    <w:rPr>
                      <w:rFonts w:ascii="宋体" w:hAnsi="宋体"/>
                      <w:kern w:val="0"/>
                      <w:sz w:val="21"/>
                      <w:szCs w:val="21"/>
                    </w:rPr>
                    <w:t>口地下水监测井</w:t>
                  </w:r>
                  <w:r>
                    <w:rPr>
                      <w:rFonts w:hint="eastAsia"/>
                      <w:color w:val="000000" w:themeColor="text1"/>
                      <w:sz w:val="21"/>
                      <w:szCs w:val="21"/>
                      <w:highlight w:val="none"/>
                      <w14:textFill>
                        <w14:solidFill>
                          <w14:schemeClr w14:val="tx1"/>
                        </w14:solidFill>
                      </w14:textFill>
                    </w:rPr>
                    <w:t>，每年在丰水期、枯水期各监测一次，直到相关指标连续3年内，年均检测指标持续稳定，特征指标不呈上升趋势。</w:t>
                  </w:r>
                </w:p>
              </w:tc>
              <w:tc>
                <w:tcPr>
                  <w:tcW w:w="296" w:type="pct"/>
                  <w:tcBorders>
                    <w:top w:val="single" w:color="auto" w:sz="4" w:space="0"/>
                    <w:left w:val="nil"/>
                    <w:bottom w:val="single" w:color="auto" w:sz="4" w:space="0"/>
                    <w:right w:val="single" w:color="auto" w:sz="4" w:space="0"/>
                  </w:tcBorders>
                  <w:vAlign w:val="center"/>
                </w:tcPr>
                <w:p w14:paraId="2CCFB96A">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20C7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211" w:type="pct"/>
                  <w:tcBorders>
                    <w:top w:val="single" w:color="auto" w:sz="4" w:space="0"/>
                    <w:left w:val="single" w:color="auto" w:sz="4" w:space="0"/>
                    <w:bottom w:val="single" w:color="auto" w:sz="4" w:space="0"/>
                    <w:right w:val="single" w:color="auto" w:sz="4" w:space="0"/>
                  </w:tcBorders>
                  <w:vAlign w:val="center"/>
                </w:tcPr>
                <w:p w14:paraId="135CE73A">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8.3不应在充填物料中掺加除充填作业所需要的添加剂之外的其他固体废物。</w:t>
                  </w:r>
                </w:p>
              </w:tc>
              <w:tc>
                <w:tcPr>
                  <w:tcW w:w="2492" w:type="pct"/>
                  <w:tcBorders>
                    <w:top w:val="single" w:color="auto" w:sz="4" w:space="0"/>
                    <w:left w:val="nil"/>
                    <w:bottom w:val="single" w:color="auto" w:sz="4" w:space="0"/>
                    <w:right w:val="single" w:color="auto" w:sz="4" w:space="0"/>
                  </w:tcBorders>
                  <w:vAlign w:val="center"/>
                </w:tcPr>
                <w:p w14:paraId="2609E2D0">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项目回填物为耕植土、场地清理及边坡治理产生的部分土石方、合格的改性磷石膏生态修复材料，不掺杂其他固体废物。</w:t>
                  </w:r>
                </w:p>
              </w:tc>
              <w:tc>
                <w:tcPr>
                  <w:tcW w:w="296" w:type="pct"/>
                  <w:tcBorders>
                    <w:top w:val="nil"/>
                    <w:left w:val="nil"/>
                    <w:bottom w:val="single" w:color="auto" w:sz="4" w:space="0"/>
                    <w:right w:val="single" w:color="auto" w:sz="4" w:space="0"/>
                  </w:tcBorders>
                  <w:vAlign w:val="center"/>
                </w:tcPr>
                <w:p w14:paraId="0014AC9A">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20C290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432174AB">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8.4</w:t>
                  </w:r>
                  <w:r>
                    <w:rPr>
                      <w:rFonts w:hint="eastAsia"/>
                      <w:color w:val="000000" w:themeColor="text1"/>
                      <w:sz w:val="21"/>
                      <w:szCs w:val="21"/>
                      <w:highlight w:val="none"/>
                      <w14:textFill>
                        <w14:solidFill>
                          <w14:schemeClr w14:val="tx1"/>
                        </w14:solidFill>
                      </w14:textFill>
                    </w:rPr>
                    <w:t>一般工业固体废物回填作业结束后应立即实施土地复垦（回填地下的除外），土地复垦应符合本标准</w:t>
                  </w:r>
                  <w:r>
                    <w:rPr>
                      <w:color w:val="000000" w:themeColor="text1"/>
                      <w:sz w:val="21"/>
                      <w:szCs w:val="21"/>
                      <w:highlight w:val="none"/>
                      <w14:textFill>
                        <w14:solidFill>
                          <w14:schemeClr w14:val="tx1"/>
                        </w14:solidFill>
                      </w14:textFill>
                    </w:rPr>
                    <w:t>9.9</w:t>
                  </w:r>
                  <w:r>
                    <w:rPr>
                      <w:rFonts w:hint="eastAsia"/>
                      <w:color w:val="000000" w:themeColor="text1"/>
                      <w:sz w:val="21"/>
                      <w:szCs w:val="21"/>
                      <w:highlight w:val="none"/>
                      <w14:textFill>
                        <w14:solidFill>
                          <w14:schemeClr w14:val="tx1"/>
                        </w14:solidFill>
                      </w14:textFill>
                    </w:rPr>
                    <w:t>条的规定。</w:t>
                  </w:r>
                </w:p>
              </w:tc>
              <w:tc>
                <w:tcPr>
                  <w:tcW w:w="2492" w:type="pct"/>
                  <w:tcBorders>
                    <w:top w:val="single" w:color="auto" w:sz="4" w:space="0"/>
                    <w:left w:val="nil"/>
                    <w:bottom w:val="single" w:color="auto" w:sz="4" w:space="0"/>
                    <w:right w:val="single" w:color="auto" w:sz="4" w:space="0"/>
                  </w:tcBorders>
                  <w:vAlign w:val="center"/>
                </w:tcPr>
                <w:p w14:paraId="087C8F2D">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项目已制定生态修复实施方案，在回填结束后立即进行植被恢复工作。</w:t>
                  </w:r>
                </w:p>
              </w:tc>
              <w:tc>
                <w:tcPr>
                  <w:tcW w:w="296" w:type="pct"/>
                  <w:tcBorders>
                    <w:top w:val="single" w:color="auto" w:sz="4" w:space="0"/>
                    <w:left w:val="nil"/>
                    <w:bottom w:val="single" w:color="auto" w:sz="4" w:space="0"/>
                    <w:right w:val="single" w:color="auto" w:sz="4" w:space="0"/>
                  </w:tcBorders>
                  <w:vAlign w:val="center"/>
                </w:tcPr>
                <w:p w14:paraId="7E0615B0">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065E19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354F7A90">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8.5</w:t>
                  </w:r>
                  <w:r>
                    <w:rPr>
                      <w:rFonts w:hint="eastAsia"/>
                      <w:color w:val="000000" w:themeColor="text1"/>
                      <w:sz w:val="21"/>
                      <w:szCs w:val="21"/>
                      <w:highlight w:val="none"/>
                      <w14:textFill>
                        <w14:solidFill>
                          <w14:schemeClr w14:val="tx1"/>
                        </w14:solidFill>
                      </w14:textFill>
                    </w:rPr>
                    <w:t>食品制造业、纺织服装和服饰业、造纸和纸制品业、农副食品加工业等为日常生活提供服务的活动中产生的与生活垃圾性质相近的一般工业固体废物以及其他有机物含量超过</w:t>
                  </w:r>
                  <w:r>
                    <w:rPr>
                      <w:color w:val="000000" w:themeColor="text1"/>
                      <w:sz w:val="21"/>
                      <w:szCs w:val="21"/>
                      <w:highlight w:val="none"/>
                      <w14:textFill>
                        <w14:solidFill>
                          <w14:schemeClr w14:val="tx1"/>
                        </w14:solidFill>
                      </w14:textFill>
                    </w:rPr>
                    <w:t>5%</w:t>
                  </w:r>
                  <w:r>
                    <w:rPr>
                      <w:rFonts w:hint="eastAsia"/>
                      <w:color w:val="000000" w:themeColor="text1"/>
                      <w:sz w:val="21"/>
                      <w:szCs w:val="21"/>
                      <w:highlight w:val="none"/>
                      <w14:textFill>
                        <w14:solidFill>
                          <w14:schemeClr w14:val="tx1"/>
                        </w14:solidFill>
                      </w14:textFill>
                    </w:rPr>
                    <w:t>的一般工业固体废物（煤矸石除外）不得进行充填、回填作业。</w:t>
                  </w:r>
                </w:p>
              </w:tc>
              <w:tc>
                <w:tcPr>
                  <w:tcW w:w="2492" w:type="pct"/>
                  <w:tcBorders>
                    <w:top w:val="single" w:color="auto" w:sz="4" w:space="0"/>
                    <w:left w:val="nil"/>
                    <w:bottom w:val="single" w:color="auto" w:sz="4" w:space="0"/>
                    <w:right w:val="single" w:color="auto" w:sz="4" w:space="0"/>
                  </w:tcBorders>
                  <w:vAlign w:val="center"/>
                </w:tcPr>
                <w:p w14:paraId="22506BAF">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回填物主要为耕植土、场地清理及边坡治理产生的部分土石方、合格的改性磷石膏生态修复材料，不回填食品制造业、纺织服装和服饰业、造纸和纸制品业、农副食品加工业等为日常生活提供服务的活动中产生的与生活垃圾性质相近的一般工业固体废物以及其他有机物含量超过</w:t>
                  </w:r>
                  <w:r>
                    <w:rPr>
                      <w:color w:val="000000" w:themeColor="text1"/>
                      <w:sz w:val="21"/>
                      <w:szCs w:val="21"/>
                      <w:highlight w:val="none"/>
                      <w14:textFill>
                        <w14:solidFill>
                          <w14:schemeClr w14:val="tx1"/>
                        </w14:solidFill>
                      </w14:textFill>
                    </w:rPr>
                    <w:t>5%</w:t>
                  </w:r>
                  <w:r>
                    <w:rPr>
                      <w:rFonts w:hint="eastAsia"/>
                      <w:color w:val="000000" w:themeColor="text1"/>
                      <w:sz w:val="21"/>
                      <w:szCs w:val="21"/>
                      <w:highlight w:val="none"/>
                      <w14:textFill>
                        <w14:solidFill>
                          <w14:schemeClr w14:val="tx1"/>
                        </w14:solidFill>
                      </w14:textFill>
                    </w:rPr>
                    <w:t>的一般工业固体废物。</w:t>
                  </w:r>
                </w:p>
              </w:tc>
              <w:tc>
                <w:tcPr>
                  <w:tcW w:w="296" w:type="pct"/>
                  <w:tcBorders>
                    <w:top w:val="single" w:color="auto" w:sz="4" w:space="0"/>
                    <w:left w:val="nil"/>
                    <w:bottom w:val="single" w:color="auto" w:sz="4" w:space="0"/>
                    <w:right w:val="single" w:color="auto" w:sz="4" w:space="0"/>
                  </w:tcBorders>
                  <w:vAlign w:val="center"/>
                </w:tcPr>
                <w:p w14:paraId="7FC8D5D6">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7E23AE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1A134A27">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9封场及土地复垦要求</w:t>
                  </w:r>
                </w:p>
              </w:tc>
            </w:tr>
            <w:tr w14:paraId="07A23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46AEE1CD">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9.1当贮存场、填埋场服务期满或不再承担新的贮存、填埋任务时，应在</w:t>
                  </w:r>
                  <w:r>
                    <w:rPr>
                      <w:color w:val="000000" w:themeColor="text1"/>
                      <w:sz w:val="21"/>
                      <w:szCs w:val="21"/>
                      <w:highlight w:val="none"/>
                      <w14:textFill>
                        <w14:solidFill>
                          <w14:schemeClr w14:val="tx1"/>
                        </w14:solidFill>
                      </w14:textFill>
                    </w:rPr>
                    <w:t>2</w:t>
                  </w:r>
                  <w:r>
                    <w:rPr>
                      <w:rFonts w:hint="eastAsia"/>
                      <w:color w:val="000000" w:themeColor="text1"/>
                      <w:sz w:val="21"/>
                      <w:szCs w:val="21"/>
                      <w:highlight w:val="none"/>
                      <w14:textFill>
                        <w14:solidFill>
                          <w14:schemeClr w14:val="tx1"/>
                        </w14:solidFill>
                      </w14:textFill>
                    </w:rPr>
                    <w:t>年内启动封场作业，并采取相应的污染防治措施，防止造成环境污染和生态破坏。封场计划可分期实施。尾矿库的封场时间和封场过程还应执行闭库的相关行政法规和管理规定。</w:t>
                  </w:r>
                </w:p>
              </w:tc>
              <w:tc>
                <w:tcPr>
                  <w:tcW w:w="2492" w:type="pct"/>
                  <w:tcBorders>
                    <w:top w:val="single" w:color="auto" w:sz="4" w:space="0"/>
                    <w:left w:val="nil"/>
                    <w:bottom w:val="single" w:color="auto" w:sz="4" w:space="0"/>
                    <w:right w:val="single" w:color="auto" w:sz="4" w:space="0"/>
                  </w:tcBorders>
                  <w:vAlign w:val="center"/>
                </w:tcPr>
                <w:p w14:paraId="704B3DAF">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本项目为废弃矿坑生态修复项目，不属于尾矿库项目，采用改性磷石膏作为矿坑回填材料。矿坑回填至设计标高后，随即进行覆土绿化。</w:t>
                  </w:r>
                </w:p>
              </w:tc>
              <w:tc>
                <w:tcPr>
                  <w:tcW w:w="296" w:type="pct"/>
                  <w:tcBorders>
                    <w:top w:val="single" w:color="auto" w:sz="4" w:space="0"/>
                    <w:left w:val="nil"/>
                    <w:bottom w:val="single" w:color="auto" w:sz="4" w:space="0"/>
                    <w:right w:val="single" w:color="auto" w:sz="4" w:space="0"/>
                  </w:tcBorders>
                  <w:vAlign w:val="center"/>
                </w:tcPr>
                <w:p w14:paraId="26F42E48">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647071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7C9D03A2">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9.2贮存场、填埋场封场时应控制封场坡度，防止雨水侵蚀。</w:t>
                  </w:r>
                </w:p>
              </w:tc>
              <w:tc>
                <w:tcPr>
                  <w:tcW w:w="2492" w:type="pct"/>
                  <w:tcBorders>
                    <w:top w:val="single" w:color="auto" w:sz="4" w:space="0"/>
                    <w:left w:val="nil"/>
                    <w:bottom w:val="single" w:color="auto" w:sz="4" w:space="0"/>
                    <w:right w:val="single" w:color="auto" w:sz="4" w:space="0"/>
                  </w:tcBorders>
                  <w:vAlign w:val="center"/>
                </w:tcPr>
                <w:p w14:paraId="6B88F1DF">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本项目为废弃矿坑生态修复项目，采用改性磷石膏作为矿坑回填材料。项目设计对修复区周边设置截洪沟，并对修复区顶部进行平整，控制坡度，防止雨水侵蚀。</w:t>
                  </w:r>
                </w:p>
              </w:tc>
              <w:tc>
                <w:tcPr>
                  <w:tcW w:w="296" w:type="pct"/>
                  <w:tcBorders>
                    <w:top w:val="single" w:color="auto" w:sz="4" w:space="0"/>
                    <w:left w:val="nil"/>
                    <w:bottom w:val="single" w:color="auto" w:sz="4" w:space="0"/>
                    <w:right w:val="single" w:color="auto" w:sz="4" w:space="0"/>
                  </w:tcBorders>
                  <w:vAlign w:val="center"/>
                </w:tcPr>
                <w:p w14:paraId="64ADFE3F">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5C6D8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3CFDE3BB">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9.4Ⅱ类场的封场结构应包括阻隔层、雨水导排层、覆盖土层。覆盖土层的厚度视拟种植及其对阻隔层可能产生的损害确定。</w:t>
                  </w:r>
                </w:p>
              </w:tc>
              <w:tc>
                <w:tcPr>
                  <w:tcW w:w="2492" w:type="pct"/>
                  <w:tcBorders>
                    <w:top w:val="single" w:color="auto" w:sz="4" w:space="0"/>
                    <w:left w:val="nil"/>
                    <w:bottom w:val="single" w:color="auto" w:sz="4" w:space="0"/>
                    <w:right w:val="single" w:color="auto" w:sz="4" w:space="0"/>
                  </w:tcBorders>
                  <w:vAlign w:val="center"/>
                </w:tcPr>
                <w:p w14:paraId="29F118BA">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本项目矿坑回填区进行覆土绿化设计，矿坑回填至设计标高后，先敷设防渗膜进行阻隔，再铺设导排盲沟，覆盖土层根据拟种植植物，设计厚度50—100cm。</w:t>
                  </w:r>
                </w:p>
              </w:tc>
              <w:tc>
                <w:tcPr>
                  <w:tcW w:w="296" w:type="pct"/>
                  <w:tcBorders>
                    <w:top w:val="single" w:color="auto" w:sz="4" w:space="0"/>
                    <w:left w:val="nil"/>
                    <w:bottom w:val="single" w:color="auto" w:sz="4" w:space="0"/>
                    <w:right w:val="single" w:color="auto" w:sz="4" w:space="0"/>
                  </w:tcBorders>
                  <w:vAlign w:val="center"/>
                </w:tcPr>
                <w:p w14:paraId="3ADD91F3">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63D75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24E06A14">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9.5封场后，仍需对覆盖层进行维护管理，防止覆盖层不均匀沉降、开裂。</w:t>
                  </w:r>
                </w:p>
              </w:tc>
              <w:tc>
                <w:tcPr>
                  <w:tcW w:w="2492" w:type="pct"/>
                  <w:tcBorders>
                    <w:top w:val="single" w:color="auto" w:sz="4" w:space="0"/>
                    <w:left w:val="nil"/>
                    <w:bottom w:val="single" w:color="auto" w:sz="4" w:space="0"/>
                    <w:right w:val="single" w:color="auto" w:sz="4" w:space="0"/>
                  </w:tcBorders>
                  <w:vAlign w:val="center"/>
                </w:tcPr>
                <w:p w14:paraId="7C15F5EB">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本项目为废弃矿坑生态修复项目，后期设置管理人员对修复区进行覆土绿化后防渗膜、覆土层和绿化植被的管理工作。</w:t>
                  </w:r>
                </w:p>
              </w:tc>
              <w:tc>
                <w:tcPr>
                  <w:tcW w:w="296" w:type="pct"/>
                  <w:tcBorders>
                    <w:top w:val="single" w:color="auto" w:sz="4" w:space="0"/>
                    <w:left w:val="nil"/>
                    <w:bottom w:val="single" w:color="auto" w:sz="4" w:space="0"/>
                    <w:right w:val="single" w:color="auto" w:sz="4" w:space="0"/>
                  </w:tcBorders>
                  <w:vAlign w:val="center"/>
                </w:tcPr>
                <w:p w14:paraId="4A94B3CA">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5B4F85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4C9EAF7F">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9.6封场后的贮存场、填埋场应设置标志物，注明封场时间以及使用该土地时应注意的事项。</w:t>
                  </w:r>
                </w:p>
              </w:tc>
              <w:tc>
                <w:tcPr>
                  <w:tcW w:w="2492" w:type="pct"/>
                  <w:tcBorders>
                    <w:top w:val="single" w:color="auto" w:sz="4" w:space="0"/>
                    <w:left w:val="nil"/>
                    <w:bottom w:val="single" w:color="auto" w:sz="4" w:space="0"/>
                    <w:right w:val="single" w:color="auto" w:sz="4" w:space="0"/>
                  </w:tcBorders>
                  <w:vAlign w:val="center"/>
                </w:tcPr>
                <w:p w14:paraId="7146EA2E">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建设单位按照标准要求在修复区设置标识牌，注明封场时间以及使用该土地时应注意的事项。</w:t>
                  </w:r>
                </w:p>
              </w:tc>
              <w:tc>
                <w:tcPr>
                  <w:tcW w:w="296" w:type="pct"/>
                  <w:tcBorders>
                    <w:top w:val="single" w:color="auto" w:sz="4" w:space="0"/>
                    <w:left w:val="nil"/>
                    <w:bottom w:val="single" w:color="auto" w:sz="4" w:space="0"/>
                    <w:right w:val="single" w:color="auto" w:sz="4" w:space="0"/>
                  </w:tcBorders>
                  <w:vAlign w:val="center"/>
                </w:tcPr>
                <w:p w14:paraId="405FB23A">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5EA4AD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11F6CC02">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9.7封场后渗滤液处理系统、废水排放监测系统应继续正常运行，直到连续2年内没有渗滤液产生或产生的渗滤液未经处理即可稳定达标排放。</w:t>
                  </w:r>
                </w:p>
              </w:tc>
              <w:tc>
                <w:tcPr>
                  <w:tcW w:w="2492" w:type="pct"/>
                  <w:tcBorders>
                    <w:top w:val="single" w:color="auto" w:sz="4" w:space="0"/>
                    <w:left w:val="nil"/>
                    <w:bottom w:val="single" w:color="auto" w:sz="4" w:space="0"/>
                    <w:right w:val="single" w:color="auto" w:sz="4" w:space="0"/>
                  </w:tcBorders>
                  <w:vAlign w:val="center"/>
                </w:tcPr>
                <w:p w14:paraId="02D65309">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本项目渗滤液经收集沉淀后，晴天回用于场地洒水降尘，雨天在收集井内贮存，不外排，按照要求定期对渗滤液进行检测。</w:t>
                  </w:r>
                </w:p>
              </w:tc>
              <w:tc>
                <w:tcPr>
                  <w:tcW w:w="296" w:type="pct"/>
                  <w:tcBorders>
                    <w:top w:val="single" w:color="auto" w:sz="4" w:space="0"/>
                    <w:left w:val="nil"/>
                    <w:bottom w:val="single" w:color="auto" w:sz="4" w:space="0"/>
                    <w:right w:val="single" w:color="auto" w:sz="4" w:space="0"/>
                  </w:tcBorders>
                  <w:vAlign w:val="center"/>
                </w:tcPr>
                <w:p w14:paraId="26037314">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3A9FB6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33C09183">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9.8</w:t>
                  </w:r>
                  <w:r>
                    <w:rPr>
                      <w:rFonts w:hint="eastAsia"/>
                      <w:color w:val="000000" w:themeColor="text1"/>
                      <w:sz w:val="21"/>
                      <w:szCs w:val="21"/>
                      <w:highlight w:val="none"/>
                      <w14:textFill>
                        <w14:solidFill>
                          <w14:schemeClr w14:val="tx1"/>
                        </w14:solidFill>
                      </w14:textFill>
                    </w:rPr>
                    <w:t>封场后如需对一般工业固体废物进行开采再利用，应进行环境影响评价。</w:t>
                  </w:r>
                </w:p>
              </w:tc>
              <w:tc>
                <w:tcPr>
                  <w:tcW w:w="2492" w:type="pct"/>
                  <w:tcBorders>
                    <w:top w:val="single" w:color="auto" w:sz="4" w:space="0"/>
                    <w:left w:val="nil"/>
                    <w:bottom w:val="single" w:color="auto" w:sz="4" w:space="0"/>
                    <w:right w:val="single" w:color="auto" w:sz="4" w:space="0"/>
                  </w:tcBorders>
                  <w:vAlign w:val="center"/>
                </w:tcPr>
                <w:p w14:paraId="5973C763">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本项目为废弃矿坑生态修复项目，修复工作结束后，不再对矿坑回填材料进行开采再利用。</w:t>
                  </w:r>
                </w:p>
              </w:tc>
              <w:tc>
                <w:tcPr>
                  <w:tcW w:w="296" w:type="pct"/>
                  <w:tcBorders>
                    <w:top w:val="single" w:color="auto" w:sz="4" w:space="0"/>
                    <w:left w:val="nil"/>
                    <w:bottom w:val="single" w:color="auto" w:sz="4" w:space="0"/>
                    <w:right w:val="single" w:color="auto" w:sz="4" w:space="0"/>
                  </w:tcBorders>
                  <w:vAlign w:val="center"/>
                </w:tcPr>
                <w:p w14:paraId="768FE794">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D4222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31CF161A">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9.9</w:t>
                  </w:r>
                  <w:r>
                    <w:rPr>
                      <w:rFonts w:hint="eastAsia"/>
                      <w:color w:val="000000" w:themeColor="text1"/>
                      <w:sz w:val="21"/>
                      <w:szCs w:val="21"/>
                      <w:highlight w:val="none"/>
                      <w14:textFill>
                        <w14:solidFill>
                          <w14:schemeClr w14:val="tx1"/>
                        </w14:solidFill>
                      </w14:textFill>
                    </w:rPr>
                    <w:t>贮存场、填埋场封场完成后，可依据当地地形条件、水资源及表土资源等自然环境条件和社会发展需求并按照相关规定进行土地复垦。土地复垦实施过程应满足</w:t>
                  </w:r>
                  <w:r>
                    <w:rPr>
                      <w:color w:val="000000" w:themeColor="text1"/>
                      <w:sz w:val="21"/>
                      <w:szCs w:val="21"/>
                      <w:highlight w:val="none"/>
                      <w14:textFill>
                        <w14:solidFill>
                          <w14:schemeClr w14:val="tx1"/>
                        </w14:solidFill>
                      </w14:textFill>
                    </w:rPr>
                    <w:t>TD/T1036</w:t>
                  </w:r>
                  <w:r>
                    <w:rPr>
                      <w:rFonts w:hint="eastAsia"/>
                      <w:color w:val="000000" w:themeColor="text1"/>
                      <w:sz w:val="21"/>
                      <w:szCs w:val="21"/>
                      <w:highlight w:val="none"/>
                      <w14:textFill>
                        <w14:solidFill>
                          <w14:schemeClr w14:val="tx1"/>
                        </w14:solidFill>
                      </w14:textFill>
                    </w:rPr>
                    <w:t>规定的相关土地复垦质量控制要求。土地复垦后用作建设用地的，还应满足</w:t>
                  </w:r>
                  <w:r>
                    <w:rPr>
                      <w:color w:val="000000" w:themeColor="text1"/>
                      <w:sz w:val="21"/>
                      <w:szCs w:val="21"/>
                      <w:highlight w:val="none"/>
                      <w14:textFill>
                        <w14:solidFill>
                          <w14:schemeClr w14:val="tx1"/>
                        </w14:solidFill>
                      </w14:textFill>
                    </w:rPr>
                    <w:t>GB36600</w:t>
                  </w:r>
                  <w:r>
                    <w:rPr>
                      <w:rFonts w:hint="eastAsia"/>
                      <w:color w:val="000000" w:themeColor="text1"/>
                      <w:sz w:val="21"/>
                      <w:szCs w:val="21"/>
                      <w:highlight w:val="none"/>
                      <w14:textFill>
                        <w14:solidFill>
                          <w14:schemeClr w14:val="tx1"/>
                        </w14:solidFill>
                      </w14:textFill>
                    </w:rPr>
                    <w:t>的要求；用作农用地的，还应满足</w:t>
                  </w:r>
                  <w:r>
                    <w:rPr>
                      <w:color w:val="000000" w:themeColor="text1"/>
                      <w:sz w:val="21"/>
                      <w:szCs w:val="21"/>
                      <w:highlight w:val="none"/>
                      <w14:textFill>
                        <w14:solidFill>
                          <w14:schemeClr w14:val="tx1"/>
                        </w14:solidFill>
                      </w14:textFill>
                    </w:rPr>
                    <w:t>GB15618</w:t>
                  </w:r>
                  <w:r>
                    <w:rPr>
                      <w:rFonts w:hint="eastAsia"/>
                      <w:color w:val="000000" w:themeColor="text1"/>
                      <w:sz w:val="21"/>
                      <w:szCs w:val="21"/>
                      <w:highlight w:val="none"/>
                      <w14:textFill>
                        <w14:solidFill>
                          <w14:schemeClr w14:val="tx1"/>
                        </w14:solidFill>
                      </w14:textFill>
                    </w:rPr>
                    <w:t>的要求。</w:t>
                  </w:r>
                </w:p>
              </w:tc>
              <w:tc>
                <w:tcPr>
                  <w:tcW w:w="2492" w:type="pct"/>
                  <w:tcBorders>
                    <w:top w:val="single" w:color="auto" w:sz="4" w:space="0"/>
                    <w:left w:val="nil"/>
                    <w:bottom w:val="single" w:color="auto" w:sz="4" w:space="0"/>
                    <w:right w:val="single" w:color="auto" w:sz="4" w:space="0"/>
                  </w:tcBorders>
                  <w:vAlign w:val="center"/>
                </w:tcPr>
                <w:p w14:paraId="618067D9">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修复完成后，按照《土地复垦质量控制标准》（TD/T1036）规定开展土地复垦，项目恢复后用地性质为林草地和旱地，对每一批次入场覆土材料进行检测，质量需满足《土壤环境质量农用地土壤污染风险管控标准（试行）》（</w:t>
                  </w:r>
                  <w:r>
                    <w:rPr>
                      <w:color w:val="000000" w:themeColor="text1"/>
                      <w:sz w:val="21"/>
                      <w:szCs w:val="21"/>
                      <w:highlight w:val="none"/>
                      <w14:textFill>
                        <w14:solidFill>
                          <w14:schemeClr w14:val="tx1"/>
                        </w14:solidFill>
                      </w14:textFill>
                    </w:rPr>
                    <w:t>GB15618-2018</w:t>
                  </w:r>
                  <w:r>
                    <w:rPr>
                      <w:rFonts w:hint="eastAsia"/>
                      <w:color w:val="000000" w:themeColor="text1"/>
                      <w:sz w:val="21"/>
                      <w:szCs w:val="21"/>
                      <w:highlight w:val="none"/>
                      <w14:textFill>
                        <w14:solidFill>
                          <w14:schemeClr w14:val="tx1"/>
                        </w14:solidFill>
                      </w14:textFill>
                    </w:rPr>
                    <w:t>）相关标准限值要求。</w:t>
                  </w:r>
                </w:p>
              </w:tc>
              <w:tc>
                <w:tcPr>
                  <w:tcW w:w="296" w:type="pct"/>
                  <w:tcBorders>
                    <w:top w:val="single" w:color="auto" w:sz="4" w:space="0"/>
                    <w:left w:val="nil"/>
                    <w:bottom w:val="single" w:color="auto" w:sz="4" w:space="0"/>
                    <w:right w:val="single" w:color="auto" w:sz="4" w:space="0"/>
                  </w:tcBorders>
                  <w:vAlign w:val="center"/>
                </w:tcPr>
                <w:p w14:paraId="06AC1554">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6E5892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00" w:type="pct"/>
                  <w:gridSpan w:val="3"/>
                  <w:tcBorders>
                    <w:top w:val="single" w:color="auto" w:sz="4" w:space="0"/>
                    <w:left w:val="single" w:color="auto" w:sz="4" w:space="0"/>
                    <w:bottom w:val="single" w:color="auto" w:sz="4" w:space="0"/>
                    <w:right w:val="single" w:color="auto" w:sz="4" w:space="0"/>
                  </w:tcBorders>
                  <w:vAlign w:val="center"/>
                </w:tcPr>
                <w:p w14:paraId="68E0686C">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10污染物监测要求</w:t>
                  </w:r>
                </w:p>
              </w:tc>
            </w:tr>
            <w:tr w14:paraId="25B0BD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313DC591">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10.2.2</w:t>
                  </w:r>
                  <w:r>
                    <w:rPr>
                      <w:rFonts w:hint="eastAsia"/>
                      <w:color w:val="000000" w:themeColor="text1"/>
                      <w:sz w:val="21"/>
                      <w:szCs w:val="21"/>
                      <w:highlight w:val="none"/>
                      <w14:textFill>
                        <w14:solidFill>
                          <w14:schemeClr w14:val="tx1"/>
                        </w14:solidFill>
                      </w14:textFill>
                    </w:rPr>
                    <w:t>渗滤液及其处理后排放废水污染物的监测频次，应根据废物特性、覆盖层和降水等条件加以确定，至少每月1次。废水污染物的监测分析方法按照</w:t>
                  </w:r>
                  <w:r>
                    <w:rPr>
                      <w:color w:val="000000" w:themeColor="text1"/>
                      <w:sz w:val="21"/>
                      <w:szCs w:val="21"/>
                      <w:highlight w:val="none"/>
                      <w14:textFill>
                        <w14:solidFill>
                          <w14:schemeClr w14:val="tx1"/>
                        </w14:solidFill>
                      </w14:textFill>
                    </w:rPr>
                    <w:t>GB8978</w:t>
                  </w:r>
                  <w:r>
                    <w:rPr>
                      <w:rFonts w:hint="eastAsia"/>
                      <w:color w:val="000000" w:themeColor="text1"/>
                      <w:sz w:val="21"/>
                      <w:szCs w:val="21"/>
                      <w:highlight w:val="none"/>
                      <w14:textFill>
                        <w14:solidFill>
                          <w14:schemeClr w14:val="tx1"/>
                        </w14:solidFill>
                      </w14:textFill>
                    </w:rPr>
                    <w:t>的规定执行。</w:t>
                  </w:r>
                </w:p>
              </w:tc>
              <w:tc>
                <w:tcPr>
                  <w:tcW w:w="2492" w:type="pct"/>
                  <w:tcBorders>
                    <w:top w:val="single" w:color="auto" w:sz="4" w:space="0"/>
                    <w:left w:val="nil"/>
                    <w:bottom w:val="single" w:color="auto" w:sz="4" w:space="0"/>
                    <w:right w:val="single" w:color="auto" w:sz="4" w:space="0"/>
                  </w:tcBorders>
                  <w:vAlign w:val="center"/>
                </w:tcPr>
                <w:p w14:paraId="646A9949">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项目已制定监测计划，对渗滤液水质进行检测，建设单位应严格按照监测计划进行监测。</w:t>
                  </w:r>
                </w:p>
              </w:tc>
              <w:tc>
                <w:tcPr>
                  <w:tcW w:w="296" w:type="pct"/>
                  <w:tcBorders>
                    <w:top w:val="single" w:color="auto" w:sz="4" w:space="0"/>
                    <w:left w:val="nil"/>
                    <w:bottom w:val="single" w:color="auto" w:sz="4" w:space="0"/>
                    <w:right w:val="single" w:color="auto" w:sz="4" w:space="0"/>
                  </w:tcBorders>
                  <w:vAlign w:val="center"/>
                </w:tcPr>
                <w:p w14:paraId="3A4A64CC">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7374C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063F7582">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10.3.2地下水监测井的布置：</w:t>
                  </w:r>
                </w:p>
                <w:p w14:paraId="260A1800">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a）在地下水流场上游应布置1个监测井，在下游至少应布置1个监测井，在可能出现污染扩散区域至少应布置1个监测井。设置有地下水导排系统的，应在地下水主管出口处至少布置1个监测井，用以监测地下水导排系统排水的水质；</w:t>
                  </w:r>
                </w:p>
                <w:p w14:paraId="7392A31A">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c</w:t>
                  </w:r>
                  <w:r>
                    <w:rPr>
                      <w:rFonts w:hint="eastAsia"/>
                      <w:color w:val="000000" w:themeColor="text1"/>
                      <w:sz w:val="21"/>
                      <w:szCs w:val="21"/>
                      <w:highlight w:val="none"/>
                      <w14:textFill>
                        <w14:solidFill>
                          <w14:schemeClr w14:val="tx1"/>
                        </w14:solidFill>
                      </w14:textFill>
                    </w:rPr>
                    <w:t>）当地下水含水层埋藏较深或地下水监测井较难布设的基岩山区，经环境影响评价确认地下水不会受到污染时，可减少地下水监测井的数量；</w:t>
                  </w:r>
                </w:p>
                <w:p w14:paraId="1AE3D6AE">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b</w:t>
                  </w:r>
                  <w:r>
                    <w:rPr>
                      <w:rFonts w:hint="eastAsia"/>
                      <w:color w:val="000000" w:themeColor="text1"/>
                      <w:sz w:val="21"/>
                      <w:szCs w:val="21"/>
                      <w:highlight w:val="none"/>
                      <w14:textFill>
                        <w14:solidFill>
                          <w14:schemeClr w14:val="tx1"/>
                        </w14:solidFill>
                      </w14:textFill>
                    </w:rPr>
                    <w:t>）封场后，地下水监测系统应继续正常运行，监测频次至少每半年1次，直到地下水水质连续2年不超出地下水本底水平。</w:t>
                  </w:r>
                </w:p>
              </w:tc>
              <w:tc>
                <w:tcPr>
                  <w:tcW w:w="2492" w:type="pct"/>
                  <w:tcBorders>
                    <w:top w:val="single" w:color="auto" w:sz="4" w:space="0"/>
                    <w:left w:val="nil"/>
                    <w:bottom w:val="single" w:color="auto" w:sz="4" w:space="0"/>
                    <w:right w:val="single" w:color="auto" w:sz="4" w:space="0"/>
                  </w:tcBorders>
                  <w:vAlign w:val="center"/>
                </w:tcPr>
                <w:p w14:paraId="60000443">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本次评价共设置</w:t>
                  </w:r>
                  <w:r>
                    <w:rPr>
                      <w:rFonts w:hint="eastAsia" w:ascii="宋体" w:hAnsi="宋体"/>
                      <w:kern w:val="0"/>
                      <w:sz w:val="21"/>
                      <w:szCs w:val="21"/>
                    </w:rPr>
                    <w:t>7</w:t>
                  </w:r>
                  <w:r>
                    <w:rPr>
                      <w:rFonts w:ascii="宋体" w:hAnsi="宋体"/>
                      <w:kern w:val="0"/>
                      <w:sz w:val="21"/>
                      <w:szCs w:val="21"/>
                    </w:rPr>
                    <w:t>口地下水监测井</w:t>
                  </w:r>
                  <w:r>
                    <w:rPr>
                      <w:rFonts w:hint="eastAsia"/>
                      <w:kern w:val="0"/>
                      <w:sz w:val="21"/>
                      <w:szCs w:val="21"/>
                      <w:lang w:bidi="ar"/>
                    </w:rPr>
                    <w:t>。</w:t>
                  </w:r>
                  <w:r>
                    <w:rPr>
                      <w:rFonts w:hint="eastAsia"/>
                      <w:color w:val="000000" w:themeColor="text1"/>
                      <w:sz w:val="21"/>
                      <w:szCs w:val="21"/>
                      <w:highlight w:val="none"/>
                      <w14:textFill>
                        <w14:solidFill>
                          <w14:schemeClr w14:val="tx1"/>
                        </w14:solidFill>
                      </w14:textFill>
                    </w:rPr>
                    <w:t>项目已制定监测计划，对渗滤液水质进行检测，建设单位应严格按照监测计划进行监测。</w:t>
                  </w:r>
                </w:p>
              </w:tc>
              <w:tc>
                <w:tcPr>
                  <w:tcW w:w="296" w:type="pct"/>
                  <w:tcBorders>
                    <w:top w:val="single" w:color="auto" w:sz="4" w:space="0"/>
                    <w:left w:val="nil"/>
                    <w:bottom w:val="single" w:color="auto" w:sz="4" w:space="0"/>
                    <w:right w:val="single" w:color="auto" w:sz="4" w:space="0"/>
                  </w:tcBorders>
                  <w:vAlign w:val="center"/>
                </w:tcPr>
                <w:p w14:paraId="0DD1B908">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97E8A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211" w:type="pct"/>
                  <w:tcBorders>
                    <w:top w:val="single" w:color="auto" w:sz="4" w:space="0"/>
                    <w:left w:val="single" w:color="auto" w:sz="4" w:space="0"/>
                    <w:bottom w:val="single" w:color="auto" w:sz="4" w:space="0"/>
                    <w:right w:val="single" w:color="auto" w:sz="4" w:space="0"/>
                  </w:tcBorders>
                  <w:vAlign w:val="center"/>
                </w:tcPr>
                <w:p w14:paraId="1B407FA9">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10.6</w:t>
                  </w:r>
                  <w:r>
                    <w:rPr>
                      <w:rFonts w:hint="eastAsia"/>
                      <w:color w:val="000000" w:themeColor="text1"/>
                      <w:sz w:val="21"/>
                      <w:szCs w:val="21"/>
                      <w:highlight w:val="none"/>
                      <w14:textFill>
                        <w14:solidFill>
                          <w14:schemeClr w14:val="tx1"/>
                        </w14:solidFill>
                      </w14:textFill>
                    </w:rPr>
                    <w:t>土壤监测要求</w:t>
                  </w:r>
                </w:p>
                <w:p w14:paraId="22F1D72A">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10.6.1</w:t>
                  </w:r>
                  <w:r>
                    <w:rPr>
                      <w:rFonts w:hint="eastAsia"/>
                      <w:color w:val="000000" w:themeColor="text1"/>
                      <w:sz w:val="21"/>
                      <w:szCs w:val="21"/>
                      <w:highlight w:val="none"/>
                      <w14:textFill>
                        <w14:solidFill>
                          <w14:schemeClr w14:val="tx1"/>
                        </w14:solidFill>
                      </w14:textFill>
                    </w:rPr>
                    <w:t>贮存场、填埋场投入使用之前，企业应监测土壤本底水平。</w:t>
                  </w:r>
                </w:p>
                <w:p w14:paraId="3D8E03F6">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10.6.3</w:t>
                  </w:r>
                  <w:r>
                    <w:rPr>
                      <w:rFonts w:hint="eastAsia"/>
                      <w:color w:val="000000" w:themeColor="text1"/>
                      <w:sz w:val="21"/>
                      <w:szCs w:val="21"/>
                      <w:highlight w:val="none"/>
                      <w14:textFill>
                        <w14:solidFill>
                          <w14:schemeClr w14:val="tx1"/>
                        </w14:solidFill>
                      </w14:textFill>
                    </w:rPr>
                    <w:t>依据地形特征、主导风向和地表径流方向，在可能产生影响的土壤环境敏感目标处布设土壤监测点。</w:t>
                  </w:r>
                </w:p>
                <w:p w14:paraId="180661E4">
                  <w:pPr>
                    <w:widowControl/>
                    <w:spacing w:line="240" w:lineRule="auto"/>
                    <w:ind w:firstLine="0" w:firstLineChars="0"/>
                    <w:jc w:val="left"/>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10.6.5</w:t>
                  </w:r>
                  <w:r>
                    <w:rPr>
                      <w:rFonts w:hint="eastAsia"/>
                      <w:color w:val="000000" w:themeColor="text1"/>
                      <w:sz w:val="21"/>
                      <w:szCs w:val="21"/>
                      <w:highlight w:val="none"/>
                      <w14:textFill>
                        <w14:solidFill>
                          <w14:schemeClr w14:val="tx1"/>
                        </w14:solidFill>
                      </w14:textFill>
                    </w:rPr>
                    <w:t>土壤监测因子由企业根据贮存及填埋废物的特性提出，必须具有代表性且能表征固体废物特性。土壤监测因子的分析方法按照</w:t>
                  </w:r>
                  <w:r>
                    <w:rPr>
                      <w:color w:val="000000" w:themeColor="text1"/>
                      <w:sz w:val="21"/>
                      <w:szCs w:val="21"/>
                      <w:highlight w:val="none"/>
                      <w14:textFill>
                        <w14:solidFill>
                          <w14:schemeClr w14:val="tx1"/>
                        </w14:solidFill>
                      </w14:textFill>
                    </w:rPr>
                    <w:t>GB36600</w:t>
                  </w:r>
                  <w:r>
                    <w:rPr>
                      <w:rFonts w:hint="eastAsia"/>
                      <w:color w:val="000000" w:themeColor="text1"/>
                      <w:sz w:val="21"/>
                      <w:szCs w:val="21"/>
                      <w:highlight w:val="none"/>
                      <w14:textFill>
                        <w14:solidFill>
                          <w14:schemeClr w14:val="tx1"/>
                        </w14:solidFill>
                      </w14:textFill>
                    </w:rPr>
                    <w:t>的规定执行。</w:t>
                  </w:r>
                </w:p>
              </w:tc>
              <w:tc>
                <w:tcPr>
                  <w:tcW w:w="2492" w:type="pct"/>
                  <w:tcBorders>
                    <w:top w:val="single" w:color="auto" w:sz="4" w:space="0"/>
                    <w:left w:val="nil"/>
                    <w:bottom w:val="single" w:color="auto" w:sz="4" w:space="0"/>
                    <w:right w:val="single" w:color="auto" w:sz="4" w:space="0"/>
                  </w:tcBorders>
                  <w:vAlign w:val="center"/>
                </w:tcPr>
                <w:p w14:paraId="010C53DB">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①项目已开展该区域土壤环境质量现状监测；</w:t>
                  </w:r>
                </w:p>
                <w:p w14:paraId="6EDBDAE5">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②监测计划中已明确土壤跟踪监测要求；</w:t>
                  </w:r>
                </w:p>
                <w:p w14:paraId="0D3A2B85">
                  <w:pPr>
                    <w:widowControl/>
                    <w:spacing w:line="240" w:lineRule="auto"/>
                    <w:ind w:firstLine="0" w:firstLineChars="0"/>
                    <w:jc w:val="left"/>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③土壤监测因子的分析方法按照</w:t>
                  </w:r>
                  <w:r>
                    <w:rPr>
                      <w:color w:val="000000" w:themeColor="text1"/>
                      <w:sz w:val="21"/>
                      <w:szCs w:val="21"/>
                      <w:highlight w:val="none"/>
                      <w14:textFill>
                        <w14:solidFill>
                          <w14:schemeClr w14:val="tx1"/>
                        </w14:solidFill>
                      </w14:textFill>
                    </w:rPr>
                    <w:t>GB36600</w:t>
                  </w:r>
                  <w:r>
                    <w:rPr>
                      <w:rFonts w:hint="eastAsia"/>
                      <w:color w:val="000000" w:themeColor="text1"/>
                      <w:sz w:val="21"/>
                      <w:szCs w:val="21"/>
                      <w:highlight w:val="none"/>
                      <w14:textFill>
                        <w14:solidFill>
                          <w14:schemeClr w14:val="tx1"/>
                        </w14:solidFill>
                      </w14:textFill>
                    </w:rPr>
                    <w:t>的规定执行。</w:t>
                  </w:r>
                </w:p>
              </w:tc>
              <w:tc>
                <w:tcPr>
                  <w:tcW w:w="296" w:type="pct"/>
                  <w:tcBorders>
                    <w:top w:val="single" w:color="auto" w:sz="4" w:space="0"/>
                    <w:left w:val="nil"/>
                    <w:bottom w:val="single" w:color="auto" w:sz="4" w:space="0"/>
                    <w:right w:val="single" w:color="auto" w:sz="4" w:space="0"/>
                  </w:tcBorders>
                  <w:vAlign w:val="center"/>
                </w:tcPr>
                <w:p w14:paraId="13977AAA">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bl>
          <w:p w14:paraId="2CEF1932">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综上，项目建设符合《一般工业固体废物贮存和填埋污染控制标准》（GB18599-2020）。</w:t>
            </w:r>
          </w:p>
          <w:p w14:paraId="6CD1AC7D">
            <w:pPr>
              <w:widowControl/>
              <w:adjustRightInd w:val="0"/>
              <w:snapToGrid w:val="0"/>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9、项目与《关于磷石膏无害化后用于矿坑生态修复项目有关事宜的复函》符合性分析</w:t>
            </w:r>
          </w:p>
          <w:p w14:paraId="44010FB2">
            <w:pPr>
              <w:widowControl/>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2022年7月5日生态环境部办公厅发布了环办环评函〔</w:t>
            </w:r>
            <w:r>
              <w:rPr>
                <w:color w:val="000000" w:themeColor="text1"/>
                <w:kern w:val="0"/>
                <w:highlight w:val="none"/>
                <w:lang w:bidi="ar"/>
                <w14:textFill>
                  <w14:solidFill>
                    <w14:schemeClr w14:val="tx1"/>
                  </w14:solidFill>
                </w14:textFill>
              </w:rPr>
              <w:t>2022</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273</w:t>
            </w:r>
            <w:r>
              <w:rPr>
                <w:rFonts w:hint="eastAsia"/>
                <w:color w:val="000000" w:themeColor="text1"/>
                <w:kern w:val="0"/>
                <w:highlight w:val="none"/>
                <w:lang w:bidi="ar"/>
                <w14:textFill>
                  <w14:solidFill>
                    <w14:schemeClr w14:val="tx1"/>
                  </w14:solidFill>
                </w14:textFill>
              </w:rPr>
              <w:t>号《关于磷石膏无害化后用于矿坑生态修复项目有关事宜的复函》。对磷石膏回填矿坑做出相关规定：《关于“十四五”大宗固体废弃物综合利用的指导意见》《加快推动工业资源综合利用实施方案》提出，在确保安全环保前提下，探索将磷石膏应用于井下充填、地下采空区充填等。磷石膏用于矿坑回填不属于《关于做好“三磷”建设项目环境影响评价与排污许可管理工作的通知》中“不得新建、扩建磷石膏库（暂存场除外）”的情形。我部鼓励地方因地制宜制定磷石膏无害化处理方案，拓展多领域、多途径、多方式资源化利用。</w:t>
            </w:r>
          </w:p>
          <w:p w14:paraId="562D9F37">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该项目利用改性磷石膏基生态修复材料回填矿坑与该规定相符。磷石膏回填矿坑做好相关工作：（一）做好回填可行性评估，回填前应开展自然环境、环境质量本底和环境保护目标等内容调查，收集回填区域地质结构、地形地貌、水文地质条件、气象与土地利用和生态现状等基础资料，按照《建设用地土壤污染风险评估技术导则》（</w:t>
            </w:r>
            <w:r>
              <w:rPr>
                <w:color w:val="000000" w:themeColor="text1"/>
                <w:kern w:val="0"/>
                <w:highlight w:val="none"/>
                <w:lang w:bidi="ar"/>
                <w14:textFill>
                  <w14:solidFill>
                    <w14:schemeClr w14:val="tx1"/>
                  </w14:solidFill>
                </w14:textFill>
              </w:rPr>
              <w:t>HJ25.3</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2019</w:t>
            </w:r>
            <w:r>
              <w:rPr>
                <w:rFonts w:hint="eastAsia"/>
                <w:color w:val="000000" w:themeColor="text1"/>
                <w:kern w:val="0"/>
                <w:highlight w:val="none"/>
                <w:lang w:bidi="ar"/>
                <w14:textFill>
                  <w14:solidFill>
                    <w14:schemeClr w14:val="tx1"/>
                  </w14:solidFill>
                </w14:textFill>
              </w:rPr>
              <w:t>）等相关标准进行环境风险评估，重点评估对地下水、地表水及周边土壤的环境污染风险，确保环境风险可以接受。该项目已开展了环境本底调查及风险评估工作，根据风险评估报告及审查意见，项目采取了相应的污染防治措施后，环境风险可以接受。（二）加强磷石膏质量指标控制，该项目回填的改性磷石膏基生态修复材料由寻甸县科技和工业信息化局提供，设置专人管理，要求入场前提供每批次改性磷石膏基生态修复材料的检测报告，确保达到一般工业固废Ⅰ类标准后再入场回填。严禁混入危险废物、放射性废物、生活垃圾性质相近的一般工业固体废物以及其他有机物含量超过</w:t>
            </w:r>
            <w:r>
              <w:rPr>
                <w:color w:val="000000" w:themeColor="text1"/>
                <w:kern w:val="0"/>
                <w:highlight w:val="none"/>
                <w:lang w:bidi="ar"/>
                <w14:textFill>
                  <w14:solidFill>
                    <w14:schemeClr w14:val="tx1"/>
                  </w14:solidFill>
                </w14:textFill>
              </w:rPr>
              <w:t>5%</w:t>
            </w:r>
            <w:r>
              <w:rPr>
                <w:rFonts w:hint="eastAsia"/>
                <w:color w:val="000000" w:themeColor="text1"/>
                <w:kern w:val="0"/>
                <w:highlight w:val="none"/>
                <w:lang w:bidi="ar"/>
                <w14:textFill>
                  <w14:solidFill>
                    <w14:schemeClr w14:val="tx1"/>
                  </w14:solidFill>
                </w14:textFill>
              </w:rPr>
              <w:t>的一般工业固体废物。（三）落实污染防治主体责任，为防止该项目对环境造成影响，该项目采取设置周边截洪沟、场内排水沟，渗滤液收集设施，基础处理、底部、内边坡、顶部设置防渗层，对渗滤液、地下水、土壤进行监测等措施来对环境进行保护。</w:t>
            </w:r>
          </w:p>
          <w:p w14:paraId="64BAA7DC">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根据《云南省寻甸县大旋塘采石场废弃矿坑生态修复环境风险评估报告》可知，项目实施后对区域生态环境恢复以及对提高区域改性磷石膏基生态修复材料综合利用率具有积极作用。项目选址符合环境保护法律法规及相关法定规划的要求，与该区域生态环境保护、矿山生态修复计划、水土资源保持目标相一致。项目区及周边环境质量良好，在采取相关措施后，项目渗滤液泄漏的概率很低，对引起土壤氟化物污染的风险较低。项目实施后，林草植被覆盖率的增加，能改善土壤物理、化学性状，提高土壤肥力，项目实施对该区域土壤结构改善有积极意义。对施工废水以及渗滤液进行收集，收集设施与项目区做好防渗后，对周边区域地表水、地下水影响较小。项目实施对项目区土壤、地下水、地表水环境和风险受体存在的风险可接受，项目实施可行，建设单位应该认真按照设计方案进行施工建设，并认真委托专业单位开展施工监理工作，生态修复回填作业过程中定期对回填完毕台阶和截排水沟进行巡检，根据应急预案做好各项风险防范措施，完善管理制度，项目环境风险可控。</w:t>
            </w:r>
          </w:p>
          <w:p w14:paraId="605FC47B">
            <w:pPr>
              <w:widowControl/>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综上，该项目符合复函对磷石膏回填矿坑的相关规定，同时做好利用改性磷石膏生态修复材料回填的相关工作。</w:t>
            </w:r>
          </w:p>
          <w:p w14:paraId="1CA020A7">
            <w:pPr>
              <w:widowControl/>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10、项目与《地下水管理条例》（2021年12月1日起施行）符合性分析</w:t>
            </w:r>
          </w:p>
          <w:p w14:paraId="30EA9FE2">
            <w:pPr>
              <w:widowControl/>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项目属于废弃矿坑生态修复项目，根据《地下水管理条例》，第五章第四十条、第四十一条、第四十二条，禁止下列污染或者可能污染地下水的行为，并采取以下地下水污染防治措施：</w:t>
            </w:r>
          </w:p>
          <w:p w14:paraId="4B4AE6B2">
            <w:pPr>
              <w:widowControl/>
              <w:adjustRightInd w:val="0"/>
              <w:snapToGrid w:val="0"/>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表1-7  本项目与《</w:t>
            </w:r>
            <w:r>
              <w:rPr>
                <w:rFonts w:hint="eastAsia"/>
                <w:b/>
                <w:bCs/>
                <w:color w:val="000000" w:themeColor="text1"/>
                <w:kern w:val="0"/>
                <w:sz w:val="21"/>
                <w:szCs w:val="21"/>
                <w:highlight w:val="none"/>
                <w14:textFill>
                  <w14:solidFill>
                    <w14:schemeClr w14:val="tx1"/>
                  </w14:solidFill>
                </w14:textFill>
              </w:rPr>
              <w:t>地下水管理条例》</w:t>
            </w:r>
            <w:r>
              <w:rPr>
                <w:rFonts w:hint="eastAsia"/>
                <w:b/>
                <w:bCs/>
                <w:color w:val="000000" w:themeColor="text1"/>
                <w:kern w:val="0"/>
                <w:sz w:val="21"/>
                <w:szCs w:val="21"/>
                <w:highlight w:val="none"/>
                <w:lang w:bidi="ar"/>
                <w14:textFill>
                  <w14:solidFill>
                    <w14:schemeClr w14:val="tx1"/>
                  </w14:solidFill>
                </w14:textFill>
              </w:rPr>
              <w:t>符合性分析</w:t>
            </w:r>
          </w:p>
          <w:tbl>
            <w:tblPr>
              <w:tblStyle w:val="40"/>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52"/>
              <w:gridCol w:w="3525"/>
              <w:gridCol w:w="609"/>
            </w:tblGrid>
            <w:tr w14:paraId="310646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54CE2795">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标准要求</w:t>
                  </w:r>
                </w:p>
              </w:tc>
              <w:tc>
                <w:tcPr>
                  <w:tcW w:w="3525" w:type="dxa"/>
                  <w:tcBorders>
                    <w:top w:val="single" w:color="auto" w:sz="4" w:space="0"/>
                    <w:left w:val="nil"/>
                    <w:bottom w:val="single" w:color="auto" w:sz="4" w:space="0"/>
                    <w:right w:val="single" w:color="auto" w:sz="4" w:space="0"/>
                  </w:tcBorders>
                  <w:vAlign w:val="center"/>
                </w:tcPr>
                <w:p w14:paraId="11FD75E4">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本项目情况</w:t>
                  </w:r>
                </w:p>
              </w:tc>
              <w:tc>
                <w:tcPr>
                  <w:tcW w:w="609" w:type="dxa"/>
                  <w:tcBorders>
                    <w:top w:val="single" w:color="auto" w:sz="4" w:space="0"/>
                    <w:left w:val="nil"/>
                    <w:bottom w:val="single" w:color="auto" w:sz="4" w:space="0"/>
                    <w:right w:val="single" w:color="auto" w:sz="4" w:space="0"/>
                  </w:tcBorders>
                  <w:vAlign w:val="center"/>
                </w:tcPr>
                <w:p w14:paraId="4C2EBD60">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符合性</w:t>
                  </w:r>
                </w:p>
              </w:tc>
            </w:tr>
            <w:tr w14:paraId="2AEE89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7886" w:type="dxa"/>
                  <w:gridSpan w:val="3"/>
                  <w:tcBorders>
                    <w:top w:val="single" w:color="auto" w:sz="4" w:space="0"/>
                    <w:left w:val="single" w:color="auto" w:sz="4" w:space="0"/>
                    <w:bottom w:val="single" w:color="auto" w:sz="4" w:space="0"/>
                    <w:right w:val="single" w:color="auto" w:sz="4" w:space="0"/>
                  </w:tcBorders>
                  <w:vAlign w:val="center"/>
                </w:tcPr>
                <w:p w14:paraId="1F5D4876">
                  <w:pPr>
                    <w:widowControl/>
                    <w:spacing w:line="240" w:lineRule="auto"/>
                    <w:ind w:firstLine="0" w:firstLineChars="0"/>
                    <w:jc w:val="center"/>
                    <w:rPr>
                      <w:b/>
                      <w:bCs/>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第四十条禁止下列污染或者可能污染地下水的行为</w:t>
                  </w:r>
                </w:p>
              </w:tc>
            </w:tr>
            <w:tr w14:paraId="1579BA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006CBEE2">
                  <w:pPr>
                    <w:widowControl/>
                    <w:spacing w:line="240" w:lineRule="auto"/>
                    <w:ind w:firstLine="0" w:firstLineChars="0"/>
                    <w:rPr>
                      <w:color w:val="000000" w:themeColor="text1"/>
                      <w:sz w:val="21"/>
                      <w:szCs w:val="21"/>
                      <w:highlight w:val="none"/>
                      <w14:textFill>
                        <w14:solidFill>
                          <w14:schemeClr w14:val="tx1"/>
                        </w14:solidFill>
                      </w14:textFill>
                    </w:rPr>
                  </w:pPr>
                  <w:r>
                    <w:rPr>
                      <w:color w:val="000000" w:themeColor="text1"/>
                      <w:sz w:val="21"/>
                      <w:szCs w:val="21"/>
                      <w:highlight w:val="none"/>
                      <w14:textFill>
                        <w14:solidFill>
                          <w14:schemeClr w14:val="tx1"/>
                        </w14:solidFill>
                      </w14:textFill>
                    </w:rPr>
                    <w:t>（一）利用渗井、渗坑、裂隙、溶洞以及私设暗管等逃避监</w:t>
                  </w:r>
                  <w:r>
                    <w:rPr>
                      <w:rFonts w:hint="eastAsia"/>
                      <w:color w:val="000000" w:themeColor="text1"/>
                      <w:sz w:val="21"/>
                      <w:szCs w:val="21"/>
                      <w:highlight w:val="none"/>
                      <w14:textFill>
                        <w14:solidFill>
                          <w14:schemeClr w14:val="tx1"/>
                        </w14:solidFill>
                      </w14:textFill>
                    </w:rPr>
                    <w:t>管的方式排放水污染物。</w:t>
                  </w:r>
                </w:p>
              </w:tc>
              <w:tc>
                <w:tcPr>
                  <w:tcW w:w="3525" w:type="dxa"/>
                  <w:tcBorders>
                    <w:top w:val="single" w:color="auto" w:sz="4" w:space="0"/>
                    <w:left w:val="nil"/>
                    <w:bottom w:val="single" w:color="auto" w:sz="4" w:space="0"/>
                    <w:right w:val="single" w:color="auto" w:sz="4" w:space="0"/>
                  </w:tcBorders>
                  <w:vAlign w:val="center"/>
                </w:tcPr>
                <w:p w14:paraId="5E1FABD1">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项目施工废水经收集沉淀后回用；渗滤液收集到渗滤液收集井后回用于回填区洒水降尘。</w:t>
                  </w:r>
                </w:p>
              </w:tc>
              <w:tc>
                <w:tcPr>
                  <w:tcW w:w="609" w:type="dxa"/>
                  <w:tcBorders>
                    <w:top w:val="single" w:color="auto" w:sz="4" w:space="0"/>
                    <w:left w:val="nil"/>
                    <w:bottom w:val="single" w:color="auto" w:sz="4" w:space="0"/>
                    <w:right w:val="single" w:color="auto" w:sz="4" w:space="0"/>
                  </w:tcBorders>
                  <w:vAlign w:val="center"/>
                </w:tcPr>
                <w:p w14:paraId="6B4320AD">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26976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52" w:type="dxa"/>
                  <w:tcBorders>
                    <w:top w:val="single" w:color="auto" w:sz="4" w:space="0"/>
                    <w:left w:val="single" w:color="auto" w:sz="4" w:space="0"/>
                    <w:bottom w:val="single" w:color="auto" w:sz="4" w:space="0"/>
                    <w:right w:val="single" w:color="auto" w:sz="4" w:space="0"/>
                  </w:tcBorders>
                  <w:vAlign w:val="center"/>
                </w:tcPr>
                <w:p w14:paraId="3844B26A">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（二）利用岩层孔隙、裂隙、溶洞、废弃矿坑等贮存石化原料及产品、农药、危险废物、城镇污水处理设施产生的污泥和处理后的污泥或者其他有毒有害物质。</w:t>
                  </w:r>
                </w:p>
              </w:tc>
              <w:tc>
                <w:tcPr>
                  <w:tcW w:w="3525" w:type="dxa"/>
                  <w:tcBorders>
                    <w:top w:val="single" w:color="auto" w:sz="4" w:space="0"/>
                    <w:left w:val="nil"/>
                    <w:bottom w:val="single" w:color="auto" w:sz="4" w:space="0"/>
                    <w:right w:val="single" w:color="auto" w:sz="4" w:space="0"/>
                  </w:tcBorders>
                  <w:vAlign w:val="center"/>
                </w:tcPr>
                <w:p w14:paraId="4462A733">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项目采用合格的改性磷石膏作为生态修复材料，根据属性鉴别报告，本项目</w:t>
                  </w:r>
                  <w:r>
                    <w:rPr>
                      <w:rFonts w:hint="eastAsia"/>
                      <w:color w:val="000000" w:themeColor="text1"/>
                      <w:kern w:val="0"/>
                      <w:sz w:val="21"/>
                      <w:szCs w:val="21"/>
                      <w:highlight w:val="none"/>
                      <w:lang w:bidi="ar"/>
                      <w14:textFill>
                        <w14:solidFill>
                          <w14:schemeClr w14:val="tx1"/>
                        </w14:solidFill>
                      </w14:textFill>
                    </w:rPr>
                    <w:t>不属于危险废物或者其他有毒有害物质。</w:t>
                  </w:r>
                </w:p>
              </w:tc>
              <w:tc>
                <w:tcPr>
                  <w:tcW w:w="609" w:type="dxa"/>
                  <w:tcBorders>
                    <w:top w:val="nil"/>
                    <w:left w:val="nil"/>
                    <w:bottom w:val="single" w:color="auto" w:sz="4" w:space="0"/>
                    <w:right w:val="single" w:color="auto" w:sz="4" w:space="0"/>
                  </w:tcBorders>
                  <w:vAlign w:val="center"/>
                </w:tcPr>
                <w:p w14:paraId="58A75E75">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42BC9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1EEC429C">
                  <w:pPr>
                    <w:widowControl/>
                    <w:numPr>
                      <w:ilvl w:val="0"/>
                      <w:numId w:val="5"/>
                    </w:numPr>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利用无防渗漏措施的沟渠、坑塘等输送或者贮存含有毒污染物的废水、含病原体的污水和其他废弃物。</w:t>
                  </w:r>
                </w:p>
              </w:tc>
              <w:tc>
                <w:tcPr>
                  <w:tcW w:w="3525" w:type="dxa"/>
                  <w:tcBorders>
                    <w:top w:val="single" w:color="auto" w:sz="4" w:space="0"/>
                    <w:left w:val="nil"/>
                    <w:bottom w:val="single" w:color="auto" w:sz="4" w:space="0"/>
                    <w:right w:val="single" w:color="auto" w:sz="4" w:space="0"/>
                  </w:tcBorders>
                  <w:vAlign w:val="center"/>
                </w:tcPr>
                <w:p w14:paraId="2F87E26E">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项目不涉及贮存含有毒污染物的废水、含病原体的污水和其他废弃物。</w:t>
                  </w:r>
                </w:p>
              </w:tc>
              <w:tc>
                <w:tcPr>
                  <w:tcW w:w="609" w:type="dxa"/>
                  <w:tcBorders>
                    <w:top w:val="single" w:color="auto" w:sz="4" w:space="0"/>
                    <w:left w:val="nil"/>
                    <w:bottom w:val="single" w:color="auto" w:sz="4" w:space="0"/>
                    <w:right w:val="single" w:color="auto" w:sz="4" w:space="0"/>
                  </w:tcBorders>
                  <w:vAlign w:val="center"/>
                </w:tcPr>
                <w:p w14:paraId="1E3BC06A">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707AFA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10C811F0">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（四）法律法规禁止的其他污染或者可能污染地下水的行为。</w:t>
                  </w:r>
                </w:p>
              </w:tc>
              <w:tc>
                <w:tcPr>
                  <w:tcW w:w="3525" w:type="dxa"/>
                  <w:tcBorders>
                    <w:top w:val="single" w:color="auto" w:sz="4" w:space="0"/>
                    <w:left w:val="nil"/>
                    <w:bottom w:val="single" w:color="auto" w:sz="4" w:space="0"/>
                    <w:right w:val="single" w:color="auto" w:sz="4" w:space="0"/>
                  </w:tcBorders>
                  <w:vAlign w:val="center"/>
                </w:tcPr>
                <w:p w14:paraId="4D09B7A8">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项目不涉及法律法规禁止的其他污染或者可能污染地下水的行为。</w:t>
                  </w:r>
                </w:p>
              </w:tc>
              <w:tc>
                <w:tcPr>
                  <w:tcW w:w="609" w:type="dxa"/>
                  <w:tcBorders>
                    <w:top w:val="single" w:color="auto" w:sz="4" w:space="0"/>
                    <w:left w:val="nil"/>
                    <w:bottom w:val="single" w:color="auto" w:sz="4" w:space="0"/>
                    <w:right w:val="single" w:color="auto" w:sz="4" w:space="0"/>
                  </w:tcBorders>
                  <w:vAlign w:val="center"/>
                </w:tcPr>
                <w:p w14:paraId="38C74EC3">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641DEF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886" w:type="dxa"/>
                  <w:gridSpan w:val="3"/>
                  <w:tcBorders>
                    <w:top w:val="single" w:color="auto" w:sz="4" w:space="0"/>
                    <w:left w:val="single" w:color="auto" w:sz="4" w:space="0"/>
                    <w:bottom w:val="single" w:color="auto" w:sz="4" w:space="0"/>
                    <w:right w:val="single" w:color="auto" w:sz="4" w:space="0"/>
                  </w:tcBorders>
                  <w:vAlign w:val="center"/>
                </w:tcPr>
                <w:p w14:paraId="3142AF07">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第四十一条企业事业单位和其他生产经营者应当采取下列措施，防止地下水污染</w:t>
                  </w:r>
                </w:p>
              </w:tc>
            </w:tr>
            <w:tr w14:paraId="36652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337E1B2F">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（一）兴建地下工程设施或者进行地下勘探、采矿等活动，依法编制的环境影响评价文件中，应当包括地下水污染防治的内容，并采取防护性措施。</w:t>
                  </w:r>
                </w:p>
              </w:tc>
              <w:tc>
                <w:tcPr>
                  <w:tcW w:w="3525" w:type="dxa"/>
                  <w:tcBorders>
                    <w:top w:val="single" w:color="auto" w:sz="4" w:space="0"/>
                    <w:left w:val="nil"/>
                    <w:bottom w:val="single" w:color="auto" w:sz="4" w:space="0"/>
                    <w:right w:val="single" w:color="auto" w:sz="4" w:space="0"/>
                  </w:tcBorders>
                  <w:vAlign w:val="center"/>
                </w:tcPr>
                <w:p w14:paraId="5889A92C">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项目为废弃矿坑生态修复项目，不属于兴建地下工程设施、地下勘探、采矿等活动，本次即为环境影响评价工作，且在报告后文已提出相应的地下水污染防治措施。</w:t>
                  </w:r>
                </w:p>
              </w:tc>
              <w:tc>
                <w:tcPr>
                  <w:tcW w:w="609" w:type="dxa"/>
                  <w:tcBorders>
                    <w:top w:val="single" w:color="auto" w:sz="4" w:space="0"/>
                    <w:left w:val="nil"/>
                    <w:bottom w:val="single" w:color="auto" w:sz="4" w:space="0"/>
                    <w:right w:val="single" w:color="auto" w:sz="4" w:space="0"/>
                  </w:tcBorders>
                  <w:vAlign w:val="center"/>
                </w:tcPr>
                <w:p w14:paraId="35805085">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47EE1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3D87A981">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（二）化学品生产企业以及工业集聚区、矿山开采区、尾矿库、危险废物处置场、垃圾填埋场等的运营、管理单位，应当采取防渗漏等措施，并建设地下水水质监测井进行监测。</w:t>
                  </w:r>
                </w:p>
              </w:tc>
              <w:tc>
                <w:tcPr>
                  <w:tcW w:w="3525" w:type="dxa"/>
                  <w:tcBorders>
                    <w:top w:val="single" w:color="auto" w:sz="4" w:space="0"/>
                    <w:left w:val="nil"/>
                    <w:bottom w:val="single" w:color="auto" w:sz="4" w:space="0"/>
                    <w:right w:val="single" w:color="auto" w:sz="4" w:space="0"/>
                  </w:tcBorders>
                  <w:vAlign w:val="center"/>
                </w:tcPr>
                <w:p w14:paraId="37E70F92">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项目已制定了相应的地下水污染防治措施，基础处理底部、内边坡、顶部均设置了土工布、防渗膜防渗漏措施；设置地下水监控井，对地下水水质进行跟踪监测。</w:t>
                  </w:r>
                </w:p>
              </w:tc>
              <w:tc>
                <w:tcPr>
                  <w:tcW w:w="609" w:type="dxa"/>
                  <w:tcBorders>
                    <w:top w:val="single" w:color="auto" w:sz="4" w:space="0"/>
                    <w:left w:val="nil"/>
                    <w:bottom w:val="single" w:color="auto" w:sz="4" w:space="0"/>
                    <w:right w:val="single" w:color="auto" w:sz="4" w:space="0"/>
                  </w:tcBorders>
                  <w:vAlign w:val="center"/>
                </w:tcPr>
                <w:p w14:paraId="5DAD4582">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0A5705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37993B07">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（三）加油站等的地下油罐应当使用双层罐或者采取建造防渗池等其他有效措施，并进行防渗漏监测。</w:t>
                  </w:r>
                </w:p>
              </w:tc>
              <w:tc>
                <w:tcPr>
                  <w:tcW w:w="3525" w:type="dxa"/>
                  <w:tcBorders>
                    <w:top w:val="single" w:color="auto" w:sz="4" w:space="0"/>
                    <w:left w:val="nil"/>
                    <w:bottom w:val="single" w:color="auto" w:sz="4" w:space="0"/>
                    <w:right w:val="single" w:color="auto" w:sz="4" w:space="0"/>
                  </w:tcBorders>
                  <w:vAlign w:val="center"/>
                </w:tcPr>
                <w:p w14:paraId="6C9D83A3">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项目为废弃矿坑生态修复项目，不属于加油站项目。</w:t>
                  </w:r>
                </w:p>
              </w:tc>
              <w:tc>
                <w:tcPr>
                  <w:tcW w:w="609" w:type="dxa"/>
                  <w:tcBorders>
                    <w:top w:val="single" w:color="auto" w:sz="4" w:space="0"/>
                    <w:left w:val="nil"/>
                    <w:bottom w:val="single" w:color="auto" w:sz="4" w:space="0"/>
                    <w:right w:val="single" w:color="auto" w:sz="4" w:space="0"/>
                  </w:tcBorders>
                  <w:vAlign w:val="center"/>
                </w:tcPr>
                <w:p w14:paraId="42606F70">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C4BF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282ED736">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（四）存放可溶性剧毒废渣的场所，应当采取防水、防渗漏、防流失的措施。</w:t>
                  </w:r>
                </w:p>
              </w:tc>
              <w:tc>
                <w:tcPr>
                  <w:tcW w:w="3525" w:type="dxa"/>
                  <w:tcBorders>
                    <w:top w:val="single" w:color="auto" w:sz="4" w:space="0"/>
                    <w:left w:val="nil"/>
                    <w:bottom w:val="single" w:color="auto" w:sz="4" w:space="0"/>
                    <w:right w:val="single" w:color="auto" w:sz="4" w:space="0"/>
                  </w:tcBorders>
                  <w:vAlign w:val="center"/>
                </w:tcPr>
                <w:p w14:paraId="16407159">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项目属于废弃矿坑生态修复项目，利用改性磷石膏生态修复材料回填废弃矿坑，改性磷石膏生态修复材料经属性鉴别不属于危险废物，不属于可溶性剧毒废渣，且项目已制定了相应的地下水污染防治措施。</w:t>
                  </w:r>
                </w:p>
              </w:tc>
              <w:tc>
                <w:tcPr>
                  <w:tcW w:w="609" w:type="dxa"/>
                  <w:tcBorders>
                    <w:top w:val="single" w:color="auto" w:sz="4" w:space="0"/>
                    <w:left w:val="nil"/>
                    <w:bottom w:val="single" w:color="auto" w:sz="4" w:space="0"/>
                    <w:right w:val="single" w:color="auto" w:sz="4" w:space="0"/>
                  </w:tcBorders>
                  <w:vAlign w:val="center"/>
                </w:tcPr>
                <w:p w14:paraId="1D9FD447">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214682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29BF16CB">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（五）法律、法规规定应当采取的其他防止地下水污染的措施。</w:t>
                  </w:r>
                </w:p>
              </w:tc>
              <w:tc>
                <w:tcPr>
                  <w:tcW w:w="3525" w:type="dxa"/>
                  <w:tcBorders>
                    <w:top w:val="single" w:color="auto" w:sz="4" w:space="0"/>
                    <w:left w:val="nil"/>
                    <w:bottom w:val="single" w:color="auto" w:sz="4" w:space="0"/>
                    <w:right w:val="single" w:color="auto" w:sz="4" w:space="0"/>
                  </w:tcBorders>
                  <w:vAlign w:val="center"/>
                </w:tcPr>
                <w:p w14:paraId="6193D94E">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项目已制定了相应的地下水污染防治措施。</w:t>
                  </w:r>
                </w:p>
              </w:tc>
              <w:tc>
                <w:tcPr>
                  <w:tcW w:w="609" w:type="dxa"/>
                  <w:tcBorders>
                    <w:top w:val="single" w:color="auto" w:sz="4" w:space="0"/>
                    <w:left w:val="nil"/>
                    <w:bottom w:val="single" w:color="auto" w:sz="4" w:space="0"/>
                    <w:right w:val="single" w:color="auto" w:sz="4" w:space="0"/>
                  </w:tcBorders>
                  <w:vAlign w:val="center"/>
                </w:tcPr>
                <w:p w14:paraId="4C38CE15">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r w14:paraId="15814D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752" w:type="dxa"/>
                  <w:tcBorders>
                    <w:top w:val="single" w:color="auto" w:sz="4" w:space="0"/>
                    <w:left w:val="single" w:color="auto" w:sz="4" w:space="0"/>
                    <w:bottom w:val="single" w:color="auto" w:sz="4" w:space="0"/>
                    <w:right w:val="single" w:color="auto" w:sz="4" w:space="0"/>
                  </w:tcBorders>
                  <w:vAlign w:val="center"/>
                </w:tcPr>
                <w:p w14:paraId="2786AB51">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第四十二条在泉域保护范围以及岩溶强发育、存在较多落水洞和岩溶漏斗的区域内，不得新建、改建、扩建可能造成地下水污染的建设项目。</w:t>
                  </w:r>
                </w:p>
              </w:tc>
              <w:tc>
                <w:tcPr>
                  <w:tcW w:w="3525" w:type="dxa"/>
                  <w:tcBorders>
                    <w:top w:val="single" w:color="auto" w:sz="4" w:space="0"/>
                    <w:left w:val="nil"/>
                    <w:bottom w:val="single" w:color="auto" w:sz="4" w:space="0"/>
                    <w:right w:val="single" w:color="auto" w:sz="4" w:space="0"/>
                  </w:tcBorders>
                  <w:vAlign w:val="center"/>
                </w:tcPr>
                <w:p w14:paraId="408F32BE">
                  <w:pPr>
                    <w:widowControl/>
                    <w:spacing w:line="240" w:lineRule="auto"/>
                    <w:ind w:firstLine="0" w:firstLineChars="0"/>
                    <w:rPr>
                      <w:color w:val="000000" w:themeColor="text1"/>
                      <w:sz w:val="21"/>
                      <w:szCs w:val="21"/>
                      <w:highlight w:val="none"/>
                      <w14:textFill>
                        <w14:solidFill>
                          <w14:schemeClr w14:val="tx1"/>
                        </w14:solidFill>
                      </w14:textFill>
                    </w:rPr>
                  </w:pPr>
                  <w:r>
                    <w:rPr>
                      <w:rFonts w:hint="eastAsia"/>
                      <w:color w:val="000000" w:themeColor="text1"/>
                      <w:sz w:val="21"/>
                      <w:szCs w:val="21"/>
                      <w:highlight w:val="none"/>
                      <w:lang w:bidi="ar"/>
                      <w14:textFill>
                        <w14:solidFill>
                          <w14:schemeClr w14:val="tx1"/>
                        </w14:solidFill>
                      </w14:textFill>
                    </w:rPr>
                    <w:t>根据《云南省寻甸县大旋塘采石场废弃矿坑生态修复水文地质勘察报告》，“</w:t>
                  </w:r>
                  <w:r>
                    <w:rPr>
                      <w:rFonts w:hint="eastAsia"/>
                      <w:color w:val="000000" w:themeColor="text1"/>
                      <w:sz w:val="21"/>
                      <w:szCs w:val="21"/>
                      <w:highlight w:val="none"/>
                      <w14:textFill>
                        <w14:solidFill>
                          <w14:schemeClr w14:val="tx1"/>
                        </w14:solidFill>
                      </w14:textFill>
                    </w:rPr>
                    <w:t>本次水文钻探在项目区范围内完成5个水文钻孔（JC01～JC05），均可见溶蚀裂隙发育情况，最大裂隙发育区位于JC05（项目区外东南92m处）孔内82.6～91.0m，溶蚀深度8.4m，顶标高+91.00m，孔底标高+82.60m。勘察总体钻孔线溶率为7.25%，钻孔内部揭露岩溶及溶蚀裂隙基本均被填物填充。本次水文钻探揭露黏土层厚度为0～50.9m，该层整个填埋区均揭露，揭露灰岩厚度为13.2～25.5m，结合钻探及现场情况知项目区岩溶中等发育，主要以溶蚀裂隙为主，勘察孔内发现，岩溶发育段均被粘土、碎石土充填。</w:t>
                  </w:r>
                  <w:r>
                    <w:rPr>
                      <w:rFonts w:hint="eastAsia"/>
                      <w:color w:val="000000" w:themeColor="text1"/>
                      <w:sz w:val="21"/>
                      <w:szCs w:val="21"/>
                      <w:highlight w:val="none"/>
                      <w:lang w:bidi="ar"/>
                      <w14:textFill>
                        <w14:solidFill>
                          <w14:schemeClr w14:val="tx1"/>
                        </w14:solidFill>
                      </w14:textFill>
                    </w:rPr>
                    <w:t>”项目所在区域岩溶中等发育，不属于泉域保护范围及岩溶强发育、存在较多落水洞和岩溶漏斗的区域，项目制定了相应的地下水污染防治措施，设置地下水监测井，定期对地下水进行监测，通过采取措施后，对地下水影响很小。</w:t>
                  </w:r>
                </w:p>
              </w:tc>
              <w:tc>
                <w:tcPr>
                  <w:tcW w:w="609" w:type="dxa"/>
                  <w:tcBorders>
                    <w:top w:val="single" w:color="auto" w:sz="4" w:space="0"/>
                    <w:left w:val="nil"/>
                    <w:bottom w:val="single" w:color="auto" w:sz="4" w:space="0"/>
                    <w:right w:val="single" w:color="auto" w:sz="4" w:space="0"/>
                  </w:tcBorders>
                  <w:vAlign w:val="center"/>
                </w:tcPr>
                <w:p w14:paraId="3B35E5FD">
                  <w:pPr>
                    <w:widowControl/>
                    <w:spacing w:line="240" w:lineRule="auto"/>
                    <w:ind w:firstLine="0" w:firstLineChars="0"/>
                    <w:jc w:val="center"/>
                    <w:rPr>
                      <w:color w:val="000000" w:themeColor="text1"/>
                      <w:sz w:val="21"/>
                      <w:szCs w:val="21"/>
                      <w:highlight w:val="none"/>
                      <w14:textFill>
                        <w14:solidFill>
                          <w14:schemeClr w14:val="tx1"/>
                        </w14:solidFill>
                      </w14:textFill>
                    </w:rPr>
                  </w:pPr>
                  <w:r>
                    <w:rPr>
                      <w:rFonts w:hint="eastAsia"/>
                      <w:color w:val="000000" w:themeColor="text1"/>
                      <w:sz w:val="21"/>
                      <w:szCs w:val="21"/>
                      <w:highlight w:val="none"/>
                      <w14:textFill>
                        <w14:solidFill>
                          <w14:schemeClr w14:val="tx1"/>
                        </w14:solidFill>
                      </w14:textFill>
                    </w:rPr>
                    <w:t>符合</w:t>
                  </w:r>
                </w:p>
              </w:tc>
            </w:tr>
          </w:tbl>
          <w:p w14:paraId="26E680E7">
            <w:pPr>
              <w:widowControl/>
              <w:ind w:firstLine="480"/>
              <w:rPr>
                <w:color w:val="000000" w:themeColor="text1"/>
                <w:kern w:val="0"/>
                <w:highlight w:val="none"/>
                <w14:textFill>
                  <w14:solidFill>
                    <w14:schemeClr w14:val="tx1"/>
                  </w14:solidFill>
                </w14:textFill>
              </w:rPr>
            </w:pPr>
            <w:r>
              <w:rPr>
                <w:rFonts w:hint="eastAsia"/>
                <w:color w:val="000000" w:themeColor="text1"/>
                <w:kern w:val="0"/>
                <w:highlight w:val="none"/>
                <w14:textFill>
                  <w14:solidFill>
                    <w14:schemeClr w14:val="tx1"/>
                  </w14:solidFill>
                </w14:textFill>
              </w:rPr>
              <w:t>综上所述，项目建设符合《地下水管理条例》要求。</w:t>
            </w:r>
          </w:p>
          <w:p w14:paraId="0AE524FE">
            <w:pPr>
              <w:widowControl/>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11、与《关于“十四五”大宗固体废弃物综合利用的指导意见》的符合性</w:t>
            </w:r>
          </w:p>
          <w:p w14:paraId="013EDD99">
            <w:pPr>
              <w:widowControl/>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根据国家发展改革委关于“十四五”大宗固体废弃物综合利用的指导意见（发改环资〔</w:t>
            </w:r>
            <w:r>
              <w:rPr>
                <w:color w:val="000000" w:themeColor="text1"/>
                <w:kern w:val="0"/>
                <w:highlight w:val="none"/>
                <w:lang w:bidi="ar"/>
                <w14:textFill>
                  <w14:solidFill>
                    <w14:schemeClr w14:val="tx1"/>
                  </w14:solidFill>
                </w14:textFill>
              </w:rPr>
              <w:t>2021</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381</w:t>
            </w:r>
            <w:r>
              <w:rPr>
                <w:rFonts w:hint="eastAsia"/>
                <w:color w:val="000000" w:themeColor="text1"/>
                <w:kern w:val="0"/>
                <w:highlight w:val="none"/>
                <w:lang w:bidi="ar"/>
                <w14:textFill>
                  <w14:solidFill>
                    <w14:schemeClr w14:val="tx1"/>
                  </w14:solidFill>
                </w14:textFill>
              </w:rPr>
              <w:t>号），在提高大宗固废资源利用率方面要求：拓宽磷石膏利用途径，继续推广磷石膏在生产水泥和新型建筑材料等领域的利用，在确保环境安全的前提下，探索磷石膏在土壤改良、井下充填、路基材料等领域的应用。支持利用脱硫石膏、柠檬酸石膏制备绿色建材、石膏晶须等新产品新材料，扩大工业副产石膏高值化利用规模。积极探索钛石膏、氟石膏等复杂难用工业副产石膏的资源化利用途径。</w:t>
            </w:r>
          </w:p>
          <w:p w14:paraId="78750986">
            <w:pPr>
              <w:widowControl/>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根据生态环境部办公厅《关于磷石膏无害化后用于矿坑生态修复项目有关事宜的复函》（环办环评函〔</w:t>
            </w:r>
            <w:r>
              <w:rPr>
                <w:color w:val="000000" w:themeColor="text1"/>
                <w:kern w:val="0"/>
                <w:highlight w:val="none"/>
                <w:lang w:bidi="ar"/>
                <w14:textFill>
                  <w14:solidFill>
                    <w14:schemeClr w14:val="tx1"/>
                  </w14:solidFill>
                </w14:textFill>
              </w:rPr>
              <w:t>2022</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273</w:t>
            </w:r>
            <w:r>
              <w:rPr>
                <w:rFonts w:hint="eastAsia"/>
                <w:color w:val="000000" w:themeColor="text1"/>
                <w:kern w:val="0"/>
                <w:highlight w:val="none"/>
                <w:lang w:bidi="ar"/>
                <w14:textFill>
                  <w14:solidFill>
                    <w14:schemeClr w14:val="tx1"/>
                  </w14:solidFill>
                </w14:textFill>
              </w:rPr>
              <w:t>号）：《</w:t>
            </w:r>
            <w:r>
              <w:rPr>
                <w:color w:val="000000" w:themeColor="text1"/>
                <w:kern w:val="0"/>
                <w:highlight w:val="none"/>
                <w:lang w:bidi="ar"/>
                <w14:textFill>
                  <w14:solidFill>
                    <w14:schemeClr w14:val="tx1"/>
                  </w14:solidFill>
                </w14:textFill>
              </w:rPr>
              <w:t>关</w:t>
            </w:r>
            <w:r>
              <w:rPr>
                <w:rFonts w:hint="eastAsia"/>
                <w:color w:val="000000" w:themeColor="text1"/>
                <w:kern w:val="0"/>
                <w:highlight w:val="none"/>
                <w:lang w:bidi="ar"/>
                <w14:textFill>
                  <w14:solidFill>
                    <w14:schemeClr w14:val="tx1"/>
                  </w14:solidFill>
                </w14:textFill>
              </w:rPr>
              <w:t>于“十四五”大宗固体废弃物综合利用的指导意见》《加快推动工业资源综合利用实施方案》提出，在确保安全环保前提下，探索将磷石膏应用于井下充填、地下采空区充填等。磷石膏用于矿坑回填不属于《关于做好“三磷”建设项目环境影响评价与排污许可管理工作的通知》中“不得新建、扩建磷石膏库（暂存场除外）”的情形。我部鼓励地方因地制宜制定磷石膏无害化处理方案，拓展多领域、多途径、多方式资源化利用。</w:t>
            </w:r>
          </w:p>
          <w:p w14:paraId="7D82565F">
            <w:pPr>
              <w:widowControl/>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本项目为废弃矿坑生态修复项目，以改性无害化处理后的改性磷石膏作为矿坑回填材料，为拓展磷石膏综合利用的领域、途径和方式提供的一种有效的方案，项目建设符合《关于“十四五”大宗固体废弃物综合利用的指导意见》的要求。</w:t>
            </w:r>
          </w:p>
          <w:p w14:paraId="53F3594A">
            <w:pPr>
              <w:widowControl/>
              <w:ind w:firstLine="482"/>
              <w:jc w:val="left"/>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12、与《关于做好“三磷”建设项目环境影响评价与排污许可管理工作的通知》的符合性</w:t>
            </w:r>
          </w:p>
          <w:p w14:paraId="1DEA2F40">
            <w:pPr>
              <w:widowControl/>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为贯彻落实国务院《“十三五”生态环境保护规划》（国发〔</w:t>
            </w:r>
            <w:r>
              <w:rPr>
                <w:color w:val="000000" w:themeColor="text1"/>
                <w:kern w:val="0"/>
                <w:highlight w:val="none"/>
                <w:lang w:bidi="ar"/>
                <w14:textFill>
                  <w14:solidFill>
                    <w14:schemeClr w14:val="tx1"/>
                  </w14:solidFill>
                </w14:textFill>
              </w:rPr>
              <w:t>2016</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65</w:t>
            </w:r>
            <w:r>
              <w:rPr>
                <w:rFonts w:hint="eastAsia"/>
                <w:color w:val="000000" w:themeColor="text1"/>
                <w:kern w:val="0"/>
                <w:highlight w:val="none"/>
                <w:lang w:bidi="ar"/>
                <w14:textFill>
                  <w14:solidFill>
                    <w14:schemeClr w14:val="tx1"/>
                  </w14:solidFill>
                </w14:textFill>
              </w:rPr>
              <w:t>号）和《长江保护修复攻坚战行动计划》（环水体〔</w:t>
            </w:r>
            <w:r>
              <w:rPr>
                <w:color w:val="000000" w:themeColor="text1"/>
                <w:kern w:val="0"/>
                <w:highlight w:val="none"/>
                <w:lang w:bidi="ar"/>
                <w14:textFill>
                  <w14:solidFill>
                    <w14:schemeClr w14:val="tx1"/>
                  </w14:solidFill>
                </w14:textFill>
              </w:rPr>
              <w:t>2018</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181</w:t>
            </w:r>
            <w:r>
              <w:rPr>
                <w:rFonts w:hint="eastAsia"/>
                <w:color w:val="000000" w:themeColor="text1"/>
                <w:kern w:val="0"/>
                <w:highlight w:val="none"/>
                <w:lang w:bidi="ar"/>
                <w14:textFill>
                  <w14:solidFill>
                    <w14:schemeClr w14:val="tx1"/>
                  </w14:solidFill>
                </w14:textFill>
              </w:rPr>
              <w:t>号）相关要求，充分发挥环境影响评价制度的源头预防作用，强化排污许可监管效能，切实做好磷矿、磷化工（包括磷肥、含磷农药、黄磷制造等）和磷石膏库（以下简称“三磷”）建设项目环境影响评价与排污许可管理工作，</w:t>
            </w:r>
            <w:r>
              <w:rPr>
                <w:color w:val="000000" w:themeColor="text1"/>
                <w:kern w:val="0"/>
                <w:highlight w:val="none"/>
                <w:lang w:bidi="ar"/>
                <w14:textFill>
                  <w14:solidFill>
                    <w14:schemeClr w14:val="tx1"/>
                  </w14:solidFill>
                </w14:textFill>
              </w:rPr>
              <w:t>2019</w:t>
            </w:r>
            <w:r>
              <w:rPr>
                <w:rFonts w:hint="eastAsia"/>
                <w:color w:val="000000" w:themeColor="text1"/>
                <w:kern w:val="0"/>
                <w:highlight w:val="none"/>
                <w:lang w:bidi="ar"/>
                <w14:textFill>
                  <w14:solidFill>
                    <w14:schemeClr w14:val="tx1"/>
                  </w14:solidFill>
                </w14:textFill>
              </w:rPr>
              <w:t>年</w:t>
            </w:r>
            <w:r>
              <w:rPr>
                <w:color w:val="000000" w:themeColor="text1"/>
                <w:kern w:val="0"/>
                <w:highlight w:val="none"/>
                <w:lang w:bidi="ar"/>
                <w14:textFill>
                  <w14:solidFill>
                    <w14:schemeClr w14:val="tx1"/>
                  </w14:solidFill>
                </w14:textFill>
              </w:rPr>
              <w:t>12</w:t>
            </w:r>
            <w:r>
              <w:rPr>
                <w:rFonts w:hint="eastAsia"/>
                <w:color w:val="000000" w:themeColor="text1"/>
                <w:kern w:val="0"/>
                <w:highlight w:val="none"/>
                <w:lang w:bidi="ar"/>
                <w14:textFill>
                  <w14:solidFill>
                    <w14:schemeClr w14:val="tx1"/>
                  </w14:solidFill>
                </w14:textFill>
              </w:rPr>
              <w:t>月</w:t>
            </w:r>
            <w:r>
              <w:rPr>
                <w:color w:val="000000" w:themeColor="text1"/>
                <w:kern w:val="0"/>
                <w:highlight w:val="none"/>
                <w:lang w:bidi="ar"/>
                <w14:textFill>
                  <w14:solidFill>
                    <w14:schemeClr w14:val="tx1"/>
                  </w14:solidFill>
                </w14:textFill>
              </w:rPr>
              <w:t>31</w:t>
            </w:r>
            <w:r>
              <w:rPr>
                <w:rFonts w:hint="eastAsia"/>
                <w:color w:val="000000" w:themeColor="text1"/>
                <w:kern w:val="0"/>
                <w:highlight w:val="none"/>
                <w:lang w:bidi="ar"/>
                <w14:textFill>
                  <w14:solidFill>
                    <w14:schemeClr w14:val="tx1"/>
                  </w14:solidFill>
                </w14:textFill>
              </w:rPr>
              <w:t>日，生态环境部以环办环评〔</w:t>
            </w:r>
            <w:r>
              <w:rPr>
                <w:color w:val="000000" w:themeColor="text1"/>
                <w:kern w:val="0"/>
                <w:highlight w:val="none"/>
                <w:lang w:bidi="ar"/>
                <w14:textFill>
                  <w14:solidFill>
                    <w14:schemeClr w14:val="tx1"/>
                  </w14:solidFill>
                </w14:textFill>
              </w:rPr>
              <w:t>2019</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65</w:t>
            </w:r>
            <w:r>
              <w:rPr>
                <w:rFonts w:hint="eastAsia"/>
                <w:color w:val="000000" w:themeColor="text1"/>
                <w:kern w:val="0"/>
                <w:highlight w:val="none"/>
                <w:lang w:bidi="ar"/>
                <w14:textFill>
                  <w14:solidFill>
                    <w14:schemeClr w14:val="tx1"/>
                  </w14:solidFill>
                </w14:textFill>
              </w:rPr>
              <w:t>号文件印发了《关于做好“三磷”建设项目环境影响评价与排污许可管理工作的通知》。本项目以改性磷石膏作为矿坑生态修复回填材料，根据改性后的磷石膏属性鉴别报告，本项目改性磷石膏回填材料属性为第Ⅰ类一般工业固体废物，项目属于采石场矿区修复治理，不属于“三磷”项目。</w:t>
            </w:r>
          </w:p>
          <w:p w14:paraId="6CC8A283">
            <w:pPr>
              <w:widowControl/>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根据《关于做好“三磷”建设项目环境影响评价与排污许可管理工作的通知》要求：磷肥建设项目应实行“以用定产”，以磷石膏综合利用量决定湿法磷酸产量。同步落实磷石膏综合利用途径，综合利用不畅的可利用现有磷石膏库堆存，不得新建、扩建磷石膏库（暂存场除外）。</w:t>
            </w:r>
          </w:p>
          <w:p w14:paraId="1571E1A2">
            <w:pPr>
              <w:widowControl/>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本项目为矿坑生态修复的示范工程，对扩宽磷石膏综合利用途径具有积极的作用。符合《关于做好“三磷”建设项目环境影响评价与排污许可管理工作的通知》要求。</w:t>
            </w:r>
          </w:p>
          <w:p w14:paraId="5B3865CC">
            <w:pPr>
              <w:widowControl/>
              <w:ind w:firstLine="482"/>
              <w:jc w:val="left"/>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13、与《昆明市加快推动磷石膏综合利用二十条措施》的符合性</w:t>
            </w:r>
          </w:p>
          <w:p w14:paraId="7B6041A5">
            <w:pPr>
              <w:widowControl/>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为加快推动磷石膏综合利用，促进全市磷化工产业高质量发展，</w:t>
            </w:r>
            <w:r>
              <w:rPr>
                <w:color w:val="000000" w:themeColor="text1"/>
                <w:kern w:val="0"/>
                <w:highlight w:val="none"/>
                <w:lang w:bidi="ar"/>
                <w14:textFill>
                  <w14:solidFill>
                    <w14:schemeClr w14:val="tx1"/>
                  </w14:solidFill>
                </w14:textFill>
              </w:rPr>
              <w:t>2022</w:t>
            </w:r>
            <w:r>
              <w:rPr>
                <w:rFonts w:hint="eastAsia"/>
                <w:color w:val="000000" w:themeColor="text1"/>
                <w:kern w:val="0"/>
                <w:highlight w:val="none"/>
                <w:lang w:bidi="ar"/>
                <w14:textFill>
                  <w14:solidFill>
                    <w14:schemeClr w14:val="tx1"/>
                  </w14:solidFill>
                </w14:textFill>
              </w:rPr>
              <w:t>年</w:t>
            </w:r>
            <w:r>
              <w:rPr>
                <w:color w:val="000000" w:themeColor="text1"/>
                <w:kern w:val="0"/>
                <w:highlight w:val="none"/>
                <w:lang w:bidi="ar"/>
                <w14:textFill>
                  <w14:solidFill>
                    <w14:schemeClr w14:val="tx1"/>
                  </w14:solidFill>
                </w14:textFill>
              </w:rPr>
              <w:t>12</w:t>
            </w:r>
            <w:r>
              <w:rPr>
                <w:rFonts w:hint="eastAsia"/>
                <w:color w:val="000000" w:themeColor="text1"/>
                <w:kern w:val="0"/>
                <w:highlight w:val="none"/>
                <w:lang w:bidi="ar"/>
                <w14:textFill>
                  <w14:solidFill>
                    <w14:schemeClr w14:val="tx1"/>
                  </w14:solidFill>
                </w14:textFill>
              </w:rPr>
              <w:t>月</w:t>
            </w:r>
            <w:r>
              <w:rPr>
                <w:color w:val="000000" w:themeColor="text1"/>
                <w:kern w:val="0"/>
                <w:highlight w:val="none"/>
                <w:lang w:bidi="ar"/>
                <w14:textFill>
                  <w14:solidFill>
                    <w14:schemeClr w14:val="tx1"/>
                  </w14:solidFill>
                </w14:textFill>
              </w:rPr>
              <w:t>27</w:t>
            </w:r>
            <w:r>
              <w:rPr>
                <w:rFonts w:hint="eastAsia"/>
                <w:color w:val="000000" w:themeColor="text1"/>
                <w:kern w:val="0"/>
                <w:highlight w:val="none"/>
                <w:lang w:bidi="ar"/>
                <w14:textFill>
                  <w14:solidFill>
                    <w14:schemeClr w14:val="tx1"/>
                  </w14:solidFill>
                </w14:textFill>
              </w:rPr>
              <w:t>日，昆明市人民政府印发了《昆明市人民政府办公室关于印发昆明市加快推动磷石膏综合利用二十条措施的通知》，在拓宽磷石膏综合利用途径方面明确提出：鼓励生态修复利用。在确保环境安全的前提下，支持企业对磷石膏进行无害化处理，鼓励企业优先采用生态修复等方式对磷石膏加以利用，对无法利用的，指导企业按照国家环境保护标准进行分类贮存或处置。在具备条件的县（市）区，组织开展矿坑生态修复项目利用无害化磷石膏的工程试点，严格落实生态保护、环境污染防治及安全生产等方面的规定和措施，加强全过程的服务指导、监督管理，及时总结有关经验做法并组织推广。</w:t>
            </w:r>
          </w:p>
          <w:p w14:paraId="6D0CAF9F">
            <w:pPr>
              <w:widowControl/>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项目使用无害化处理后的改性磷石膏作为生态修复矿坑回填材料，属于《昆明市加快推动磷石膏综合利用二十条措施》鼓励生态修复利用的情形。项目实施过程中应严格落实《实施方案》、环评报告及批复提出的各项生态保护、环境污染防治措施及安全生产等方面的规定和措施，并按照昆明市地方标准《改性磷石膏综合利用矿山生态修复过程环境监管规范》（</w:t>
            </w:r>
            <w:r>
              <w:rPr>
                <w:color w:val="000000" w:themeColor="text1"/>
                <w:kern w:val="0"/>
                <w:highlight w:val="none"/>
                <w:lang w:bidi="ar"/>
                <w14:textFill>
                  <w14:solidFill>
                    <w14:schemeClr w14:val="tx1"/>
                  </w14:solidFill>
                </w14:textFill>
              </w:rPr>
              <w:t>DB5301/T99</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2023</w:t>
            </w:r>
            <w:r>
              <w:rPr>
                <w:rFonts w:hint="eastAsia"/>
                <w:color w:val="000000" w:themeColor="text1"/>
                <w:kern w:val="0"/>
                <w:highlight w:val="none"/>
                <w:lang w:bidi="ar"/>
                <w14:textFill>
                  <w14:solidFill>
                    <w14:schemeClr w14:val="tx1"/>
                  </w14:solidFill>
                </w14:textFill>
              </w:rPr>
              <w:t>）、《改性磷石膏综合利用矿山生态修复跟踪评估规范》（</w:t>
            </w:r>
            <w:r>
              <w:rPr>
                <w:color w:val="000000" w:themeColor="text1"/>
                <w:kern w:val="0"/>
                <w:highlight w:val="none"/>
                <w:lang w:bidi="ar"/>
                <w14:textFill>
                  <w14:solidFill>
                    <w14:schemeClr w14:val="tx1"/>
                  </w14:solidFill>
                </w14:textFill>
              </w:rPr>
              <w:t>DB5301/T100</w:t>
            </w:r>
            <w:r>
              <w:rPr>
                <w:rFonts w:hint="eastAsia"/>
                <w:color w:val="000000" w:themeColor="text1"/>
                <w:kern w:val="0"/>
                <w:highlight w:val="none"/>
                <w:lang w:bidi="ar"/>
                <w14:textFill>
                  <w14:solidFill>
                    <w14:schemeClr w14:val="tx1"/>
                  </w14:solidFill>
                </w14:textFill>
              </w:rPr>
              <w:t>—</w:t>
            </w:r>
            <w:r>
              <w:rPr>
                <w:color w:val="000000" w:themeColor="text1"/>
                <w:kern w:val="0"/>
                <w:highlight w:val="none"/>
                <w:lang w:bidi="ar"/>
                <w14:textFill>
                  <w14:solidFill>
                    <w14:schemeClr w14:val="tx1"/>
                  </w14:solidFill>
                </w14:textFill>
              </w:rPr>
              <w:t>2023</w:t>
            </w:r>
            <w:r>
              <w:rPr>
                <w:rFonts w:hint="eastAsia"/>
                <w:color w:val="000000" w:themeColor="text1"/>
                <w:kern w:val="0"/>
                <w:highlight w:val="none"/>
                <w:lang w:bidi="ar"/>
                <w14:textFill>
                  <w14:solidFill>
                    <w14:schemeClr w14:val="tx1"/>
                  </w14:solidFill>
                </w14:textFill>
              </w:rPr>
              <w:t>）的要求，做好全过程环境监管和跟踪评估工作。</w:t>
            </w:r>
          </w:p>
          <w:p w14:paraId="7A6B428A">
            <w:pPr>
              <w:widowControl/>
              <w:ind w:firstLine="482"/>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14、与《昆明市全面加强磷石膏综合利用三年攻坚行动方案》（2023—2025年）符合性分析</w:t>
            </w:r>
          </w:p>
          <w:p w14:paraId="1131AAD8">
            <w:pPr>
              <w:widowControl/>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根据昆明市人民政府印发的《昆明市全面加强磷石膏综合利用三年攻坚行动方案》（2023—2025年）主要任务“夯实技术创新能力。组织有关科研机构、高校及龙头企业成立昆明市磷石膏污染防治和综合利用科创中心，系统开展磷石膏减量化、无害化、资源化关键技术攻关。强化先进技术推广应用，前端重点推广磷矿石高效选矿技术、湿法磷酸先进工艺改造技术；中端重点研发高效无害化处理技术；末端重点研发磷石膏制造水泥原料、建筑材料、道路材料、生态复垦材料等磷石膏规模化利用技术，同时开发一系列磷石膏资源化、高质化利用新技术，努力构建磷石膏综合利用技术创新—实验示范—产业应用的闭环体系”。</w:t>
            </w:r>
          </w:p>
          <w:p w14:paraId="1122BEED">
            <w:pPr>
              <w:widowControl/>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本项目使用改性磷石膏对大旋塘采石场废弃矿坑进行回填修复，属于磷石膏综合利用技术创新。项目建设符合《昆明市全面加强磷石膏综合利用三年攻坚行动方案》（2023—2025年）相关要求。</w:t>
            </w:r>
          </w:p>
          <w:p w14:paraId="56018693">
            <w:pPr>
              <w:pStyle w:val="35"/>
              <w:spacing w:before="0" w:beforeAutospacing="0" w:after="0" w:afterAutospacing="0"/>
              <w:ind w:firstLine="482"/>
              <w:jc w:val="both"/>
              <w:rPr>
                <w:rFonts w:ascii="Times New Roman" w:hAnsi="Times New Roman"/>
                <w:b/>
                <w:bCs/>
                <w:color w:val="000000" w:themeColor="text1"/>
                <w:highlight w:val="none"/>
                <w14:textFill>
                  <w14:solidFill>
                    <w14:schemeClr w14:val="tx1"/>
                  </w14:solidFill>
                </w14:textFill>
              </w:rPr>
            </w:pPr>
            <w:r>
              <w:rPr>
                <w:rFonts w:hint="eastAsia" w:ascii="Times New Roman" w:hAnsi="Times New Roman"/>
                <w:b/>
                <w:bCs/>
                <w:color w:val="000000" w:themeColor="text1"/>
                <w:highlight w:val="none"/>
                <w14:textFill>
                  <w14:solidFill>
                    <w14:schemeClr w14:val="tx1"/>
                  </w14:solidFill>
                </w14:textFill>
              </w:rPr>
              <w:t>15、与《</w:t>
            </w:r>
            <w:r>
              <w:rPr>
                <w:rFonts w:hint="eastAsia" w:ascii="Times New Roman" w:hAnsi="Times New Roman"/>
                <w:b/>
                <w:bCs/>
                <w:color w:val="000000" w:themeColor="text1"/>
                <w:highlight w:val="none"/>
                <w:shd w:val="clear" w:color="auto" w:fill="FFFFFF"/>
                <w14:textFill>
                  <w14:solidFill>
                    <w14:schemeClr w14:val="tx1"/>
                  </w14:solidFill>
                </w14:textFill>
              </w:rPr>
              <w:t>长江流域（云南段）总磷污染控制方案</w:t>
            </w:r>
            <w:r>
              <w:rPr>
                <w:rFonts w:hint="eastAsia" w:ascii="Times New Roman" w:hAnsi="Times New Roman"/>
                <w:b/>
                <w:bCs/>
                <w:color w:val="000000" w:themeColor="text1"/>
                <w:highlight w:val="none"/>
                <w14:textFill>
                  <w14:solidFill>
                    <w14:schemeClr w14:val="tx1"/>
                  </w14:solidFill>
                </w14:textFill>
              </w:rPr>
              <w:t>》符合性分析</w:t>
            </w:r>
          </w:p>
          <w:p w14:paraId="7F92E7E6">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表1-8  项目</w:t>
            </w:r>
            <w:r>
              <w:rPr>
                <w:rFonts w:hint="eastAsia"/>
                <w:b/>
                <w:bCs/>
                <w:color w:val="000000" w:themeColor="text1"/>
                <w:kern w:val="0"/>
                <w:sz w:val="21"/>
                <w:szCs w:val="21"/>
                <w:highlight w:val="none"/>
                <w14:textFill>
                  <w14:solidFill>
                    <w14:schemeClr w14:val="tx1"/>
                  </w14:solidFill>
                </w14:textFill>
              </w:rPr>
              <w:t>与《长江流域（云南段）总磷污染控制方案》符合性</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362"/>
              <w:gridCol w:w="2200"/>
              <w:gridCol w:w="481"/>
            </w:tblGrid>
            <w:tr w14:paraId="66130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3" w:type="pct"/>
                  <w:vAlign w:val="center"/>
                </w:tcPr>
                <w:p w14:paraId="64E9DA1C">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方案规定</w:t>
                  </w:r>
                </w:p>
              </w:tc>
              <w:tc>
                <w:tcPr>
                  <w:tcW w:w="1367" w:type="pct"/>
                  <w:vAlign w:val="center"/>
                </w:tcPr>
                <w:p w14:paraId="79E24233">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项目情况</w:t>
                  </w:r>
                </w:p>
              </w:tc>
              <w:tc>
                <w:tcPr>
                  <w:tcW w:w="299" w:type="pct"/>
                  <w:vAlign w:val="center"/>
                </w:tcPr>
                <w:p w14:paraId="54AF9E18">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符合性</w:t>
                  </w:r>
                </w:p>
              </w:tc>
            </w:tr>
            <w:tr w14:paraId="01D555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3" w:type="pct"/>
                  <w:vAlign w:val="center"/>
                </w:tcPr>
                <w:p w14:paraId="20D34EF4">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提高磷石膏综合利用和污染防控水平。出台云南省全面推进磷石膏综合利用工作方案，持续探索实施磷石膏在生态修复、磷建筑石膏建材、磷石膏路基材料等领域的应用，鼓励建材企业优先使用磷石膏作为替代原料。多措并举推进磷石膏源头减量化、资源化、无害化，因地制宜逐步推行“以渣定产”等模式。持续推动磷石膏产生、处理、贮存、利用、处置等全过程规范管理，推进磷石膏污染控制及综合利用技术攻关。到2025年底，全省磷石膏综合利用途径有效拓展，综合利用水平明显提升，磷石膏综合利用率进一步提高，综合消纳量（包括综合利用量和无害化处理量）与产生量实现动态平衡、环境风险可控，存量磷石膏有序消纳。</w:t>
                  </w:r>
                </w:p>
              </w:tc>
              <w:tc>
                <w:tcPr>
                  <w:tcW w:w="1367" w:type="pct"/>
                  <w:vAlign w:val="center"/>
                </w:tcPr>
                <w:p w14:paraId="1B8DC283">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本项目采用改性磷石膏对大旋塘采石场废弃矿坑进行回填。属于磷石膏综合利用项目，可实现推进磷石膏源头减量化、资源化、无害化。</w:t>
                  </w:r>
                </w:p>
              </w:tc>
              <w:tc>
                <w:tcPr>
                  <w:tcW w:w="299" w:type="pct"/>
                  <w:vAlign w:val="center"/>
                </w:tcPr>
                <w:p w14:paraId="7B5B4BE6">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2487B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33" w:type="pct"/>
                  <w:vAlign w:val="center"/>
                </w:tcPr>
                <w:p w14:paraId="19E7B07C">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提升磷矿生态修复及综合治理水平。有序推进历史遗留矿山生态修复和综合治理，压实属地责任，督促持证矿山履行生态修复和土地复垦义务，消除磷矿采区、排土场、地质塌陷区、工业场地地质安全隐患，完善矿区截排水设施建设，严格控制采区疏排水量，开展区域地形重塑、土壤重构、植被重建、废弃土地复垦利用等，建立生态修复后期管护制度，开展生态修复监测与成效评估，确保磷矿矿区生态修复效果，形成责任明确、措施得当、管理到位的磷矿生态修复工作体系。</w:t>
                  </w:r>
                </w:p>
              </w:tc>
              <w:tc>
                <w:tcPr>
                  <w:tcW w:w="1367" w:type="pct"/>
                  <w:vAlign w:val="center"/>
                </w:tcPr>
                <w:p w14:paraId="26A35189">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本项目采用改性磷石膏对大旋塘采石场废弃矿坑进行回填修复，将废弃矿坑填埋修复成旱地、林草地，提高土地利用率。</w:t>
                  </w:r>
                </w:p>
              </w:tc>
              <w:tc>
                <w:tcPr>
                  <w:tcW w:w="299" w:type="pct"/>
                  <w:vAlign w:val="center"/>
                </w:tcPr>
                <w:p w14:paraId="451F663E">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bl>
          <w:p w14:paraId="12FF4402">
            <w:pPr>
              <w:widowControl/>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综上，项目建设符合《长江流域（云南段）总磷污染控制方案》文件相关要求。</w:t>
            </w:r>
          </w:p>
          <w:p w14:paraId="0E38A9F7">
            <w:pPr>
              <w:widowControl/>
              <w:spacing w:line="240" w:lineRule="auto"/>
              <w:ind w:firstLine="0" w:firstLineChars="0"/>
              <w:jc w:val="center"/>
              <w:rPr>
                <w:b/>
                <w:bCs/>
                <w:color w:val="000000" w:themeColor="text1"/>
                <w:kern w:val="0"/>
                <w:highlight w:val="none"/>
                <w14:textFill>
                  <w14:solidFill>
                    <w14:schemeClr w14:val="tx1"/>
                  </w14:solidFill>
                </w14:textFill>
              </w:rPr>
            </w:pPr>
            <w:r>
              <w:rPr>
                <w:rFonts w:hint="eastAsia"/>
                <w:b/>
                <w:bCs/>
                <w:color w:val="000000" w:themeColor="text1"/>
                <w:kern w:val="0"/>
                <w:highlight w:val="none"/>
                <w14:textFill>
                  <w14:solidFill>
                    <w14:schemeClr w14:val="tx1"/>
                  </w14:solidFill>
                </w14:textFill>
              </w:rPr>
              <w:t>16、与《云南省全面推进磷石膏综合利用工作方案》符合性分析</w:t>
            </w:r>
          </w:p>
          <w:p w14:paraId="0CB649E4">
            <w:pPr>
              <w:widowControl/>
              <w:adjustRightInd w:val="0"/>
              <w:snapToGrid w:val="0"/>
              <w:ind w:firstLine="480"/>
              <w:rPr>
                <w:color w:val="000000" w:themeColor="text1"/>
                <w:kern w:val="0"/>
                <w:highlight w:val="none"/>
                <w:lang w:bidi="ar"/>
                <w14:textFill>
                  <w14:solidFill>
                    <w14:schemeClr w14:val="tx1"/>
                  </w14:solidFill>
                </w14:textFill>
              </w:rPr>
            </w:pPr>
            <w:r>
              <w:rPr>
                <w:color w:val="000000" w:themeColor="text1"/>
                <w:kern w:val="0"/>
                <w:highlight w:val="none"/>
                <w:lang w:bidi="ar"/>
                <w14:textFill>
                  <w14:solidFill>
                    <w14:schemeClr w14:val="tx1"/>
                  </w14:solidFill>
                </w14:textFill>
              </w:rPr>
              <w:t>云南省工业和信息化厅2023年12月发布了《云南省全面推进磷石膏综合利用工作方案》（云工信资源[2023]431号）</w:t>
            </w:r>
            <w:r>
              <w:rPr>
                <w:rFonts w:hint="eastAsia"/>
                <w:color w:val="000000" w:themeColor="text1"/>
                <w:kern w:val="0"/>
                <w:highlight w:val="none"/>
                <w:lang w:bidi="ar"/>
                <w14:textFill>
                  <w14:solidFill>
                    <w14:schemeClr w14:val="tx1"/>
                  </w14:solidFill>
                </w14:textFill>
              </w:rPr>
              <w:t>，方案总体目标为“到2025年，全省磷石膏综合利用途径有效拓展，综合利用水平明显提升，综合利用率达到75%，综合消纳量（包括综合利用量和无害化处理量）与产生量实现动态平衡；存量磷石膏有序消纳。”其中，</w:t>
            </w:r>
            <w:r>
              <w:rPr>
                <w:color w:val="000000" w:themeColor="text1"/>
                <w:kern w:val="0"/>
                <w:highlight w:val="none"/>
                <w:lang w:bidi="ar"/>
                <w14:textFill>
                  <w14:solidFill>
                    <w14:schemeClr w14:val="tx1"/>
                  </w14:solidFill>
                </w14:textFill>
              </w:rPr>
              <w:t>实施磷石膏废弃矿坑生态修复利用类工程。总结推广示范项目经验，加快研究发布《磷石膏无害化处理用于矿山废弃地生态修复回填技术规范》等相关标准，开展项目谋划实施。加强全过程服务监管，开展地质结构和水源边界勘测，在确保安全环保前提下，积极推动磷石膏在废弃矿坑生态修复等领域应用。在符合条件的地区，鼓励支持使用符合相关标准的无害化磷石膏材料实施废弃矿坑回填、边坡治理和石漠化修复；磷矿企业同等条件下优先使用无害化磷石膏开展废弃矿坑生态修复及井下填充。鼓励各地因地制宜，在人造土制备、土壤改良、石漠化土壤治理、胶凝型护坡材料制备等方面探索磷石膏示范利用新途径。到2025年，力争全省生态修复类工程年综合利用磷石膏1225万吨以上。</w:t>
            </w:r>
          </w:p>
          <w:p w14:paraId="1F4CE618">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本项目用改性磷石膏作为废弃矿山生态修复材料，使用100万吨改性磷石膏对大旋塘采石场废弃矿坑进行回填修复，属于方案中重点工作。</w:t>
            </w:r>
          </w:p>
          <w:p w14:paraId="1F8DC170">
            <w:pPr>
              <w:pStyle w:val="35"/>
              <w:spacing w:before="0" w:beforeAutospacing="0" w:after="0" w:afterAutospacing="0"/>
              <w:ind w:firstLine="482"/>
              <w:jc w:val="both"/>
              <w:rPr>
                <w:rFonts w:ascii="Times New Roman" w:hAnsi="Times New Roman"/>
                <w:b/>
                <w:bCs/>
                <w:color w:val="000000" w:themeColor="text1"/>
                <w:highlight w:val="none"/>
                <w14:textFill>
                  <w14:solidFill>
                    <w14:schemeClr w14:val="tx1"/>
                  </w14:solidFill>
                </w14:textFill>
              </w:rPr>
            </w:pPr>
            <w:r>
              <w:rPr>
                <w:rFonts w:hint="eastAsia" w:ascii="Times New Roman" w:hAnsi="Times New Roman"/>
                <w:b/>
                <w:bCs/>
                <w:color w:val="000000" w:themeColor="text1"/>
                <w:highlight w:val="none"/>
                <w14:textFill>
                  <w14:solidFill>
                    <w14:schemeClr w14:val="tx1"/>
                  </w14:solidFill>
                </w14:textFill>
              </w:rPr>
              <w:t>17、与《云南省土壤污染防治条例》符合性分析</w:t>
            </w:r>
          </w:p>
          <w:p w14:paraId="491AB36D">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项目与《</w:t>
            </w:r>
            <w:r>
              <w:rPr>
                <w:color w:val="000000" w:themeColor="text1"/>
                <w:kern w:val="0"/>
                <w:highlight w:val="none"/>
                <w:lang w:bidi="ar"/>
                <w14:textFill>
                  <w14:solidFill>
                    <w14:schemeClr w14:val="tx1"/>
                  </w14:solidFill>
                </w14:textFill>
              </w:rPr>
              <w:t>云南省</w:t>
            </w:r>
            <w:r>
              <w:rPr>
                <w:rFonts w:hint="eastAsia"/>
                <w:color w:val="000000" w:themeColor="text1"/>
                <w:kern w:val="0"/>
                <w:highlight w:val="none"/>
                <w:lang w:bidi="ar"/>
                <w14:textFill>
                  <w14:solidFill>
                    <w14:schemeClr w14:val="tx1"/>
                  </w14:solidFill>
                </w14:textFill>
              </w:rPr>
              <w:t>土壤污染防治条例》符合性分析如下：</w:t>
            </w:r>
          </w:p>
          <w:p w14:paraId="6F9E0CCA">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表1-9  项目</w:t>
            </w:r>
            <w:r>
              <w:rPr>
                <w:rFonts w:hint="eastAsia"/>
                <w:b/>
                <w:bCs/>
                <w:color w:val="000000" w:themeColor="text1"/>
                <w:kern w:val="0"/>
                <w:sz w:val="21"/>
                <w:szCs w:val="21"/>
                <w:highlight w:val="none"/>
                <w14:textFill>
                  <w14:solidFill>
                    <w14:schemeClr w14:val="tx1"/>
                  </w14:solidFill>
                </w14:textFill>
              </w:rPr>
              <w:t>与《云南省土壤污染防治条例》符合性</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63"/>
              <w:gridCol w:w="3352"/>
              <w:gridCol w:w="428"/>
            </w:tblGrid>
            <w:tr w14:paraId="7427E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650" w:type="pct"/>
                  <w:vAlign w:val="center"/>
                </w:tcPr>
                <w:p w14:paraId="17069C65">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条例内容</w:t>
                  </w:r>
                </w:p>
              </w:tc>
              <w:tc>
                <w:tcPr>
                  <w:tcW w:w="2084" w:type="pct"/>
                  <w:vAlign w:val="center"/>
                </w:tcPr>
                <w:p w14:paraId="7BE672FA">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项目情况</w:t>
                  </w:r>
                </w:p>
              </w:tc>
              <w:tc>
                <w:tcPr>
                  <w:tcW w:w="265" w:type="pct"/>
                  <w:vAlign w:val="center"/>
                </w:tcPr>
                <w:p w14:paraId="48199633">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符合性</w:t>
                  </w:r>
                </w:p>
              </w:tc>
            </w:tr>
            <w:tr w14:paraId="7048F0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2650" w:type="pct"/>
                  <w:vAlign w:val="center"/>
                </w:tcPr>
                <w:p w14:paraId="5083F4DC">
                  <w:pPr>
                    <w:pStyle w:val="64"/>
                    <w:spacing w:before="24" w:after="24"/>
                    <w:ind w:firstLine="42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禁止在居民区和学校、医院、疗养院、养老院等单位周边新建、改建、扩建可能造成土壤污染的建设项目。</w:t>
                  </w:r>
                </w:p>
              </w:tc>
              <w:tc>
                <w:tcPr>
                  <w:tcW w:w="2084" w:type="pct"/>
                  <w:vAlign w:val="center"/>
                </w:tcPr>
                <w:p w14:paraId="01018B84">
                  <w:pPr>
                    <w:pStyle w:val="64"/>
                    <w:spacing w:beforeLines="0" w:afterLines="0" w:line="240" w:lineRule="auto"/>
                    <w:ind w:firstLine="0" w:firstLineChars="0"/>
                    <w:jc w:val="left"/>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项目属于废弃矿坑生态修复项目，位于云南省昆明市寻甸县鸡街镇古城新石桥村大旋塘采石场，周边无学校、医院、疗养院、养老院等单位，与项目回填区距离最近的敏感点为西侧1000m处的新石桥村，最近的农用</w:t>
                  </w:r>
                  <w:r>
                    <w:rPr>
                      <w:rFonts w:hint="eastAsia" w:ascii="Times New Roman"/>
                      <w:color w:val="000000" w:themeColor="text1"/>
                      <w:sz w:val="21"/>
                      <w:highlight w:val="none"/>
                      <w:lang w:val="en-US" w:eastAsia="zh-CN"/>
                      <w14:textFill>
                        <w14:solidFill>
                          <w14:schemeClr w14:val="tx1"/>
                        </w14:solidFill>
                      </w14:textFill>
                    </w:rPr>
                    <w:t>地</w:t>
                  </w:r>
                  <w:r>
                    <w:rPr>
                      <w:rFonts w:hint="eastAsia" w:ascii="Times New Roman"/>
                      <w:color w:val="000000" w:themeColor="text1"/>
                      <w:sz w:val="21"/>
                      <w:highlight w:val="none"/>
                      <w14:textFill>
                        <w14:solidFill>
                          <w14:schemeClr w14:val="tx1"/>
                        </w14:solidFill>
                      </w14:textFill>
                    </w:rPr>
                    <w:t>距离项目25m。项目在填埋过程中采取防渗措施，严格把控入场材料，项目修复不会对周边土壤造成污染。</w:t>
                  </w:r>
                </w:p>
              </w:tc>
              <w:tc>
                <w:tcPr>
                  <w:tcW w:w="265" w:type="pct"/>
                  <w:vAlign w:val="center"/>
                </w:tcPr>
                <w:p w14:paraId="6FC3891C">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4E8B6E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50" w:type="pct"/>
                  <w:vAlign w:val="center"/>
                </w:tcPr>
                <w:p w14:paraId="7174BBC8">
                  <w:pPr>
                    <w:pStyle w:val="64"/>
                    <w:adjustRightInd/>
                    <w:snapToGrid/>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各类涉及土地利用的规划和可能造成土壤污染的建设项目，应当依法进行环境影响评价。环境影响评价文件应当包括对土壤可能造成的不良影响及应当采取的相应预防措施等内容。建设项目配套建设的土壤污染防治设施，应当与主体工程同时设计、同时施工、同时投入使用。</w:t>
                  </w:r>
                </w:p>
              </w:tc>
              <w:tc>
                <w:tcPr>
                  <w:tcW w:w="2084" w:type="pct"/>
                  <w:vAlign w:val="center"/>
                </w:tcPr>
                <w:p w14:paraId="0CA82EF1">
                  <w:pPr>
                    <w:pStyle w:val="64"/>
                    <w:adjustRightInd/>
                    <w:snapToGrid/>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项目采用改性磷石膏对废弃矿坑回填进行生态修复，在修复过程中严格按照设计方案及各规范要求进行防渗措施，不会对周围土壤环境造成污染。</w:t>
                  </w:r>
                </w:p>
              </w:tc>
              <w:tc>
                <w:tcPr>
                  <w:tcW w:w="265" w:type="pct"/>
                  <w:vAlign w:val="center"/>
                </w:tcPr>
                <w:p w14:paraId="70BD0A8D">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bl>
          <w:p w14:paraId="43D27E5A">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综上，项目建设符合《云南省土壤污染防治条例》。</w:t>
            </w:r>
          </w:p>
          <w:p w14:paraId="32E1C024">
            <w:pPr>
              <w:pStyle w:val="35"/>
              <w:spacing w:before="0" w:beforeAutospacing="0" w:after="0" w:afterAutospacing="0"/>
              <w:ind w:firstLine="482"/>
              <w:jc w:val="both"/>
              <w:rPr>
                <w:rFonts w:ascii="Times New Roman" w:hAnsi="Times New Roman"/>
                <w:b/>
                <w:bCs/>
                <w:color w:val="000000" w:themeColor="text1"/>
                <w:highlight w:val="none"/>
                <w14:textFill>
                  <w14:solidFill>
                    <w14:schemeClr w14:val="tx1"/>
                  </w14:solidFill>
                </w14:textFill>
              </w:rPr>
            </w:pPr>
            <w:r>
              <w:rPr>
                <w:rFonts w:hint="eastAsia" w:ascii="Times New Roman" w:hAnsi="Times New Roman"/>
                <w:b/>
                <w:bCs/>
                <w:color w:val="000000" w:themeColor="text1"/>
                <w:highlight w:val="none"/>
                <w14:textFill>
                  <w14:solidFill>
                    <w14:schemeClr w14:val="tx1"/>
                  </w14:solidFill>
                </w14:textFill>
              </w:rPr>
              <w:t>18、与《云南省地下水管理办法》符合性分析</w:t>
            </w:r>
          </w:p>
          <w:p w14:paraId="3353A56D">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项目与《</w:t>
            </w:r>
            <w:r>
              <w:rPr>
                <w:color w:val="000000" w:themeColor="text1"/>
                <w:kern w:val="0"/>
                <w:highlight w:val="none"/>
                <w:lang w:bidi="ar"/>
                <w14:textFill>
                  <w14:solidFill>
                    <w14:schemeClr w14:val="tx1"/>
                  </w14:solidFill>
                </w14:textFill>
              </w:rPr>
              <w:t>云南省</w:t>
            </w:r>
            <w:r>
              <w:rPr>
                <w:rFonts w:hint="eastAsia"/>
                <w:color w:val="000000" w:themeColor="text1"/>
                <w:kern w:val="0"/>
                <w:highlight w:val="none"/>
                <w:lang w:bidi="ar"/>
                <w14:textFill>
                  <w14:solidFill>
                    <w14:schemeClr w14:val="tx1"/>
                  </w14:solidFill>
                </w14:textFill>
              </w:rPr>
              <w:t>地下水管理办法》符合性分析如下：</w:t>
            </w:r>
          </w:p>
          <w:p w14:paraId="371E3FC3">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表1-10  项目</w:t>
            </w:r>
            <w:r>
              <w:rPr>
                <w:rFonts w:hint="eastAsia"/>
                <w:b/>
                <w:bCs/>
                <w:color w:val="000000" w:themeColor="text1"/>
                <w:kern w:val="0"/>
                <w:sz w:val="21"/>
                <w:szCs w:val="21"/>
                <w:highlight w:val="none"/>
                <w14:textFill>
                  <w14:solidFill>
                    <w14:schemeClr w14:val="tx1"/>
                  </w14:solidFill>
                </w14:textFill>
              </w:rPr>
              <w:t>与《云南省地下水管理办法》符合性</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639"/>
              <w:gridCol w:w="1976"/>
              <w:gridCol w:w="428"/>
            </w:tblGrid>
            <w:tr w14:paraId="2F25A2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505" w:type="pct"/>
                  <w:vAlign w:val="center"/>
                </w:tcPr>
                <w:p w14:paraId="5A248515">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办法内容</w:t>
                  </w:r>
                </w:p>
              </w:tc>
              <w:tc>
                <w:tcPr>
                  <w:tcW w:w="1229" w:type="pct"/>
                  <w:vAlign w:val="center"/>
                </w:tcPr>
                <w:p w14:paraId="269716CF">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项目情况</w:t>
                  </w:r>
                </w:p>
              </w:tc>
              <w:tc>
                <w:tcPr>
                  <w:tcW w:w="265" w:type="pct"/>
                  <w:vAlign w:val="center"/>
                </w:tcPr>
                <w:p w14:paraId="33DA8626">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符合性</w:t>
                  </w:r>
                </w:p>
              </w:tc>
            </w:tr>
            <w:tr w14:paraId="585212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3505" w:type="pct"/>
                  <w:vAlign w:val="center"/>
                </w:tcPr>
                <w:p w14:paraId="6DA2DDEC">
                  <w:pPr>
                    <w:pStyle w:val="64"/>
                    <w:spacing w:before="24" w:after="24" w:line="240" w:lineRule="auto"/>
                    <w:ind w:firstLine="0" w:firstLineChars="0"/>
                    <w:jc w:val="left"/>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禁止下列污染或者可能污染地下水的行为：</w:t>
                  </w:r>
                </w:p>
                <w:p w14:paraId="598D816D">
                  <w:pPr>
                    <w:pStyle w:val="64"/>
                    <w:spacing w:before="24" w:after="24" w:line="240" w:lineRule="auto"/>
                    <w:ind w:firstLine="0" w:firstLineChars="0"/>
                    <w:jc w:val="left"/>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（一）利用渗井、渗坑、裂隙、溶洞以及私设暗管等逃避监管的方式排放水污染物；</w:t>
                  </w:r>
                </w:p>
                <w:p w14:paraId="5C53D8A6">
                  <w:pPr>
                    <w:pStyle w:val="64"/>
                    <w:spacing w:before="24" w:after="24" w:line="240" w:lineRule="auto"/>
                    <w:ind w:firstLine="0" w:firstLineChars="0"/>
                    <w:jc w:val="left"/>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（二）利用岩层孔隙、裂隙、溶洞、废弃矿坑等贮存石化原料及产品、农药、危险废物、城镇污水处理设施产生的污泥和处理后的污泥或者其他有毒有害物质；</w:t>
                  </w:r>
                </w:p>
                <w:p w14:paraId="12D3429E">
                  <w:pPr>
                    <w:pStyle w:val="64"/>
                    <w:spacing w:before="24" w:after="24" w:line="240" w:lineRule="auto"/>
                    <w:ind w:firstLine="0" w:firstLineChars="0"/>
                    <w:jc w:val="left"/>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（三）利用无防渗漏措施的沟渠、坑塘等输送或者贮存含有毒污染物的废水、含病原体的污水和其他废弃物；</w:t>
                  </w:r>
                </w:p>
                <w:p w14:paraId="3D71F31E">
                  <w:pPr>
                    <w:pStyle w:val="64"/>
                    <w:adjustRightInd/>
                    <w:snapToGrid/>
                    <w:spacing w:beforeLines="0" w:afterLines="0" w:line="240" w:lineRule="auto"/>
                    <w:ind w:firstLine="0" w:firstLineChars="0"/>
                    <w:jc w:val="left"/>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（四）法律、法规禁止的其他污染或者可能污染地下水的行为。</w:t>
                  </w:r>
                </w:p>
              </w:tc>
              <w:tc>
                <w:tcPr>
                  <w:tcW w:w="1229" w:type="pct"/>
                  <w:vAlign w:val="center"/>
                </w:tcPr>
                <w:p w14:paraId="4413F748">
                  <w:pPr>
                    <w:pStyle w:val="64"/>
                    <w:adjustRightInd/>
                    <w:snapToGrid/>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本项目采用改性磷石膏对废弃矿坑填埋进行生态修复，进场改性磷石膏须经过检测达标，项目不存在上述行为。</w:t>
                  </w:r>
                </w:p>
              </w:tc>
              <w:tc>
                <w:tcPr>
                  <w:tcW w:w="265" w:type="pct"/>
                  <w:vAlign w:val="center"/>
                </w:tcPr>
                <w:p w14:paraId="23A8F2F5">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132B40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3505" w:type="pct"/>
                  <w:vAlign w:val="center"/>
                </w:tcPr>
                <w:p w14:paraId="722ED5CD">
                  <w:pPr>
                    <w:pStyle w:val="64"/>
                    <w:spacing w:before="24" w:after="24" w:line="240" w:lineRule="auto"/>
                    <w:ind w:firstLine="0" w:firstLineChars="0"/>
                    <w:jc w:val="left"/>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企业事业单位和其他生产经营者应当采取下列措施，防止地下水污染：</w:t>
                  </w:r>
                </w:p>
                <w:p w14:paraId="7EAEAA33">
                  <w:pPr>
                    <w:pStyle w:val="64"/>
                    <w:spacing w:before="24" w:after="24" w:line="240" w:lineRule="auto"/>
                    <w:ind w:firstLine="0" w:firstLineChars="0"/>
                    <w:jc w:val="left"/>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（一）兴建地下工程设施或者进行地下勘探、采矿等活动，依法编制的环境影响评价文件中，应当包括地下水污染防治的内容，并采取防护性措施；</w:t>
                  </w:r>
                </w:p>
                <w:p w14:paraId="60E7D2CC">
                  <w:pPr>
                    <w:pStyle w:val="64"/>
                    <w:spacing w:before="24" w:after="24" w:line="240" w:lineRule="auto"/>
                    <w:ind w:firstLine="0" w:firstLineChars="0"/>
                    <w:jc w:val="left"/>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（二）化学品生产企业以及工业集聚区、矿山开采区、尾矿库、危险废物处置场、垃圾填埋场等的运营、管理单位，应当采取防渗漏等措施，建设地下水水质监测井，按照有关标准和技术规范进行监测；</w:t>
                  </w:r>
                </w:p>
                <w:p w14:paraId="1D5C4988">
                  <w:pPr>
                    <w:pStyle w:val="64"/>
                    <w:spacing w:before="24" w:after="24" w:line="240" w:lineRule="auto"/>
                    <w:ind w:firstLine="0" w:firstLineChars="0"/>
                    <w:jc w:val="left"/>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（三）加油站等的地下油罐应当使用双层罐或者采取建造防渗池等其他有效措施，并按照有关标准和技术规范进行防渗漏监测；</w:t>
                  </w:r>
                </w:p>
                <w:p w14:paraId="650EC8D3">
                  <w:pPr>
                    <w:pStyle w:val="64"/>
                    <w:spacing w:before="24" w:after="24" w:line="240" w:lineRule="auto"/>
                    <w:ind w:firstLine="0" w:firstLineChars="0"/>
                    <w:jc w:val="left"/>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（四）存放可溶性剧毒废渣的场所，应当采取防水、防渗漏、防流失的措施；</w:t>
                  </w:r>
                </w:p>
                <w:p w14:paraId="050D06AF">
                  <w:pPr>
                    <w:pStyle w:val="64"/>
                    <w:adjustRightInd/>
                    <w:snapToGrid/>
                    <w:spacing w:beforeLines="0" w:afterLines="0" w:line="240" w:lineRule="auto"/>
                    <w:ind w:firstLine="0" w:firstLineChars="0"/>
                    <w:jc w:val="left"/>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（五）法律、法规规定应当采取的其他防止地下水污染的措施。</w:t>
                  </w:r>
                </w:p>
              </w:tc>
              <w:tc>
                <w:tcPr>
                  <w:tcW w:w="1229" w:type="pct"/>
                  <w:vAlign w:val="center"/>
                </w:tcPr>
                <w:p w14:paraId="75E8568D">
                  <w:pPr>
                    <w:pStyle w:val="64"/>
                    <w:adjustRightInd/>
                    <w:snapToGrid/>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本项目采用改性磷石膏对废弃矿坑填埋进行生态修复，属于生态修复项目，不属于化学品生产、加油站等行业企业，项目修复过程中，采取了地下水污染防治措施，能够有效避免污染地下水。</w:t>
                  </w:r>
                </w:p>
              </w:tc>
              <w:tc>
                <w:tcPr>
                  <w:tcW w:w="265" w:type="pct"/>
                  <w:vAlign w:val="center"/>
                </w:tcPr>
                <w:p w14:paraId="72E1306B">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bl>
          <w:p w14:paraId="4CEBC1AA">
            <w:pPr>
              <w:pStyle w:val="35"/>
              <w:adjustRightInd w:val="0"/>
              <w:snapToGrid w:val="0"/>
              <w:spacing w:before="0" w:beforeAutospacing="0" w:after="0" w:afterAutospacing="0"/>
              <w:ind w:firstLine="480"/>
              <w:jc w:val="both"/>
              <w:rPr>
                <w:rFonts w:ascii="Times New Roman" w:hAnsi="Times New Roman"/>
                <w:b/>
                <w:bCs/>
                <w:color w:val="000000" w:themeColor="text1"/>
                <w:highlight w:val="none"/>
                <w:lang w:bidi="ar"/>
                <w14:textFill>
                  <w14:solidFill>
                    <w14:schemeClr w14:val="tx1"/>
                  </w14:solidFill>
                </w14:textFill>
              </w:rPr>
            </w:pPr>
            <w:r>
              <w:rPr>
                <w:rFonts w:hint="eastAsia" w:ascii="Times New Roman" w:hAnsi="Times New Roman"/>
                <w:color w:val="000000" w:themeColor="text1"/>
                <w:highlight w:val="none"/>
                <w:lang w:bidi="ar"/>
                <w14:textFill>
                  <w14:solidFill>
                    <w14:schemeClr w14:val="tx1"/>
                  </w14:solidFill>
                </w14:textFill>
              </w:rPr>
              <w:t>综上，项目建设符合《</w:t>
            </w:r>
            <w:r>
              <w:rPr>
                <w:rFonts w:ascii="Times New Roman" w:hAnsi="Times New Roman"/>
                <w:color w:val="000000" w:themeColor="text1"/>
                <w:highlight w:val="none"/>
                <w:lang w:bidi="ar"/>
                <w14:textFill>
                  <w14:solidFill>
                    <w14:schemeClr w14:val="tx1"/>
                  </w14:solidFill>
                </w14:textFill>
              </w:rPr>
              <w:t>云南省</w:t>
            </w:r>
            <w:r>
              <w:rPr>
                <w:rFonts w:hint="eastAsia" w:ascii="Times New Roman" w:hAnsi="Times New Roman"/>
                <w:color w:val="000000" w:themeColor="text1"/>
                <w:highlight w:val="none"/>
                <w:lang w:bidi="ar"/>
                <w14:textFill>
                  <w14:solidFill>
                    <w14:schemeClr w14:val="tx1"/>
                  </w14:solidFill>
                </w14:textFill>
              </w:rPr>
              <w:t>地下水管理办法》。</w:t>
            </w:r>
          </w:p>
          <w:p w14:paraId="575934EF">
            <w:pPr>
              <w:pStyle w:val="35"/>
              <w:adjustRightInd w:val="0"/>
              <w:snapToGrid w:val="0"/>
              <w:spacing w:before="0" w:beforeAutospacing="0" w:after="0" w:afterAutospacing="0"/>
              <w:ind w:firstLine="482"/>
              <w:jc w:val="both"/>
              <w:rPr>
                <w:rFonts w:ascii="Times New Roman" w:hAnsi="Times New Roman"/>
                <w:b/>
                <w:bCs/>
                <w:color w:val="000000" w:themeColor="text1"/>
                <w:highlight w:val="none"/>
                <w:lang w:bidi="ar"/>
                <w14:textFill>
                  <w14:solidFill>
                    <w14:schemeClr w14:val="tx1"/>
                  </w14:solidFill>
                </w14:textFill>
              </w:rPr>
            </w:pPr>
            <w:r>
              <w:rPr>
                <w:rFonts w:hint="eastAsia" w:ascii="Times New Roman" w:hAnsi="Times New Roman"/>
                <w:b/>
                <w:bCs/>
                <w:color w:val="000000" w:themeColor="text1"/>
                <w:highlight w:val="none"/>
                <w:lang w:bidi="ar"/>
                <w14:textFill>
                  <w14:solidFill>
                    <w14:schemeClr w14:val="tx1"/>
                  </w14:solidFill>
                </w14:textFill>
              </w:rPr>
              <w:t>19、与《改性磷石膏用于矿山废弃地生态修复回填技术规范》（DB53/T1269-2024）符合性分析</w:t>
            </w:r>
          </w:p>
          <w:p w14:paraId="2BA708DE">
            <w:pPr>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项目与《改性磷石膏用于矿山废弃地生态修复回填技术规范》（DB53/T1269-2024）符合性分析如下：</w:t>
            </w:r>
          </w:p>
          <w:p w14:paraId="7BB1F9A6">
            <w:pPr>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表1-11  项目与《改性磷石膏用于矿山废弃地生态修复回填技术规范》</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21"/>
              <w:gridCol w:w="2976"/>
              <w:gridCol w:w="446"/>
            </w:tblGrid>
            <w:tr w14:paraId="3BEF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873" w:type="pct"/>
                  <w:vAlign w:val="center"/>
                </w:tcPr>
                <w:p w14:paraId="24C28198">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规范要求</w:t>
                  </w:r>
                </w:p>
              </w:tc>
              <w:tc>
                <w:tcPr>
                  <w:tcW w:w="1850" w:type="pct"/>
                  <w:vAlign w:val="center"/>
                </w:tcPr>
                <w:p w14:paraId="4E040E84">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项目情况</w:t>
                  </w:r>
                </w:p>
              </w:tc>
              <w:tc>
                <w:tcPr>
                  <w:tcW w:w="276" w:type="pct"/>
                  <w:vAlign w:val="center"/>
                </w:tcPr>
                <w:p w14:paraId="31B442F5">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符合性</w:t>
                  </w:r>
                </w:p>
              </w:tc>
            </w:tr>
            <w:tr w14:paraId="7E16DC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5000" w:type="pct"/>
                  <w:gridSpan w:val="3"/>
                  <w:vAlign w:val="center"/>
                </w:tcPr>
                <w:p w14:paraId="7C16E4A7">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b/>
                      <w:bCs/>
                      <w:color w:val="000000" w:themeColor="text1"/>
                      <w:sz w:val="21"/>
                      <w:highlight w:val="none"/>
                      <w14:textFill>
                        <w14:solidFill>
                          <w14:schemeClr w14:val="tx1"/>
                        </w14:solidFill>
                      </w14:textFill>
                    </w:rPr>
                    <w:t>选址要求</w:t>
                  </w:r>
                </w:p>
              </w:tc>
            </w:tr>
            <w:tr w14:paraId="64EDA3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21F744FF">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使用改性磷石膏进行生态修复回填的矿山废弃地应符合环境保护法律法规及相关法定规划要求，应当与当地城市总体规划和国土空间规划协调一致，应与当地的生态环境保护、水土资源保护要求相一致。</w:t>
                  </w:r>
                </w:p>
              </w:tc>
              <w:tc>
                <w:tcPr>
                  <w:tcW w:w="1850" w:type="pct"/>
                  <w:vAlign w:val="center"/>
                </w:tcPr>
                <w:p w14:paraId="47073AE2">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采用改性磷石膏对废弃矿山进行生态修复，本项目建设符合《地下水管理条例》《云南省土壤污染防治条例》等相关法律法规，根据表1-12分析，项目与当地国土空间规划、生态环境保护要求一致，项目于2025年3月10日取得《寻甸回族彝族自治县发展和改革局关于寻甸县常青树磷石膏库综合治理项目可行性研究报告批复》（寻发改投资〔2025〕1号）。</w:t>
                  </w:r>
                </w:p>
              </w:tc>
              <w:tc>
                <w:tcPr>
                  <w:tcW w:w="276" w:type="pct"/>
                  <w:vAlign w:val="center"/>
                </w:tcPr>
                <w:p w14:paraId="324464DC">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53E161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64" w:hRule="atLeast"/>
              </w:trPr>
              <w:tc>
                <w:tcPr>
                  <w:tcW w:w="2873" w:type="pct"/>
                  <w:vAlign w:val="center"/>
                </w:tcPr>
                <w:p w14:paraId="4CBF93DA">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使用改性磷石膏进行生态修复回填的矿山废弃地应位于地质条件安全区域，矿山废弃地地质条件应满足回填后的承载力要求，避免地基下沉（特别是不均匀或局部下沉）的影响。</w:t>
                  </w:r>
                </w:p>
              </w:tc>
              <w:tc>
                <w:tcPr>
                  <w:tcW w:w="1850" w:type="pct"/>
                  <w:vAlign w:val="center"/>
                </w:tcPr>
                <w:p w14:paraId="6EFA4A0B">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项目已编制地质灾害危险性评估报告，根据报告可知，项目区现状地质灾害不发育。</w:t>
                  </w:r>
                </w:p>
              </w:tc>
              <w:tc>
                <w:tcPr>
                  <w:tcW w:w="276" w:type="pct"/>
                  <w:vAlign w:val="center"/>
                </w:tcPr>
                <w:p w14:paraId="563C277D">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2851D5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05B88908">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使用改性磷石膏进行生态修复回填的矿山废弃地不应位于饮用水源地、天然滑坡泥石流地区、生态保护红线区、永久基本农田集中区域、溶岩强发育区、存在较多落水洞和岩溶漏斗的区域与其他需要特别保护的区域内。</w:t>
                  </w:r>
                </w:p>
              </w:tc>
              <w:tc>
                <w:tcPr>
                  <w:tcW w:w="1850" w:type="pct"/>
                  <w:vAlign w:val="center"/>
                </w:tcPr>
                <w:p w14:paraId="118FD1A4">
                  <w:pPr>
                    <w:widowControl/>
                    <w:adjustRightInd w:val="0"/>
                    <w:snapToGrid w:val="0"/>
                    <w:spacing w:line="240" w:lineRule="auto"/>
                    <w:ind w:firstLine="0" w:firstLineChars="0"/>
                    <w:jc w:val="center"/>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根据调查，本项目修复区域不位于饮用水源地、天然滑坡泥石流地区、生态保护红线区、项目不占用永久基本农田；根据水文地质勘察报告，项目区岩溶中等发育，不存在较多落水洞和岩溶漏斗的区域与其他需要特别保护的区域内。</w:t>
                  </w:r>
                </w:p>
              </w:tc>
              <w:tc>
                <w:tcPr>
                  <w:tcW w:w="276" w:type="pct"/>
                  <w:vAlign w:val="center"/>
                </w:tcPr>
                <w:p w14:paraId="150AA938">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3CC003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000" w:type="pct"/>
                  <w:gridSpan w:val="3"/>
                  <w:vAlign w:val="center"/>
                </w:tcPr>
                <w:p w14:paraId="04E74BD2">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b/>
                      <w:bCs/>
                      <w:color w:val="000000" w:themeColor="text1"/>
                      <w:sz w:val="21"/>
                      <w:highlight w:val="none"/>
                      <w14:textFill>
                        <w14:solidFill>
                          <w14:schemeClr w14:val="tx1"/>
                        </w14:solidFill>
                      </w14:textFill>
                    </w:rPr>
                    <w:t>回填要求</w:t>
                  </w:r>
                </w:p>
              </w:tc>
            </w:tr>
            <w:tr w14:paraId="0EFE66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4EB0C80A">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矿山废弃地回填区域占地边界原则上不应超过其历史边界，除必要的边坡修正等安全措施外，不应扩大矿山废弃地范围。</w:t>
                  </w:r>
                </w:p>
              </w:tc>
              <w:tc>
                <w:tcPr>
                  <w:tcW w:w="1850" w:type="pct"/>
                  <w:vAlign w:val="center"/>
                </w:tcPr>
                <w:p w14:paraId="368A451A">
                  <w:pPr>
                    <w:pStyle w:val="64"/>
                    <w:adjustRightInd/>
                    <w:snapToGrid/>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项目修复范围在原有图斑范围内进行修复，没有扩大修复范围。</w:t>
                  </w:r>
                </w:p>
              </w:tc>
              <w:tc>
                <w:tcPr>
                  <w:tcW w:w="276" w:type="pct"/>
                  <w:vAlign w:val="center"/>
                </w:tcPr>
                <w:p w14:paraId="1B178F6E">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49557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2E04E8EF">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按照GB51016和GB16423对矿山废弃地边坡及生态修复回填过程中稳定性进行评价，对回填</w:t>
                  </w:r>
                  <w:r>
                    <w:rPr>
                      <w:color w:val="000000" w:themeColor="text1"/>
                      <w:kern w:val="0"/>
                      <w:sz w:val="21"/>
                      <w:szCs w:val="21"/>
                      <w:highlight w:val="none"/>
                      <w:lang w:bidi="ar"/>
                      <w14:textFill>
                        <w14:solidFill>
                          <w14:schemeClr w14:val="tx1"/>
                        </w14:solidFill>
                      </w14:textFill>
                    </w:rPr>
                    <w:t>工艺技术安全性论证，并确定施工</w:t>
                  </w:r>
                  <w:r>
                    <w:rPr>
                      <w:rFonts w:hint="eastAsia"/>
                      <w:color w:val="000000" w:themeColor="text1"/>
                      <w:kern w:val="0"/>
                      <w:sz w:val="21"/>
                      <w:szCs w:val="21"/>
                      <w:highlight w:val="none"/>
                      <w:lang w:bidi="ar"/>
                      <w14:textFill>
                        <w14:solidFill>
                          <w14:schemeClr w14:val="tx1"/>
                        </w14:solidFill>
                      </w14:textFill>
                    </w:rPr>
                    <w:t>方案</w:t>
                  </w:r>
                  <w:r>
                    <w:rPr>
                      <w:color w:val="000000" w:themeColor="text1"/>
                      <w:kern w:val="0"/>
                      <w:sz w:val="21"/>
                      <w:szCs w:val="21"/>
                      <w:highlight w:val="none"/>
                      <w:lang w:bidi="ar"/>
                      <w14:textFill>
                        <w14:solidFill>
                          <w14:schemeClr w14:val="tx1"/>
                        </w14:solidFill>
                      </w14:textFill>
                    </w:rPr>
                    <w:t>。</w:t>
                  </w:r>
                </w:p>
              </w:tc>
              <w:tc>
                <w:tcPr>
                  <w:tcW w:w="1850" w:type="pct"/>
                  <w:vAlign w:val="center"/>
                </w:tcPr>
                <w:p w14:paraId="62E68D6E">
                  <w:pPr>
                    <w:pStyle w:val="64"/>
                    <w:adjustRightInd/>
                    <w:snapToGrid/>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项目已编制《云南省寻甸县大旋塘采石场废弃矿坑堆填设计》，报告中对项目回填过程稳定性进行分析评价，且得出结论，项目用地属稳定性场地，用地适宜性为基本适宜。</w:t>
                  </w:r>
                </w:p>
              </w:tc>
              <w:tc>
                <w:tcPr>
                  <w:tcW w:w="276" w:type="pct"/>
                  <w:vAlign w:val="center"/>
                </w:tcPr>
                <w:p w14:paraId="55313E87">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45DC95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1429012F">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color w:val="000000" w:themeColor="text1"/>
                      <w:kern w:val="0"/>
                      <w:sz w:val="21"/>
                      <w:szCs w:val="21"/>
                      <w:highlight w:val="none"/>
                      <w:lang w:bidi="ar"/>
                      <w14:textFill>
                        <w14:solidFill>
                          <w14:schemeClr w14:val="tx1"/>
                        </w14:solidFill>
                      </w14:textFill>
                    </w:rPr>
                    <w:t>回填施工应避免诱发地质灾害，必要时应按照GB/T40112有关规定，在回填施工前同时开展地质灾害危险性评估。</w:t>
                  </w:r>
                </w:p>
              </w:tc>
              <w:tc>
                <w:tcPr>
                  <w:tcW w:w="1850" w:type="pct"/>
                  <w:vAlign w:val="center"/>
                </w:tcPr>
                <w:p w14:paraId="3B6E722F">
                  <w:pPr>
                    <w:pStyle w:val="64"/>
                    <w:adjustRightInd/>
                    <w:snapToGrid/>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项目已经编制完成《寻甸县常青树磷石膏库综合治理项目地质灾害危险性评估报告》。根据《寻甸县常青树磷石膏库综合治理项目地质灾害危险性评估报告》可知“总体上，拟建工程建设和运营引发、遭受地质灾害危害的可能性、危害性及危险性可能性小-中等，根据现有技术条件，防治难度小。综合评定本工程建设项目用地适宜性为基本适宜。”</w:t>
                  </w:r>
                </w:p>
              </w:tc>
              <w:tc>
                <w:tcPr>
                  <w:tcW w:w="276" w:type="pct"/>
                  <w:vAlign w:val="center"/>
                </w:tcPr>
                <w:p w14:paraId="194AE1A8">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007B2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1282997F">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color w:val="000000" w:themeColor="text1"/>
                      <w:kern w:val="0"/>
                      <w:sz w:val="21"/>
                      <w:szCs w:val="21"/>
                      <w:highlight w:val="none"/>
                      <w:lang w:bidi="ar"/>
                      <w14:textFill>
                        <w14:solidFill>
                          <w14:schemeClr w14:val="tx1"/>
                        </w14:solidFill>
                      </w14:textFill>
                    </w:rPr>
                    <w:t>当矿山废弃地天然基础层饱和</w:t>
                  </w:r>
                  <w:r>
                    <w:rPr>
                      <w:rFonts w:hint="eastAsia"/>
                      <w:color w:val="000000" w:themeColor="text1"/>
                      <w:kern w:val="0"/>
                      <w:sz w:val="21"/>
                      <w:szCs w:val="21"/>
                      <w:highlight w:val="none"/>
                      <w:lang w:bidi="ar"/>
                      <w14:textFill>
                        <w14:solidFill>
                          <w14:schemeClr w14:val="tx1"/>
                        </w14:solidFill>
                      </w14:textFill>
                    </w:rPr>
                    <w:t>渗透系数≤1.0×10</w:t>
                  </w:r>
                  <w:r>
                    <w:rPr>
                      <w:color w:val="000000" w:themeColor="text1"/>
                      <w:kern w:val="0"/>
                      <w:sz w:val="21"/>
                      <w:szCs w:val="21"/>
                      <w:highlight w:val="none"/>
                      <w:vertAlign w:val="superscript"/>
                      <w:lang w:bidi="ar"/>
                      <w14:textFill>
                        <w14:solidFill>
                          <w14:schemeClr w14:val="tx1"/>
                        </w14:solidFill>
                      </w14:textFill>
                    </w:rPr>
                    <w:t>-5</w:t>
                  </w:r>
                  <w:r>
                    <w:rPr>
                      <w:rFonts w:hint="eastAsia"/>
                      <w:color w:val="000000" w:themeColor="text1"/>
                      <w:kern w:val="0"/>
                      <w:sz w:val="21"/>
                      <w:szCs w:val="21"/>
                      <w:highlight w:val="none"/>
                      <w:lang w:bidi="ar"/>
                      <w14:textFill>
                        <w14:solidFill>
                          <w14:schemeClr w14:val="tx1"/>
                        </w14:solidFill>
                      </w14:textFill>
                    </w:rPr>
                    <w:t>cm/s，且厚度</w:t>
                  </w:r>
                  <w:r>
                    <w:rPr>
                      <w:color w:val="000000" w:themeColor="text1"/>
                      <w:kern w:val="0"/>
                      <w:sz w:val="21"/>
                      <w:szCs w:val="21"/>
                      <w:highlight w:val="none"/>
                      <w:lang w:bidi="ar"/>
                      <w14:textFill>
                        <w14:solidFill>
                          <w14:schemeClr w14:val="tx1"/>
                        </w14:solidFill>
                      </w14:textFill>
                    </w:rPr>
                    <w:t>≥0.75m时，可采用天然</w:t>
                  </w:r>
                  <w:r>
                    <w:rPr>
                      <w:rFonts w:hint="eastAsia"/>
                      <w:color w:val="000000" w:themeColor="text1"/>
                      <w:kern w:val="0"/>
                      <w:sz w:val="21"/>
                      <w:szCs w:val="21"/>
                      <w:highlight w:val="none"/>
                      <w:lang w:bidi="ar"/>
                      <w14:textFill>
                        <w14:solidFill>
                          <w14:schemeClr w14:val="tx1"/>
                        </w14:solidFill>
                      </w14:textFill>
                    </w:rPr>
                    <w:t>基础层作为防渗衬层。当天然基础层不满足上述防渗要求时，应采用改性压实粘土类衬层或具有同等以上隔水效力的其他材料防渗衬层，其防渗性能应至少相当于渗透系数为1.0×10</w:t>
                  </w:r>
                  <w:r>
                    <w:rPr>
                      <w:color w:val="000000" w:themeColor="text1"/>
                      <w:kern w:val="0"/>
                      <w:sz w:val="21"/>
                      <w:szCs w:val="21"/>
                      <w:highlight w:val="none"/>
                      <w:vertAlign w:val="superscript"/>
                      <w:lang w:bidi="ar"/>
                      <w14:textFill>
                        <w14:solidFill>
                          <w14:schemeClr w14:val="tx1"/>
                        </w14:solidFill>
                      </w14:textFill>
                    </w:rPr>
                    <w:t>-5</w:t>
                  </w:r>
                  <w:r>
                    <w:rPr>
                      <w:rFonts w:hint="eastAsia"/>
                      <w:color w:val="000000" w:themeColor="text1"/>
                      <w:kern w:val="0"/>
                      <w:sz w:val="21"/>
                      <w:szCs w:val="21"/>
                      <w:highlight w:val="none"/>
                      <w:lang w:bidi="ar"/>
                      <w14:textFill>
                        <w14:solidFill>
                          <w14:schemeClr w14:val="tx1"/>
                        </w14:solidFill>
                      </w14:textFill>
                    </w:rPr>
                    <w:t>cm/s，且厚度为0.75m的天然基础层。</w:t>
                  </w:r>
                </w:p>
              </w:tc>
              <w:tc>
                <w:tcPr>
                  <w:tcW w:w="1850" w:type="pct"/>
                  <w:vAlign w:val="center"/>
                </w:tcPr>
                <w:p w14:paraId="3896CDAA">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根据项目堆填设计，项目区粘土、粉质土渗透系数平均值为</w:t>
                  </w:r>
                  <w:r>
                    <w:rPr>
                      <w:rFonts w:hint="eastAsia"/>
                      <w:color w:val="000000" w:themeColor="text1"/>
                      <w:kern w:val="0"/>
                      <w:sz w:val="21"/>
                      <w:szCs w:val="21"/>
                      <w:highlight w:val="none"/>
                      <w:lang w:val="en-US" w:eastAsia="zh-CN" w:bidi="ar"/>
                      <w14:textFill>
                        <w14:solidFill>
                          <w14:schemeClr w14:val="tx1"/>
                        </w14:solidFill>
                      </w14:textFill>
                    </w:rPr>
                    <w:t>7.53</w:t>
                  </w:r>
                  <w:r>
                    <w:rPr>
                      <w:rFonts w:hint="eastAsia"/>
                      <w:color w:val="000000" w:themeColor="text1"/>
                      <w:kern w:val="0"/>
                      <w:sz w:val="21"/>
                      <w:szCs w:val="21"/>
                      <w:highlight w:val="none"/>
                      <w:lang w:bidi="ar"/>
                      <w14:textFill>
                        <w14:solidFill>
                          <w14:schemeClr w14:val="tx1"/>
                        </w14:solidFill>
                      </w14:textFill>
                    </w:rPr>
                    <w:t>×10</w:t>
                  </w:r>
                  <w:r>
                    <w:rPr>
                      <w:rFonts w:hint="eastAsia"/>
                      <w:color w:val="000000" w:themeColor="text1"/>
                      <w:kern w:val="0"/>
                      <w:sz w:val="21"/>
                      <w:szCs w:val="21"/>
                      <w:highlight w:val="none"/>
                      <w:vertAlign w:val="superscript"/>
                      <w:lang w:bidi="ar"/>
                      <w14:textFill>
                        <w14:solidFill>
                          <w14:schemeClr w14:val="tx1"/>
                        </w14:solidFill>
                      </w14:textFill>
                    </w:rPr>
                    <w:t>-</w:t>
                  </w:r>
                  <w:r>
                    <w:rPr>
                      <w:rFonts w:hint="eastAsia"/>
                      <w:color w:val="000000" w:themeColor="text1"/>
                      <w:kern w:val="0"/>
                      <w:sz w:val="21"/>
                      <w:szCs w:val="21"/>
                      <w:highlight w:val="none"/>
                      <w:vertAlign w:val="superscript"/>
                      <w:lang w:val="en-US" w:eastAsia="zh-CN" w:bidi="ar"/>
                      <w14:textFill>
                        <w14:solidFill>
                          <w14:schemeClr w14:val="tx1"/>
                        </w14:solidFill>
                      </w14:textFill>
                    </w:rPr>
                    <w:t>4</w:t>
                  </w:r>
                  <w:r>
                    <w:rPr>
                      <w:rFonts w:hint="eastAsia"/>
                      <w:color w:val="000000" w:themeColor="text1"/>
                      <w:kern w:val="0"/>
                      <w:sz w:val="21"/>
                      <w:szCs w:val="21"/>
                      <w:highlight w:val="none"/>
                      <w:lang w:bidi="ar"/>
                      <w14:textFill>
                        <w14:solidFill>
                          <w14:schemeClr w14:val="tx1"/>
                        </w14:solidFill>
                      </w14:textFill>
                    </w:rPr>
                    <w:t>cm/s，设计参照磷石膏堆存防渗要求对矿坑场底及岸坡进行全防渗处置。底部及岸坡防渗层结构为在场地整平后，铺0.75m厚黏土层，然后依次铺设聚酯长丝土工布，HDPE防渗膜（渗透系数≤1.0×10</w:t>
                  </w:r>
                  <w:r>
                    <w:rPr>
                      <w:rFonts w:hint="eastAsia"/>
                      <w:color w:val="000000" w:themeColor="text1"/>
                      <w:kern w:val="0"/>
                      <w:sz w:val="21"/>
                      <w:szCs w:val="21"/>
                      <w:highlight w:val="none"/>
                      <w:vertAlign w:val="superscript"/>
                      <w:lang w:bidi="ar"/>
                      <w14:textFill>
                        <w14:solidFill>
                          <w14:schemeClr w14:val="tx1"/>
                        </w14:solidFill>
                      </w14:textFill>
                    </w:rPr>
                    <w:t>-7</w:t>
                  </w:r>
                  <w:r>
                    <w:rPr>
                      <w:rFonts w:hint="eastAsia"/>
                      <w:color w:val="000000" w:themeColor="text1"/>
                      <w:kern w:val="0"/>
                      <w:sz w:val="21"/>
                      <w:szCs w:val="21"/>
                      <w:highlight w:val="none"/>
                      <w:lang w:bidi="ar"/>
                      <w14:textFill>
                        <w14:solidFill>
                          <w14:schemeClr w14:val="tx1"/>
                        </w14:solidFill>
                      </w14:textFill>
                    </w:rPr>
                    <w:t>cm/s），聚酯长丝土工布防渗层。通过设置人工防渗系统将场地基底及岸坡与磷石膏基新型材料产品完全隔离，以达到防渗要求。</w:t>
                  </w:r>
                </w:p>
              </w:tc>
              <w:tc>
                <w:tcPr>
                  <w:tcW w:w="276" w:type="pct"/>
                  <w:vAlign w:val="center"/>
                </w:tcPr>
                <w:p w14:paraId="6C7135E8">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048D43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2ACA1954">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回填区域应设置渗漏监控系统，监控防渗衬层的完整性</w:t>
                  </w:r>
                </w:p>
              </w:tc>
              <w:tc>
                <w:tcPr>
                  <w:tcW w:w="1850" w:type="pct"/>
                  <w:vAlign w:val="center"/>
                </w:tcPr>
                <w:p w14:paraId="6523ABE7">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项目回填区域将设置渗漏监控，符合相关要求。</w:t>
                  </w:r>
                </w:p>
              </w:tc>
              <w:tc>
                <w:tcPr>
                  <w:tcW w:w="276" w:type="pct"/>
                  <w:vAlign w:val="center"/>
                </w:tcPr>
                <w:p w14:paraId="68DC8503">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3318D4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vAlign w:val="center"/>
                </w:tcPr>
                <w:p w14:paraId="3459A46D">
                  <w:pPr>
                    <w:pStyle w:val="64"/>
                    <w:spacing w:beforeLines="0" w:afterLines="0" w:line="240" w:lineRule="auto"/>
                    <w:ind w:firstLine="0" w:firstLineChars="0"/>
                    <w:rPr>
                      <w:rFonts w:ascii="Times New Roman"/>
                      <w:b/>
                      <w:bCs/>
                      <w:color w:val="000000" w:themeColor="text1"/>
                      <w:sz w:val="21"/>
                      <w:highlight w:val="none"/>
                      <w14:textFill>
                        <w14:solidFill>
                          <w14:schemeClr w14:val="tx1"/>
                        </w14:solidFill>
                      </w14:textFill>
                    </w:rPr>
                  </w:pPr>
                  <w:r>
                    <w:rPr>
                      <w:rFonts w:hint="eastAsia" w:ascii="Times New Roman"/>
                      <w:b/>
                      <w:bCs/>
                      <w:color w:val="000000" w:themeColor="text1"/>
                      <w:sz w:val="21"/>
                      <w:highlight w:val="none"/>
                      <w:lang w:bidi="ar"/>
                      <w14:textFill>
                        <w14:solidFill>
                          <w14:schemeClr w14:val="tx1"/>
                        </w14:solidFill>
                      </w14:textFill>
                    </w:rPr>
                    <w:t>生态修复要求</w:t>
                  </w:r>
                </w:p>
              </w:tc>
            </w:tr>
            <w:tr w14:paraId="3710C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2D8EC798">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土地复垦要求</w:t>
                  </w:r>
                </w:p>
                <w:p w14:paraId="292E0040">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依据当地地形条件、水资源及表土资源等自然环境条件和社会发展需求并按照相关规定进行土地复垦。土地复垦实施过程应满足TD/T 1036规定的相关土地复垦质量控制要求。土地复垦后开发利用的，应符合GB 15618和GB 36600相应规划用途的土壤环境质量要求。</w:t>
                  </w:r>
                </w:p>
              </w:tc>
              <w:tc>
                <w:tcPr>
                  <w:tcW w:w="1850" w:type="pct"/>
                  <w:vAlign w:val="center"/>
                </w:tcPr>
                <w:p w14:paraId="7DDDE448">
                  <w:pPr>
                    <w:pStyle w:val="64"/>
                    <w:adjustRightInd/>
                    <w:snapToGrid/>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项目修复完成后，按照《土地复垦质量控制标准》（TD/T1036）规定开展土地复垦，对入场耕植土进行监测，质量满足《土壤环境质量农用地土壤污染风险管控标准（试行）》（</w:t>
                  </w:r>
                  <w:r>
                    <w:rPr>
                      <w:rFonts w:ascii="Times New Roman"/>
                      <w:color w:val="000000" w:themeColor="text1"/>
                      <w:sz w:val="21"/>
                      <w:highlight w:val="none"/>
                      <w14:textFill>
                        <w14:solidFill>
                          <w14:schemeClr w14:val="tx1"/>
                        </w14:solidFill>
                      </w14:textFill>
                    </w:rPr>
                    <w:t>GB15618-2018</w:t>
                  </w:r>
                  <w:r>
                    <w:rPr>
                      <w:rFonts w:hint="eastAsia" w:ascii="Times New Roman"/>
                      <w:color w:val="000000" w:themeColor="text1"/>
                      <w:sz w:val="21"/>
                      <w:highlight w:val="none"/>
                      <w14:textFill>
                        <w14:solidFill>
                          <w14:schemeClr w14:val="tx1"/>
                        </w14:solidFill>
                      </w14:textFill>
                    </w:rPr>
                    <w:t>）相关标准限值要求方可入场。</w:t>
                  </w:r>
                </w:p>
              </w:tc>
              <w:tc>
                <w:tcPr>
                  <w:tcW w:w="276" w:type="pct"/>
                  <w:vAlign w:val="center"/>
                </w:tcPr>
                <w:p w14:paraId="588F7A27">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满足</w:t>
                  </w:r>
                </w:p>
              </w:tc>
            </w:tr>
            <w:tr w14:paraId="142846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679190A5">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植被恢复要求</w:t>
                  </w:r>
                </w:p>
                <w:p w14:paraId="192902C4">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color w:val="000000" w:themeColor="text1"/>
                      <w:kern w:val="0"/>
                      <w:sz w:val="21"/>
                      <w:szCs w:val="21"/>
                      <w:highlight w:val="none"/>
                      <w:lang w:bidi="ar"/>
                      <w14:textFill>
                        <w14:solidFill>
                          <w14:schemeClr w14:val="tx1"/>
                        </w14:solidFill>
                      </w14:textFill>
                    </w:rPr>
                    <w:t>植被恢复设计</w:t>
                  </w:r>
                  <w:r>
                    <w:rPr>
                      <w:rFonts w:hint="eastAsia"/>
                      <w:color w:val="000000" w:themeColor="text1"/>
                      <w:kern w:val="0"/>
                      <w:sz w:val="21"/>
                      <w:szCs w:val="21"/>
                      <w:highlight w:val="none"/>
                      <w:lang w:bidi="ar"/>
                      <w14:textFill>
                        <w14:solidFill>
                          <w14:schemeClr w14:val="tx1"/>
                        </w14:solidFill>
                      </w14:textFill>
                    </w:rPr>
                    <w:t>应</w:t>
                  </w:r>
                  <w:r>
                    <w:rPr>
                      <w:color w:val="000000" w:themeColor="text1"/>
                      <w:kern w:val="0"/>
                      <w:sz w:val="21"/>
                      <w:szCs w:val="21"/>
                      <w:highlight w:val="none"/>
                      <w:lang w:bidi="ar"/>
                      <w14:textFill>
                        <w14:solidFill>
                          <w14:schemeClr w14:val="tx1"/>
                        </w14:solidFill>
                      </w14:textFill>
                    </w:rPr>
                    <w:t>遵从立地条件与植物生态学特征相适应、乡土适生植物优先原则</w:t>
                  </w:r>
                  <w:r>
                    <w:rPr>
                      <w:rFonts w:hint="eastAsia"/>
                      <w:color w:val="000000" w:themeColor="text1"/>
                      <w:kern w:val="0"/>
                      <w:sz w:val="21"/>
                      <w:szCs w:val="21"/>
                      <w:highlight w:val="none"/>
                      <w:lang w:bidi="ar"/>
                      <w14:textFill>
                        <w14:solidFill>
                          <w14:schemeClr w14:val="tx1"/>
                        </w14:solidFill>
                      </w14:textFill>
                    </w:rPr>
                    <w:t>，</w:t>
                  </w:r>
                  <w:r>
                    <w:rPr>
                      <w:color w:val="000000" w:themeColor="text1"/>
                      <w:kern w:val="0"/>
                      <w:sz w:val="21"/>
                      <w:szCs w:val="21"/>
                      <w:highlight w:val="none"/>
                      <w:lang w:bidi="ar"/>
                      <w14:textFill>
                        <w14:solidFill>
                          <w14:schemeClr w14:val="tx1"/>
                        </w14:solidFill>
                      </w14:textFill>
                    </w:rPr>
                    <w:t>考虑植被适应性、结构布局合理性和物种多样性，优先使用原生表土及乡土物种，禁止引入对当地生物多样性造成威胁的外来植物种，重建与周边生态系统相协调的生态系统，最终形成可自然维持的生态系统。植被恢复设计应考虑土地利用类型、回填区与非回填区处理、坡度与边坡处理、水土保持和固土稳定等因素。</w:t>
                  </w:r>
                </w:p>
              </w:tc>
              <w:tc>
                <w:tcPr>
                  <w:tcW w:w="1850" w:type="pct"/>
                  <w:vAlign w:val="center"/>
                </w:tcPr>
                <w:p w14:paraId="6C121E88">
                  <w:pPr>
                    <w:pStyle w:val="64"/>
                    <w:adjustRightInd/>
                    <w:snapToGrid/>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项目已经编制生态修复设计方案，按照方案要求进行植被恢复工作，项目植被种类选用冬樱花、三角梅、狗牙根等，均不属于外来物种。</w:t>
                  </w:r>
                </w:p>
              </w:tc>
              <w:tc>
                <w:tcPr>
                  <w:tcW w:w="276" w:type="pct"/>
                  <w:vAlign w:val="center"/>
                </w:tcPr>
                <w:p w14:paraId="5B7BF7C9">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4665C1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vAlign w:val="center"/>
                </w:tcPr>
                <w:p w14:paraId="5AC83BD4">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b/>
                      <w:bCs/>
                      <w:color w:val="000000" w:themeColor="text1"/>
                      <w:sz w:val="21"/>
                      <w:highlight w:val="none"/>
                      <w14:textFill>
                        <w14:solidFill>
                          <w14:schemeClr w14:val="tx1"/>
                        </w14:solidFill>
                      </w14:textFill>
                    </w:rPr>
                    <w:t>污染控制要求</w:t>
                  </w:r>
                </w:p>
              </w:tc>
            </w:tr>
            <w:tr w14:paraId="0AFE49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6A39DDBE">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应制定回填作业过程中的地下水、地表水、大气、噪声、固体废物、土壤等污染防治措施以及应急措施等，且应严格执行地下水水位控制、渗滤液收集、雨水截排、顶部阻隔等环境保护措施，防止回填过程对周边大气、地下水、地表水和土壤造成污染。</w:t>
                  </w:r>
                </w:p>
              </w:tc>
              <w:tc>
                <w:tcPr>
                  <w:tcW w:w="1850" w:type="pct"/>
                  <w:vAlign w:val="center"/>
                </w:tcPr>
                <w:p w14:paraId="2582533B">
                  <w:pPr>
                    <w:pStyle w:val="64"/>
                    <w:adjustRightInd/>
                    <w:snapToGrid/>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本次评价对回填作业过程中的</w:t>
                  </w:r>
                  <w:r>
                    <w:rPr>
                      <w:rFonts w:hint="eastAsia" w:ascii="Times New Roman"/>
                      <w:color w:val="000000" w:themeColor="text1"/>
                      <w:sz w:val="21"/>
                      <w:highlight w:val="none"/>
                      <w:lang w:bidi="ar"/>
                      <w14:textFill>
                        <w14:solidFill>
                          <w14:schemeClr w14:val="tx1"/>
                        </w14:solidFill>
                      </w14:textFill>
                    </w:rPr>
                    <w:t>地下水、地表水、大气、噪声、固体废物、土壤等污染均提出防治措施，并且建设渗滤液收集、雨水截排等设施，项目回填完成后顶部采取两布一膜防渗措施。</w:t>
                  </w:r>
                </w:p>
              </w:tc>
              <w:tc>
                <w:tcPr>
                  <w:tcW w:w="276" w:type="pct"/>
                  <w:vAlign w:val="center"/>
                </w:tcPr>
                <w:p w14:paraId="692A77DD">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24FAF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7A376232">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回填施工现场应设置收集设施，收集施工过程受雨水溶淋产生的淋滤水。淋滤水可用于回填区扬尘治理或满足GB8978的要求达标排放。</w:t>
                  </w:r>
                </w:p>
              </w:tc>
              <w:tc>
                <w:tcPr>
                  <w:tcW w:w="1850" w:type="pct"/>
                  <w:vAlign w:val="center"/>
                </w:tcPr>
                <w:p w14:paraId="153B62AD">
                  <w:pPr>
                    <w:pStyle w:val="64"/>
                    <w:adjustRightInd/>
                    <w:snapToGrid/>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项目设置渗滤液收集井用于收集渗滤液，收集后用于晴天回填区洒水降尘。</w:t>
                  </w:r>
                </w:p>
              </w:tc>
              <w:tc>
                <w:tcPr>
                  <w:tcW w:w="276" w:type="pct"/>
                  <w:vAlign w:val="center"/>
                </w:tcPr>
                <w:p w14:paraId="2E3D32FF">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31053F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vAlign w:val="center"/>
                </w:tcPr>
                <w:p w14:paraId="69EC5D64">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b/>
                      <w:bCs/>
                      <w:color w:val="000000" w:themeColor="text1"/>
                      <w:sz w:val="21"/>
                      <w:highlight w:val="none"/>
                      <w14:textFill>
                        <w14:solidFill>
                          <w14:schemeClr w14:val="tx1"/>
                        </w14:solidFill>
                      </w14:textFill>
                    </w:rPr>
                    <w:t>回填过程质量监测</w:t>
                  </w:r>
                </w:p>
              </w:tc>
            </w:tr>
            <w:tr w14:paraId="27B069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15E56235">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改性磷石膏的采样规则、检测要求如下：</w:t>
                  </w:r>
                </w:p>
                <w:p w14:paraId="79398BA2">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采样批次：回填规模≤300000T，以5000T改性磷石膏为一批次：300000T&lt;回填规模≤1000000T，以15000T改性磷石膏为一批次：回填规模&gt;1000000T，以30000T改性磷石膏为一批次。</w:t>
                  </w:r>
                </w:p>
                <w:p w14:paraId="11A45675">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b）采样方法：改性磷石膏用于回填区地形重塑后进行采样，结合回填工艺确定采样区域。采样区域使用网格法结合堆积高度确定采样点位数，每批次采样点位不少于3个，每批次份样数不少于6个，将上述份样制成一个混合样，按照HJ/T20中第5章的要求进行制样分析。</w:t>
                  </w:r>
                </w:p>
                <w:p w14:paraId="4809429E">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c）检测要求：应对改性磷石膏浸出液进行检测，浸出方法按照HJ557，检测指标和要求按照环境影响评价文件。</w:t>
                  </w:r>
                </w:p>
              </w:tc>
              <w:tc>
                <w:tcPr>
                  <w:tcW w:w="1850" w:type="pct"/>
                  <w:vAlign w:val="center"/>
                </w:tcPr>
                <w:p w14:paraId="125E1CF4">
                  <w:pPr>
                    <w:widowControl/>
                    <w:adjustRightInd w:val="0"/>
                    <w:snapToGrid w:val="0"/>
                    <w:spacing w:line="240" w:lineRule="auto"/>
                    <w:ind w:firstLine="0" w:firstLineChars="0"/>
                    <w:rPr>
                      <w:color w:val="000000" w:themeColor="text1"/>
                      <w:kern w:val="0"/>
                      <w:sz w:val="21"/>
                      <w:szCs w:val="21"/>
                      <w:highlight w:val="none"/>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本项目改性磷石膏回填量</w:t>
                  </w:r>
                  <w:r>
                    <w:rPr>
                      <w:rFonts w:hint="eastAsia"/>
                      <w:color w:val="000000" w:themeColor="text1"/>
                      <w:kern w:val="0"/>
                      <w:sz w:val="21"/>
                      <w:szCs w:val="21"/>
                      <w:highlight w:val="none"/>
                      <w:lang w:val="en-US" w:eastAsia="zh-CN" w:bidi="ar"/>
                      <w14:textFill>
                        <w14:solidFill>
                          <w14:schemeClr w14:val="tx1"/>
                        </w14:solidFill>
                      </w14:textFill>
                    </w:rPr>
                    <w:t>约</w:t>
                  </w:r>
                  <w:r>
                    <w:rPr>
                      <w:rFonts w:hint="eastAsia"/>
                      <w:color w:val="000000" w:themeColor="text1"/>
                      <w:kern w:val="0"/>
                      <w:sz w:val="21"/>
                      <w:szCs w:val="21"/>
                      <w:highlight w:val="none"/>
                      <w:lang w:bidi="ar"/>
                      <w14:textFill>
                        <w14:solidFill>
                          <w14:schemeClr w14:val="tx1"/>
                        </w14:solidFill>
                      </w14:textFill>
                    </w:rPr>
                    <w:t>为</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215.622万吨</w:t>
                  </w:r>
                  <w:r>
                    <w:rPr>
                      <w:rFonts w:hint="eastAsia"/>
                      <w:color w:val="000000" w:themeColor="text1"/>
                      <w:kern w:val="0"/>
                      <w:sz w:val="21"/>
                      <w:szCs w:val="21"/>
                      <w:highlight w:val="none"/>
                      <w:lang w:bidi="ar"/>
                      <w14:textFill>
                        <w14:solidFill>
                          <w14:schemeClr w14:val="tx1"/>
                        </w14:solidFill>
                      </w14:textFill>
                    </w:rPr>
                    <w:t>，</w:t>
                  </w:r>
                  <w:r>
                    <w:rPr>
                      <w:rFonts w:hint="eastAsia"/>
                      <w:color w:val="000000" w:themeColor="text1"/>
                      <w:kern w:val="0"/>
                      <w:sz w:val="21"/>
                      <w:szCs w:val="21"/>
                      <w:highlight w:val="none"/>
                      <w:lang w:val="en-US" w:eastAsia="zh-CN" w:bidi="ar"/>
                      <w14:textFill>
                        <w14:solidFill>
                          <w14:schemeClr w14:val="tx1"/>
                        </w14:solidFill>
                      </w14:textFill>
                    </w:rPr>
                    <w:t>2156220</w:t>
                  </w:r>
                  <w:r>
                    <w:rPr>
                      <w:rFonts w:hint="eastAsia"/>
                      <w:color w:val="000000" w:themeColor="text1"/>
                      <w:kern w:val="0"/>
                      <w:sz w:val="21"/>
                      <w:szCs w:val="21"/>
                      <w:highlight w:val="none"/>
                      <w:lang w:bidi="ar"/>
                      <w14:textFill>
                        <w14:solidFill>
                          <w14:schemeClr w14:val="tx1"/>
                        </w14:solidFill>
                      </w14:textFill>
                    </w:rPr>
                    <w:t>T&gt;1000000T，以30000T改性磷石膏为一批次，改性磷石膏用于回填区地形重塑后进行采样，结合回填工艺确定采样区域。采样区域使用网格法结合堆积高度确定采样点位数，每批次采样点位不少于3个，每批次份样数不少于6个，将上述份样制成一个混合样，按照HJ/T20中第5章的要求进行制样分析。对改性磷石膏材料浸出液进行检测，按照HJ557规定方法制备改性磷石膏浸出液中任何一种特征污染物浓度均不超过GB 8978最高允许排放浓度（第二类污染物最高允许排放浓度按照一级标准执行）检验合格后方可运入回填区回填，并保留监测记录。</w:t>
                  </w:r>
                </w:p>
              </w:tc>
              <w:tc>
                <w:tcPr>
                  <w:tcW w:w="276" w:type="pct"/>
                  <w:vAlign w:val="center"/>
                </w:tcPr>
                <w:p w14:paraId="254DEAB2">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5020D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509EE837">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回填过程土壤监测要求如下：</w:t>
                  </w:r>
                </w:p>
                <w:p w14:paraId="01948CD9">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a）在矿山废弃地周边雨水易于汇流和积聚的区域以及矿山废弃地外主导风向的下风向区域布设土壤采样监测点，并根据环境风险评估结果，采集表层土壤样品。监测点位可使用5.4.2中已有监测点位或根据实际情况另行增设，表层土壤监测点位数量均不少于4个。</w:t>
                  </w:r>
                </w:p>
                <w:p w14:paraId="2C096D86">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b）土壤监测因子应根据场地环境质量本底情况及第7章提出，具有代表性且能表征磷石膏可能的污染特征。土壤监测因子的分析方法按GB36600或GB15618的规定执行。</w:t>
                  </w:r>
                </w:p>
                <w:p w14:paraId="0045645E">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c）土壤监测点的自行监测频次不少于每年1次。</w:t>
                  </w:r>
                </w:p>
              </w:tc>
              <w:tc>
                <w:tcPr>
                  <w:tcW w:w="1850" w:type="pct"/>
                  <w:vMerge w:val="restart"/>
                  <w:vAlign w:val="center"/>
                </w:tcPr>
                <w:p w14:paraId="4046C092">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color w:val="000000" w:themeColor="text1"/>
                      <w:kern w:val="0"/>
                      <w:sz w:val="21"/>
                      <w:szCs w:val="21"/>
                      <w:highlight w:val="none"/>
                      <w:lang w:bidi="ar"/>
                      <w14:textFill>
                        <w14:solidFill>
                          <w14:schemeClr w14:val="tx1"/>
                        </w14:solidFill>
                      </w14:textFill>
                    </w:rPr>
                    <w:t>项目已制定监测计划，详见表5-5。回填过程应严格落实监测计划，项目设置4个土壤监测点，分别位于项目区北侧非回填区（2个）、项目区外下风向、项目区外南侧。每年检测1次。运营期也需监测，每年1次，</w:t>
                  </w:r>
                  <w:r>
                    <w:rPr>
                      <w:color w:val="000000" w:themeColor="text1"/>
                      <w:sz w:val="21"/>
                      <w:szCs w:val="21"/>
                      <w:highlight w:val="none"/>
                      <w14:textFill>
                        <w14:solidFill>
                          <w14:schemeClr w14:val="tx1"/>
                        </w14:solidFill>
                      </w14:textFill>
                    </w:rPr>
                    <w:t>直到相关指标连续3年内，年均检测指标持续稳定，特征指标不呈上升趋势。</w:t>
                  </w:r>
                  <w:r>
                    <w:rPr>
                      <w:rFonts w:hint="eastAsia"/>
                      <w:kern w:val="0"/>
                      <w:sz w:val="21"/>
                      <w:szCs w:val="21"/>
                      <w:lang w:bidi="ar"/>
                    </w:rPr>
                    <w:t>项目区</w:t>
                  </w:r>
                  <w:r>
                    <w:rPr>
                      <w:rFonts w:hint="eastAsia"/>
                      <w:kern w:val="0"/>
                      <w:sz w:val="21"/>
                      <w:szCs w:val="21"/>
                      <w:lang w:val="en-US" w:eastAsia="zh-CN" w:bidi="ar"/>
                    </w:rPr>
                    <w:t>共设置</w:t>
                  </w:r>
                  <w:r>
                    <w:rPr>
                      <w:rFonts w:hint="eastAsia" w:ascii="宋体" w:hAnsi="宋体"/>
                      <w:kern w:val="0"/>
                      <w:sz w:val="21"/>
                      <w:szCs w:val="21"/>
                    </w:rPr>
                    <w:t>7</w:t>
                  </w:r>
                  <w:r>
                    <w:rPr>
                      <w:rFonts w:ascii="宋体" w:hAnsi="宋体"/>
                      <w:kern w:val="0"/>
                      <w:sz w:val="21"/>
                      <w:szCs w:val="21"/>
                    </w:rPr>
                    <w:t>口地下水监测井</w:t>
                  </w:r>
                  <w:r>
                    <w:rPr>
                      <w:rFonts w:hint="eastAsia"/>
                      <w:kern w:val="0"/>
                      <w:sz w:val="21"/>
                      <w:szCs w:val="21"/>
                      <w:lang w:bidi="ar"/>
                    </w:rPr>
                    <w:t>。</w:t>
                  </w:r>
                  <w:r>
                    <w:rPr>
                      <w:color w:val="000000" w:themeColor="text1"/>
                      <w:sz w:val="21"/>
                      <w:szCs w:val="21"/>
                      <w:highlight w:val="none"/>
                      <w14:textFill>
                        <w14:solidFill>
                          <w14:schemeClr w14:val="tx1"/>
                        </w14:solidFill>
                      </w14:textFill>
                    </w:rPr>
                    <w:t>施工期每年在丰水期、枯水期各监测一次，运营期每年在丰水期、枯水期各监测一次，直到相关指标连续3年内，年均检测指标持续稳定，特征指标不呈上升趋势。</w:t>
                  </w:r>
                </w:p>
              </w:tc>
              <w:tc>
                <w:tcPr>
                  <w:tcW w:w="276" w:type="pct"/>
                  <w:vMerge w:val="restart"/>
                  <w:vAlign w:val="center"/>
                </w:tcPr>
                <w:p w14:paraId="55E571BC">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24103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4A4AB97F">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回填过程地下水监测要求如下：</w:t>
                  </w:r>
                </w:p>
                <w:p w14:paraId="519CF483">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a）回填区所在相对水文地质单元潜水含水层水质监测点应不少于3个，可能受建设项目影响的含水层1～2个。回填区上游及下游影响区的地下水水质监测点各不得少于1个；在包气带厚度超过100m的地区或监测井较难布置的基岩山区，可视情况调整数量，并说明调整理由。</w:t>
                  </w:r>
                </w:p>
                <w:p w14:paraId="11216BA6">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b）地下水常规测定项目应至少包括：氟化物、pH、氯化物、硫酸盐、硝酸盐、亚硝酸盐、铜、锌、汞、砷、硒、镉、铬、铅等监测指标以及改性磷石膏的特征污染物。</w:t>
                  </w:r>
                </w:p>
                <w:p w14:paraId="329A563B">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c）地下水每年在丰、枯水期各监测1次。如监测结果出现异常，应及时进行重新监测，间隔时间不得超过1个月。</w:t>
                  </w:r>
                </w:p>
              </w:tc>
              <w:tc>
                <w:tcPr>
                  <w:tcW w:w="1850" w:type="pct"/>
                  <w:vMerge w:val="continue"/>
                  <w:vAlign w:val="center"/>
                </w:tcPr>
                <w:p w14:paraId="29CAD210">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p>
              </w:tc>
              <w:tc>
                <w:tcPr>
                  <w:tcW w:w="276" w:type="pct"/>
                  <w:vMerge w:val="continue"/>
                  <w:vAlign w:val="center"/>
                </w:tcPr>
                <w:p w14:paraId="73914944">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p>
              </w:tc>
            </w:tr>
            <w:tr w14:paraId="6B183A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7BD68BA7">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回填过程地表水监测要求如下：</w:t>
                  </w:r>
                </w:p>
                <w:p w14:paraId="5E8B05EC">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a）对于存在影响地表水的回填项目，应按照HJ819要求，确定地表水监测点位。</w:t>
                  </w:r>
                </w:p>
                <w:p w14:paraId="4199C818">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b）根据GB3838及第7章确定监测指标。监测点位和采样具体要求与5.4.4中要求保持一致。c）监测频次为季度性监测，对于周边存在地表水环境敏感区域或目标的，还需要增加监测频次。如监测结果出现异常，应及时进行重新监测，间隔时间不得超过1个月。</w:t>
                  </w:r>
                </w:p>
              </w:tc>
              <w:tc>
                <w:tcPr>
                  <w:tcW w:w="1850" w:type="pct"/>
                  <w:vMerge w:val="continue"/>
                  <w:vAlign w:val="center"/>
                </w:tcPr>
                <w:p w14:paraId="46BB4C2A">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p>
              </w:tc>
              <w:tc>
                <w:tcPr>
                  <w:tcW w:w="276" w:type="pct"/>
                  <w:vMerge w:val="continue"/>
                  <w:vAlign w:val="center"/>
                </w:tcPr>
                <w:p w14:paraId="4275122B">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p>
              </w:tc>
            </w:tr>
            <w:tr w14:paraId="53AA7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39E0884D">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回填过程淋滤水监测要求如下：</w:t>
                  </w:r>
                </w:p>
                <w:p w14:paraId="34433A4D">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a）回填过程中，对淋滤水等进行收集，并根据GB 8978及第7章确定监测指标。</w:t>
                  </w:r>
                </w:p>
                <w:p w14:paraId="69222B79">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b）监测频次为季度性监测。</w:t>
                  </w:r>
                </w:p>
              </w:tc>
              <w:tc>
                <w:tcPr>
                  <w:tcW w:w="1850" w:type="pct"/>
                  <w:vMerge w:val="continue"/>
                  <w:vAlign w:val="center"/>
                </w:tcPr>
                <w:p w14:paraId="3886E094">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p>
              </w:tc>
              <w:tc>
                <w:tcPr>
                  <w:tcW w:w="276" w:type="pct"/>
                  <w:vMerge w:val="continue"/>
                  <w:vAlign w:val="center"/>
                </w:tcPr>
                <w:p w14:paraId="453D8150">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p>
              </w:tc>
            </w:tr>
            <w:tr w14:paraId="60A5C1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3DA11BF4">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回填过程大气监测要求如下：</w:t>
                  </w:r>
                </w:p>
                <w:p w14:paraId="3BAB1216">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a）采样点布设、采样及分析方法按 GB 16297的规定执行，污染源下风方向应为主要监测范围。</w:t>
                  </w:r>
                </w:p>
                <w:p w14:paraId="1BA69FC8">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b）无组织气体排放常规监测因子应至少包括颗粒物等。</w:t>
                  </w:r>
                </w:p>
                <w:p w14:paraId="2680E059">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c）监测频次不少于每季度1次。如监测结果出现异常，应及时进行重新监测，间隔时间不得超过1周。</w:t>
                  </w:r>
                </w:p>
              </w:tc>
              <w:tc>
                <w:tcPr>
                  <w:tcW w:w="1850" w:type="pct"/>
                  <w:vMerge w:val="continue"/>
                  <w:vAlign w:val="center"/>
                </w:tcPr>
                <w:p w14:paraId="674B9D2E">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p>
              </w:tc>
              <w:tc>
                <w:tcPr>
                  <w:tcW w:w="276" w:type="pct"/>
                  <w:vMerge w:val="continue"/>
                  <w:vAlign w:val="center"/>
                </w:tcPr>
                <w:p w14:paraId="0B7DE27D">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p>
              </w:tc>
            </w:tr>
            <w:tr w14:paraId="137D2A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09ED231A">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回填过程噪声监测要求如下：</w:t>
                  </w:r>
                </w:p>
                <w:p w14:paraId="56E96172">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a）回填作业期间的噪声测量方法及环境噪声排放限值按照GB12523的规定执行。</w:t>
                  </w:r>
                </w:p>
                <w:p w14:paraId="370E1DBF">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b）监测频次不少于每季度1次。</w:t>
                  </w:r>
                </w:p>
              </w:tc>
              <w:tc>
                <w:tcPr>
                  <w:tcW w:w="1850" w:type="pct"/>
                  <w:vMerge w:val="continue"/>
                  <w:vAlign w:val="center"/>
                </w:tcPr>
                <w:p w14:paraId="5B5A8AC7">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p>
              </w:tc>
              <w:tc>
                <w:tcPr>
                  <w:tcW w:w="276" w:type="pct"/>
                  <w:vMerge w:val="continue"/>
                  <w:vAlign w:val="center"/>
                </w:tcPr>
                <w:p w14:paraId="2A624FB9">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p>
              </w:tc>
            </w:tr>
            <w:tr w14:paraId="2F25E3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873" w:type="pct"/>
                  <w:vAlign w:val="center"/>
                </w:tcPr>
                <w:p w14:paraId="37B609DB">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生态环境质量监测要求</w:t>
                  </w:r>
                </w:p>
                <w:p w14:paraId="7A6D27F8">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生态修复后，工程区域土壤质量监测按照12.2.3执行、地下水质量监测按照12.2.4执行、地表水质量监测按照12.2.5执行，直到相关指标连续3年内，年均检测指标持续稳定，特征指标不呈上升趋势。当发现年均监测指标呈上升趋势，应当采取相应的对策措施。</w:t>
                  </w:r>
                </w:p>
              </w:tc>
              <w:tc>
                <w:tcPr>
                  <w:tcW w:w="1850" w:type="pct"/>
                  <w:vMerge w:val="continue"/>
                  <w:vAlign w:val="center"/>
                </w:tcPr>
                <w:p w14:paraId="686FAE0C">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p>
              </w:tc>
              <w:tc>
                <w:tcPr>
                  <w:tcW w:w="276" w:type="pct"/>
                  <w:vMerge w:val="continue"/>
                  <w:vAlign w:val="center"/>
                </w:tcPr>
                <w:p w14:paraId="4E33B219">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p>
              </w:tc>
            </w:tr>
          </w:tbl>
          <w:p w14:paraId="573270A9">
            <w:pPr>
              <w:pStyle w:val="39"/>
              <w:ind w:firstLine="480"/>
              <w:rPr>
                <w:color w:val="000000" w:themeColor="text1"/>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综上，项目建设符合《改性磷石膏用于矿山废弃地生态修复回填技术规范》（DB53/T1269-2024）要求。</w:t>
            </w:r>
          </w:p>
          <w:p w14:paraId="194E2BB4">
            <w:pPr>
              <w:pStyle w:val="35"/>
              <w:adjustRightInd w:val="0"/>
              <w:snapToGrid w:val="0"/>
              <w:spacing w:before="0" w:beforeAutospacing="0" w:after="0" w:afterAutospacing="0"/>
              <w:ind w:firstLine="482"/>
              <w:jc w:val="both"/>
              <w:rPr>
                <w:rFonts w:ascii="Times New Roman" w:hAnsi="Times New Roman"/>
                <w:b/>
                <w:bCs/>
                <w:color w:val="000000" w:themeColor="text1"/>
                <w:highlight w:val="none"/>
                <w:lang w:bidi="ar"/>
                <w14:textFill>
                  <w14:solidFill>
                    <w14:schemeClr w14:val="tx1"/>
                  </w14:solidFill>
                </w14:textFill>
              </w:rPr>
            </w:pPr>
            <w:r>
              <w:rPr>
                <w:rFonts w:hint="eastAsia" w:ascii="Times New Roman" w:hAnsi="Times New Roman"/>
                <w:b/>
                <w:bCs/>
                <w:color w:val="000000" w:themeColor="text1"/>
                <w:highlight w:val="none"/>
                <w:lang w:bidi="ar"/>
                <w14:textFill>
                  <w14:solidFill>
                    <w14:schemeClr w14:val="tx1"/>
                  </w14:solidFill>
                </w14:textFill>
              </w:rPr>
              <w:t>20、与昆明市改性磷石膏综合利用相关规范符合性分析</w:t>
            </w:r>
          </w:p>
          <w:p w14:paraId="7F21FB91">
            <w:pPr>
              <w:widowControl/>
              <w:spacing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表1-12  项目与昆明市改性磷石膏综合利用相关规范符合性分析</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33"/>
              <w:gridCol w:w="3669"/>
              <w:gridCol w:w="441"/>
            </w:tblGrid>
            <w:tr w14:paraId="047738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2445" w:type="pct"/>
                  <w:vAlign w:val="center"/>
                </w:tcPr>
                <w:p w14:paraId="4E94FAA6">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规范要求</w:t>
                  </w:r>
                </w:p>
              </w:tc>
              <w:tc>
                <w:tcPr>
                  <w:tcW w:w="2281" w:type="pct"/>
                  <w:vAlign w:val="center"/>
                </w:tcPr>
                <w:p w14:paraId="13AC2206">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项目情况</w:t>
                  </w:r>
                </w:p>
              </w:tc>
              <w:tc>
                <w:tcPr>
                  <w:tcW w:w="272" w:type="pct"/>
                  <w:vAlign w:val="center"/>
                </w:tcPr>
                <w:p w14:paraId="6A6A988F">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14:textFill>
                        <w14:solidFill>
                          <w14:schemeClr w14:val="tx1"/>
                        </w14:solidFill>
                      </w14:textFill>
                    </w:rPr>
                    <w:t>符合性</w:t>
                  </w:r>
                </w:p>
              </w:tc>
            </w:tr>
            <w:tr w14:paraId="718ACD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5000" w:type="pct"/>
                  <w:gridSpan w:val="3"/>
                  <w:vAlign w:val="center"/>
                </w:tcPr>
                <w:p w14:paraId="0B5D1983">
                  <w:pPr>
                    <w:widowControl/>
                    <w:spacing w:line="240" w:lineRule="auto"/>
                    <w:ind w:firstLine="0" w:firstLineChars="0"/>
                    <w:jc w:val="center"/>
                    <w:rPr>
                      <w:b/>
                      <w:bCs/>
                      <w:color w:val="000000" w:themeColor="text1"/>
                      <w:kern w:val="0"/>
                      <w:sz w:val="21"/>
                      <w:szCs w:val="21"/>
                      <w:highlight w:val="none"/>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改性磷石膏综合利用  矿山生态修复过程环境监管规范</w:t>
                  </w:r>
                </w:p>
              </w:tc>
            </w:tr>
            <w:tr w14:paraId="3C3C5B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4" w:hRule="atLeast"/>
              </w:trPr>
              <w:tc>
                <w:tcPr>
                  <w:tcW w:w="5000" w:type="pct"/>
                  <w:gridSpan w:val="3"/>
                  <w:vAlign w:val="center"/>
                </w:tcPr>
                <w:p w14:paraId="63BEEB1E">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入场管理</w:t>
                  </w:r>
                </w:p>
              </w:tc>
            </w:tr>
            <w:tr w14:paraId="3EAF31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5" w:type="pct"/>
                  <w:vAlign w:val="center"/>
                </w:tcPr>
                <w:p w14:paraId="03AEE243">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改性磷石膏的质量特性应满足DB5301/T98-2023中4.2的规定</w:t>
                  </w:r>
                </w:p>
              </w:tc>
              <w:tc>
                <w:tcPr>
                  <w:tcW w:w="2281" w:type="pct"/>
                  <w:vAlign w:val="center"/>
                </w:tcPr>
                <w:p w14:paraId="26ACF4DF">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项目要求改性磷石膏生态修复材料需经检测满足相关规定</w:t>
                  </w:r>
                </w:p>
              </w:tc>
              <w:tc>
                <w:tcPr>
                  <w:tcW w:w="272" w:type="pct"/>
                  <w:vAlign w:val="center"/>
                </w:tcPr>
                <w:p w14:paraId="6B798713">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6B2D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00" w:type="pct"/>
                  <w:gridSpan w:val="3"/>
                  <w:vAlign w:val="center"/>
                </w:tcPr>
                <w:p w14:paraId="09AED6DA">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b/>
                      <w:bCs/>
                      <w:color w:val="000000" w:themeColor="text1"/>
                      <w:sz w:val="21"/>
                      <w:highlight w:val="none"/>
                      <w:lang w:bidi="ar"/>
                      <w14:textFill>
                        <w14:solidFill>
                          <w14:schemeClr w14:val="tx1"/>
                        </w14:solidFill>
                      </w14:textFill>
                    </w:rPr>
                    <w:t>改性磷石膏综合利用  矿山生态修复环境风险评估规范</w:t>
                  </w:r>
                </w:p>
              </w:tc>
            </w:tr>
            <w:tr w14:paraId="799AB5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5" w:type="pct"/>
                  <w:vAlign w:val="center"/>
                </w:tcPr>
                <w:p w14:paraId="03934A2B">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对改性磷石膏用于露天开采矿山生态修复项目选址、环境现状和环境风险进行评估，提出项目实施对土壤、地表水、地下水环境和风险受体存在的风险，为改性磷石膏用于露天开采矿山生态修复的生态环境可接受性提供技术依据。</w:t>
                  </w:r>
                </w:p>
              </w:tc>
              <w:tc>
                <w:tcPr>
                  <w:tcW w:w="2281" w:type="pct"/>
                  <w:vAlign w:val="center"/>
                </w:tcPr>
                <w:p w14:paraId="22A82DE2">
                  <w:pPr>
                    <w:widowControl/>
                    <w:tabs>
                      <w:tab w:val="left" w:pos="1440"/>
                    </w:tabs>
                    <w:spacing w:line="240" w:lineRule="auto"/>
                    <w:ind w:firstLine="0" w:firstLineChars="0"/>
                    <w:jc w:val="left"/>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本项目已经根据规范要求编制了环境风险评估报告并于2025年</w:t>
                  </w:r>
                  <w:r>
                    <w:rPr>
                      <w:rFonts w:hint="eastAsia"/>
                      <w:color w:val="000000" w:themeColor="text1"/>
                      <w:kern w:val="0"/>
                      <w:sz w:val="21"/>
                      <w:szCs w:val="21"/>
                      <w:highlight w:val="none"/>
                      <w:lang w:val="en-US" w:eastAsia="zh-CN" w:bidi="ar"/>
                      <w14:textFill>
                        <w14:solidFill>
                          <w14:schemeClr w14:val="tx1"/>
                        </w14:solidFill>
                      </w14:textFill>
                    </w:rPr>
                    <w:t>9</w:t>
                  </w:r>
                  <w:r>
                    <w:rPr>
                      <w:rFonts w:hint="eastAsia"/>
                      <w:color w:val="000000" w:themeColor="text1"/>
                      <w:kern w:val="0"/>
                      <w:sz w:val="21"/>
                      <w:szCs w:val="21"/>
                      <w:highlight w:val="none"/>
                      <w:lang w:bidi="ar"/>
                      <w14:textFill>
                        <w14:solidFill>
                          <w14:schemeClr w14:val="tx1"/>
                        </w14:solidFill>
                      </w14:textFill>
                    </w:rPr>
                    <w:t>月通过专家评审会，取得评审意见。根据《云南省寻甸县大旋塘采石场废弃矿坑生态修复环境风险评估报告》可知，项目实施后对区域生态环境恢复以及对提高区域改性磷石膏基生态修复材料综合利用率具有积极作用。项目选址符合环境保护法律法规及相关法定规划的要求，与该区域生态环境保护、矿山生态修复计划、水土资源保持目标相一致。项目区及周边环境质量良好，在采取相关措施后，项目渗滤液泄漏的概率很低，对引起土壤氟化物污染的风险较低。项目实施后，林草植被覆盖率的增加，能改善土壤物理、化学性状，提高土壤肥力，项目实施对该区域土壤结构改善有积极意义。对施工废水以及渗滤液进行收集，收集设施与项目区做好防渗后，对周边区域地表水、地下水影响较小。项目实施对项目区土壤、地下水、地表水环境和风险受体存在的风险可接受，项目实施可行，建设单位应该认真按照设计方案进行施工建设，并认真委托专业单位开展施工监理工作，生态修复回填作业过程中定期对回填完毕台阶和截排水沟进行巡检，根据应急预案做好各项风险防范措施，完善管理制度，项目环境风险可控。</w:t>
                  </w:r>
                </w:p>
              </w:tc>
              <w:tc>
                <w:tcPr>
                  <w:tcW w:w="272" w:type="pct"/>
                  <w:vAlign w:val="center"/>
                </w:tcPr>
                <w:p w14:paraId="61FD8002">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3EBE96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5" w:type="pct"/>
                  <w:vAlign w:val="center"/>
                </w:tcPr>
                <w:p w14:paraId="2FBE2333">
                  <w:pPr>
                    <w:widowControl/>
                    <w:adjustRightInd w:val="0"/>
                    <w:snapToGrid w:val="0"/>
                    <w:spacing w:line="240" w:lineRule="auto"/>
                    <w:ind w:firstLine="0" w:firstLineChars="0"/>
                    <w:rPr>
                      <w:color w:val="000000" w:themeColor="text1"/>
                      <w:highlight w:val="none"/>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5.1选址应符合环境保护法律法规及相关法定规划的要求，与该区域生态环境保护、矿山生态修复计划、水土资源保护目标相一致。</w:t>
                  </w:r>
                </w:p>
              </w:tc>
              <w:tc>
                <w:tcPr>
                  <w:tcW w:w="2281" w:type="pct"/>
                  <w:vAlign w:val="center"/>
                </w:tcPr>
                <w:p w14:paraId="205A4E54">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项目修复区域位于寻甸县鸡街镇古城新石桥村大旋塘采石场废弃矿坑，项目周边无饮用水水源保护区，项目选址符合环境保护法律法规及相关法定规划的要求。</w:t>
                  </w:r>
                </w:p>
              </w:tc>
              <w:tc>
                <w:tcPr>
                  <w:tcW w:w="272" w:type="pct"/>
                  <w:vAlign w:val="center"/>
                </w:tcPr>
                <w:p w14:paraId="01740BE3">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r w14:paraId="41CDC9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445" w:type="pct"/>
                  <w:vAlign w:val="center"/>
                </w:tcPr>
                <w:p w14:paraId="292C4B80">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5.2选址区域地质结构条件应满足生态修复后承载力的要求，不应位于下列区域：a）国务院有关部门及地方人民政府划定的生态保护红线区域、永久基本农田集中区域和其他需要特定保护的区域内，以及法律法规规定的其他禁止建设区域；b）活动断层、溶洞区、天然滑坡或泥石流影响区以及湿地等区域；c）集中式饮用水源保护区，江河、湖泊、运河、渠道、水库最高水位线以下的滩地和岸坡，以及国家和地方长远规划中的水库等人工蓄水设施的淹没区和保护区。</w:t>
                  </w:r>
                </w:p>
              </w:tc>
              <w:tc>
                <w:tcPr>
                  <w:tcW w:w="2281" w:type="pct"/>
                  <w:vAlign w:val="center"/>
                </w:tcPr>
                <w:p w14:paraId="733A3607">
                  <w:pPr>
                    <w:widowControl/>
                    <w:adjustRightInd w:val="0"/>
                    <w:snapToGrid w:val="0"/>
                    <w:spacing w:line="240" w:lineRule="auto"/>
                    <w:ind w:firstLine="0" w:firstLineChars="0"/>
                    <w:rPr>
                      <w:color w:val="000000" w:themeColor="text1"/>
                      <w:kern w:val="0"/>
                      <w:sz w:val="21"/>
                      <w:szCs w:val="21"/>
                      <w:highlight w:val="none"/>
                      <w:lang w:bidi="ar"/>
                      <w14:textFill>
                        <w14:solidFill>
                          <w14:schemeClr w14:val="tx1"/>
                        </w14:solidFill>
                      </w14:textFill>
                    </w:rPr>
                  </w:pPr>
                  <w:r>
                    <w:rPr>
                      <w:rFonts w:hint="eastAsia"/>
                      <w:color w:val="000000" w:themeColor="text1"/>
                      <w:kern w:val="0"/>
                      <w:sz w:val="21"/>
                      <w:szCs w:val="21"/>
                      <w:highlight w:val="none"/>
                      <w:lang w:bidi="ar"/>
                      <w14:textFill>
                        <w14:solidFill>
                          <w14:schemeClr w14:val="tx1"/>
                        </w14:solidFill>
                      </w14:textFill>
                    </w:rPr>
                    <w:t>项目区域岩土体硬度较高，稳定性较好，满足生态修复后承载力。项目不位于国务院有关部门及地方人民政府划定的生态保护红线区域、永久基本农田集中区域和其他需要特定保护的区域内，以及法律法规规定的其他禁止建设区域。根据相关查询意见，项目不涉及生态保护红线、永久基本农田，不在城镇开发边界内。根据项目《云南省寻甸县大旋塘采石场废弃矿坑生态修复水文地质勘察报告》相关资料，项目不位于活动断层、溶洞区、天然滑坡或泥石流影响区以及湿地等区域。项目不位于集中式饮用水源保护区，江河、湖泊、运河、渠道、水库最高水位线以下的滩地和岸坡，以及国家和地方长远规划中的水库等人工蓄水设施的淹没区和保护区。</w:t>
                  </w:r>
                </w:p>
              </w:tc>
              <w:tc>
                <w:tcPr>
                  <w:tcW w:w="272" w:type="pct"/>
                  <w:vAlign w:val="center"/>
                </w:tcPr>
                <w:p w14:paraId="7C05D723">
                  <w:pPr>
                    <w:pStyle w:val="64"/>
                    <w:spacing w:beforeLines="0" w:afterLines="0" w:line="240" w:lineRule="auto"/>
                    <w:ind w:firstLine="0" w:firstLineChars="0"/>
                    <w:rPr>
                      <w:rFonts w:ascii="Times New Roman"/>
                      <w:color w:val="000000" w:themeColor="text1"/>
                      <w:sz w:val="21"/>
                      <w:highlight w:val="none"/>
                      <w14:textFill>
                        <w14:solidFill>
                          <w14:schemeClr w14:val="tx1"/>
                        </w14:solidFill>
                      </w14:textFill>
                    </w:rPr>
                  </w:pPr>
                  <w:r>
                    <w:rPr>
                      <w:rFonts w:hint="eastAsia" w:ascii="Times New Roman"/>
                      <w:color w:val="000000" w:themeColor="text1"/>
                      <w:sz w:val="21"/>
                      <w:highlight w:val="none"/>
                      <w14:textFill>
                        <w14:solidFill>
                          <w14:schemeClr w14:val="tx1"/>
                        </w14:solidFill>
                      </w14:textFill>
                    </w:rPr>
                    <w:t>符合</w:t>
                  </w:r>
                </w:p>
              </w:tc>
            </w:tr>
          </w:tbl>
          <w:p w14:paraId="5B8D9DB2">
            <w:pPr>
              <w:widowControl/>
              <w:adjustRightInd w:val="0"/>
              <w:snapToGrid w:val="0"/>
              <w:ind w:firstLine="480"/>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综上，项目建设符合昆明市发布的改性磷石膏综合利用相关标准规范。</w:t>
            </w:r>
          </w:p>
          <w:p w14:paraId="4EC3F859">
            <w:pPr>
              <w:pStyle w:val="35"/>
              <w:adjustRightInd w:val="0"/>
              <w:snapToGrid w:val="0"/>
              <w:spacing w:before="0" w:beforeAutospacing="0" w:after="0" w:afterAutospacing="0"/>
              <w:ind w:firstLine="482"/>
              <w:jc w:val="both"/>
              <w:rPr>
                <w:rFonts w:ascii="Times New Roman" w:hAnsi="Times New Roman"/>
                <w:b/>
                <w:bCs/>
                <w:color w:val="000000" w:themeColor="text1"/>
                <w:highlight w:val="none"/>
                <w:lang w:bidi="ar"/>
                <w14:textFill>
                  <w14:solidFill>
                    <w14:schemeClr w14:val="tx1"/>
                  </w14:solidFill>
                </w14:textFill>
              </w:rPr>
            </w:pPr>
            <w:r>
              <w:rPr>
                <w:rFonts w:hint="eastAsia" w:ascii="Times New Roman" w:hAnsi="Times New Roman"/>
                <w:b/>
                <w:bCs/>
                <w:color w:val="000000" w:themeColor="text1"/>
                <w:highlight w:val="none"/>
                <w:lang w:bidi="ar"/>
                <w14:textFill>
                  <w14:solidFill>
                    <w14:schemeClr w14:val="tx1"/>
                  </w14:solidFill>
                </w14:textFill>
              </w:rPr>
              <w:t>21、与《寻甸回族彝族自治县国土空间总体规划（2021—2035年）》符合性分析</w:t>
            </w:r>
          </w:p>
          <w:p w14:paraId="785FE8EE">
            <w:pPr>
              <w:pStyle w:val="38"/>
              <w:spacing w:line="240" w:lineRule="auto"/>
              <w:ind w:firstLine="0" w:firstLineChars="0"/>
              <w:jc w:val="center"/>
              <w:rPr>
                <w:b/>
                <w:bCs/>
                <w:color w:val="000000" w:themeColor="text1"/>
                <w:kern w:val="0"/>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表1-13 项目与《寻甸回族彝族自治县国土空间总体规划（2021—2035年）》符合性分析</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00"/>
              <w:gridCol w:w="2950"/>
              <w:gridCol w:w="896"/>
            </w:tblGrid>
            <w:tr w14:paraId="79B79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0" w:type="dxa"/>
                </w:tcPr>
                <w:p w14:paraId="69156DDF">
                  <w:pPr>
                    <w:pStyle w:val="86"/>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规划要求</w:t>
                  </w:r>
                </w:p>
              </w:tc>
              <w:tc>
                <w:tcPr>
                  <w:tcW w:w="2950" w:type="dxa"/>
                </w:tcPr>
                <w:p w14:paraId="2E6730F7">
                  <w:pPr>
                    <w:pStyle w:val="86"/>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项目情况</w:t>
                  </w:r>
                </w:p>
              </w:tc>
              <w:tc>
                <w:tcPr>
                  <w:tcW w:w="896" w:type="dxa"/>
                </w:tcPr>
                <w:p w14:paraId="78E57335">
                  <w:pPr>
                    <w:pStyle w:val="86"/>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符合性</w:t>
                  </w:r>
                </w:p>
              </w:tc>
            </w:tr>
            <w:tr w14:paraId="3A700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0" w:type="dxa"/>
                  <w:vAlign w:val="center"/>
                </w:tcPr>
                <w:p w14:paraId="7BE6E877">
                  <w:pPr>
                    <w:pStyle w:val="8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中部——发展绿色工业、加工服务型农业、城市配套综合服务业；东部——推动仁德、七星联动，发展康体休闲度假养老养生旅游；西部——生态涵养功能提升，巩固发展山地牧业、特色种植业和乡村旅游业/休闲观光体验农业。</w:t>
                  </w:r>
                </w:p>
              </w:tc>
              <w:tc>
                <w:tcPr>
                  <w:tcW w:w="2950" w:type="dxa"/>
                  <w:vAlign w:val="center"/>
                </w:tcPr>
                <w:p w14:paraId="4B951F06">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属于矿坑生态修复项目，项目位于云南省昆明市寻甸县鸡街镇古城新石桥村大旋塘采石场，处于寻甸县西部，项目的建设不与寻甸县中部发展格局要求相悖，且项目建成后能够美化周边环境，符合相关文件要求。</w:t>
                  </w:r>
                </w:p>
              </w:tc>
              <w:tc>
                <w:tcPr>
                  <w:tcW w:w="896" w:type="dxa"/>
                  <w:vAlign w:val="center"/>
                </w:tcPr>
                <w:p w14:paraId="6EA337D4">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366FCF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0" w:type="dxa"/>
                  <w:vAlign w:val="center"/>
                </w:tcPr>
                <w:p w14:paraId="1292EE96">
                  <w:pPr>
                    <w:pStyle w:val="8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严守区域生态安全底线，坚持生态优先，绿色发展。对生态保护红线范围内的自然保护地核心保护区，严格禁止人为活动；其他区域在符合现行法律法规前提下，除国家重大战略项目外，仅允许对生态功能不造成破坏的有限人为活动。</w:t>
                  </w:r>
                </w:p>
              </w:tc>
              <w:tc>
                <w:tcPr>
                  <w:tcW w:w="2950" w:type="dxa"/>
                  <w:vAlign w:val="center"/>
                </w:tcPr>
                <w:p w14:paraId="1D313A85">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根据相关查询意见可知，项目不涉及生态保护红线，不涉及自然保护地</w:t>
                  </w:r>
                  <w:r>
                    <w:rPr>
                      <w:color w:val="000000" w:themeColor="text1"/>
                      <w:highlight w:val="none"/>
                      <w14:textFill>
                        <w14:solidFill>
                          <w14:schemeClr w14:val="tx1"/>
                        </w14:solidFill>
                      </w14:textFill>
                    </w:rPr>
                    <w:t>核心保护区</w:t>
                  </w:r>
                  <w:r>
                    <w:rPr>
                      <w:rFonts w:hint="eastAsia"/>
                      <w:color w:val="000000" w:themeColor="text1"/>
                      <w:highlight w:val="none"/>
                      <w14:textFill>
                        <w14:solidFill>
                          <w14:schemeClr w14:val="tx1"/>
                        </w14:solidFill>
                      </w14:textFill>
                    </w:rPr>
                    <w:t>。</w:t>
                  </w:r>
                </w:p>
              </w:tc>
              <w:tc>
                <w:tcPr>
                  <w:tcW w:w="896" w:type="dxa"/>
                  <w:vAlign w:val="center"/>
                </w:tcPr>
                <w:p w14:paraId="3926232A">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5E852F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0" w:type="dxa"/>
                  <w:vAlign w:val="center"/>
                </w:tcPr>
                <w:p w14:paraId="0FDB8BF9">
                  <w:pPr>
                    <w:pStyle w:val="8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坚守最严格的耕地保护制度，保障国家粮食安全和重要农产品供给的底线，对永久基本农田施行永久特殊保护，任何单位和个人不得擅自占用或改变其用途。符合国家规定的项目难以避让的，应按“数量不减、质量不降、布局稳定”的原则进行补划。</w:t>
                  </w:r>
                </w:p>
              </w:tc>
              <w:tc>
                <w:tcPr>
                  <w:tcW w:w="2950" w:type="dxa"/>
                  <w:vAlign w:val="center"/>
                </w:tcPr>
                <w:p w14:paraId="455E738A">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项目不占用永久基本农田。</w:t>
                  </w:r>
                </w:p>
              </w:tc>
              <w:tc>
                <w:tcPr>
                  <w:tcW w:w="896" w:type="dxa"/>
                  <w:vAlign w:val="center"/>
                </w:tcPr>
                <w:p w14:paraId="71386C40">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41A8F1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0" w:type="dxa"/>
                  <w:vAlign w:val="center"/>
                </w:tcPr>
                <w:p w14:paraId="3DCF4AEF">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耕地提质改造  以生态环境保护为前提，选择坡度较缓，近村、近路、近水地块实施耕地提质改造，设计好排水系统，以及给水，防止串坡垮塌；在缓坡区通过配置水窖、池等，健全排灌和水利设施配套，提高耕地质量，有效增加耕地面积。</w:t>
                  </w:r>
                </w:p>
              </w:tc>
              <w:tc>
                <w:tcPr>
                  <w:tcW w:w="2950" w:type="dxa"/>
                  <w:vAlign w:val="center"/>
                </w:tcPr>
                <w:p w14:paraId="54CB88C0">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本项目属于矿坑生态修复项目，项目位于云南省昆明市寻甸县鸡街镇古城新石桥村大旋塘采石场，项目堆填结束后</w:t>
                  </w:r>
                  <w:r>
                    <w:rPr>
                      <w:color w:val="000000" w:themeColor="text1"/>
                      <w:szCs w:val="21"/>
                      <w:highlight w:val="none"/>
                      <w14:textFill>
                        <w14:solidFill>
                          <w14:schemeClr w14:val="tx1"/>
                        </w14:solidFill>
                      </w14:textFill>
                    </w:rPr>
                    <w:t>回填后表面进行防渗处理，覆土并恢复为林地。</w:t>
                  </w:r>
                </w:p>
              </w:tc>
              <w:tc>
                <w:tcPr>
                  <w:tcW w:w="896" w:type="dxa"/>
                  <w:vAlign w:val="center"/>
                </w:tcPr>
                <w:p w14:paraId="62D68308">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58AFA8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0" w:type="dxa"/>
                  <w:vAlign w:val="center"/>
                </w:tcPr>
                <w:p w14:paraId="4DD27243">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耕地后备资源开发  将具有开发潜力的其他草地、裸土地，通过开挖、平整、降坡等技术手段将其转变为具有耕作条件的耕地，实现耕地补充。</w:t>
                  </w:r>
                </w:p>
              </w:tc>
              <w:tc>
                <w:tcPr>
                  <w:tcW w:w="2950" w:type="dxa"/>
                  <w:vAlign w:val="center"/>
                </w:tcPr>
                <w:p w14:paraId="573E4E3E">
                  <w:pPr>
                    <w:pStyle w:val="86"/>
                    <w:rPr>
                      <w:color w:val="000000" w:themeColor="text1"/>
                      <w:highlight w:val="none"/>
                      <w14:textFill>
                        <w14:solidFill>
                          <w14:schemeClr w14:val="tx1"/>
                        </w14:solidFill>
                      </w14:textFill>
                    </w:rPr>
                  </w:pPr>
                  <w:r>
                    <w:rPr>
                      <w:rFonts w:hint="eastAsia"/>
                      <w:color w:val="000000" w:themeColor="text1"/>
                      <w:szCs w:val="21"/>
                      <w:highlight w:val="none"/>
                      <w14:textFill>
                        <w14:solidFill>
                          <w14:schemeClr w14:val="tx1"/>
                        </w14:solidFill>
                      </w14:textFill>
                    </w:rPr>
                    <w:t>项目生态修复为林地</w:t>
                  </w:r>
                </w:p>
              </w:tc>
              <w:tc>
                <w:tcPr>
                  <w:tcW w:w="896" w:type="dxa"/>
                  <w:vAlign w:val="center"/>
                </w:tcPr>
                <w:p w14:paraId="5686DCD8">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不冲突</w:t>
                  </w:r>
                </w:p>
              </w:tc>
            </w:tr>
            <w:tr w14:paraId="44C3F7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00" w:type="dxa"/>
                  <w:vAlign w:val="center"/>
                </w:tcPr>
                <w:p w14:paraId="2EFB4547">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矿山复垦及地质环境修复治理  矿山复垦及地质环境修复治理主要以采空区回填、滑坡与泥石流治理、尾矿库与废石场加固、土地复垦与植被恢复为重点。</w:t>
                  </w:r>
                </w:p>
              </w:tc>
              <w:tc>
                <w:tcPr>
                  <w:tcW w:w="2950" w:type="dxa"/>
                  <w:vAlign w:val="center"/>
                </w:tcPr>
                <w:p w14:paraId="1906C6A4">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本项目为矿坑生态修复项目，项目位于云南省昆明市寻甸县鸡街镇古城新石桥村大旋塘采石场，根据三调数据查询，项目修复范围</w:t>
                  </w:r>
                  <w:r>
                    <w:rPr>
                      <w:rFonts w:hint="eastAsia"/>
                      <w:color w:val="000000" w:themeColor="text1"/>
                      <w:highlight w:val="none"/>
                      <w:lang w:val="en-US" w:eastAsia="zh-CN"/>
                      <w14:textFill>
                        <w14:solidFill>
                          <w14:schemeClr w14:val="tx1"/>
                        </w14:solidFill>
                      </w14:textFill>
                    </w:rPr>
                    <w:t>内为</w:t>
                  </w:r>
                  <w:r>
                    <w:rPr>
                      <w:rFonts w:hint="eastAsia"/>
                      <w:color w:val="000000" w:themeColor="text1"/>
                      <w:highlight w:val="none"/>
                      <w14:textFill>
                        <w14:solidFill>
                          <w14:schemeClr w14:val="tx1"/>
                        </w14:solidFill>
                      </w14:textFill>
                    </w:rPr>
                    <w:t>采矿用地</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项目修复范围均在矿坑遗留用地内进行修复，未新增占地</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项目修复区</w:t>
                  </w:r>
                  <w:r>
                    <w:rPr>
                      <w:rFonts w:hint="eastAsia"/>
                      <w:color w:val="000000" w:themeColor="text1"/>
                      <w:highlight w:val="none"/>
                      <w14:textFill>
                        <w14:solidFill>
                          <w14:schemeClr w14:val="tx1"/>
                        </w14:solidFill>
                      </w14:textFill>
                    </w:rPr>
                    <w:t>复垦方向初步是林地，具体复垦方向后期按评审过的生态修复方案为主。符合相关要求。</w:t>
                  </w:r>
                </w:p>
              </w:tc>
              <w:tc>
                <w:tcPr>
                  <w:tcW w:w="896" w:type="dxa"/>
                  <w:vAlign w:val="center"/>
                </w:tcPr>
                <w:p w14:paraId="03EA1930">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bl>
          <w:p w14:paraId="284C24C6">
            <w:pPr>
              <w:widowControl/>
              <w:adjustRightInd w:val="0"/>
              <w:snapToGrid w:val="0"/>
              <w:ind w:firstLine="480"/>
              <w:rPr>
                <w:color w:val="000000" w:themeColor="text1"/>
                <w:highlight w:val="none"/>
                <w14:textFill>
                  <w14:solidFill>
                    <w14:schemeClr w14:val="tx1"/>
                  </w14:solidFill>
                </w14:textFill>
              </w:rPr>
            </w:pPr>
            <w:r>
              <w:rPr>
                <w:rFonts w:hint="eastAsia"/>
                <w:color w:val="000000" w:themeColor="text1"/>
                <w:kern w:val="0"/>
                <w:highlight w:val="none"/>
                <w:lang w:bidi="ar"/>
                <w14:textFill>
                  <w14:solidFill>
                    <w14:schemeClr w14:val="tx1"/>
                  </w14:solidFill>
                </w14:textFill>
              </w:rPr>
              <w:t>综上，项目建设符合《寻甸回族彝族自治县国土空间总体规划（2021—2035年）》相关要求。</w:t>
            </w:r>
          </w:p>
          <w:p w14:paraId="1C6969DE">
            <w:pPr>
              <w:pStyle w:val="39"/>
              <w:ind w:firstLine="482"/>
              <w:rPr>
                <w:b/>
                <w:bCs/>
                <w:color w:val="000000" w:themeColor="text1"/>
                <w:kern w:val="0"/>
                <w:highlight w:val="none"/>
                <w:lang w:bidi="ar"/>
                <w14:textFill>
                  <w14:solidFill>
                    <w14:schemeClr w14:val="tx1"/>
                  </w14:solidFill>
                </w14:textFill>
              </w:rPr>
            </w:pPr>
            <w:r>
              <w:rPr>
                <w:rFonts w:hint="eastAsia"/>
                <w:b/>
                <w:bCs/>
                <w:color w:val="000000" w:themeColor="text1"/>
                <w:kern w:val="0"/>
                <w:highlight w:val="none"/>
                <w:lang w:bidi="ar"/>
                <w14:textFill>
                  <w14:solidFill>
                    <w14:schemeClr w14:val="tx1"/>
                  </w14:solidFill>
                </w14:textFill>
              </w:rPr>
              <w:t>22、与《云南省空气质量持续改善行动实施方案》符合性分析</w:t>
            </w:r>
          </w:p>
          <w:p w14:paraId="578C6CB4">
            <w:pPr>
              <w:pStyle w:val="38"/>
              <w:spacing w:after="0" w:line="240" w:lineRule="auto"/>
              <w:ind w:firstLine="0" w:firstLineChars="0"/>
              <w:jc w:val="center"/>
              <w:rPr>
                <w:b/>
                <w:bCs/>
                <w:color w:val="000000" w:themeColor="text1"/>
                <w:kern w:val="0"/>
                <w:sz w:val="21"/>
                <w:szCs w:val="21"/>
                <w:highlight w:val="none"/>
                <w:lang w:bidi="ar"/>
                <w14:textFill>
                  <w14:solidFill>
                    <w14:schemeClr w14:val="tx1"/>
                  </w14:solidFill>
                </w14:textFill>
              </w:rPr>
            </w:pPr>
            <w:r>
              <w:rPr>
                <w:rFonts w:hint="eastAsia"/>
                <w:b/>
                <w:bCs/>
                <w:color w:val="000000" w:themeColor="text1"/>
                <w:kern w:val="0"/>
                <w:sz w:val="21"/>
                <w:szCs w:val="21"/>
                <w:highlight w:val="none"/>
                <w:lang w:bidi="ar"/>
                <w14:textFill>
                  <w14:solidFill>
                    <w14:schemeClr w14:val="tx1"/>
                  </w14:solidFill>
                </w14:textFill>
              </w:rPr>
              <w:t>表1-14 项目与《云南省空气质量持续改善行动实施方案》符合性分析</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37"/>
              <w:gridCol w:w="3057"/>
              <w:gridCol w:w="852"/>
            </w:tblGrid>
            <w:tr w14:paraId="3EF8BB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14:paraId="608A186B">
                  <w:pPr>
                    <w:pStyle w:val="86"/>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方案要求</w:t>
                  </w:r>
                </w:p>
              </w:tc>
              <w:tc>
                <w:tcPr>
                  <w:tcW w:w="3057" w:type="dxa"/>
                </w:tcPr>
                <w:p w14:paraId="79640767">
                  <w:pPr>
                    <w:pStyle w:val="86"/>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项目情况</w:t>
                  </w:r>
                </w:p>
              </w:tc>
              <w:tc>
                <w:tcPr>
                  <w:tcW w:w="852" w:type="dxa"/>
                </w:tcPr>
                <w:p w14:paraId="5CD07D70">
                  <w:pPr>
                    <w:pStyle w:val="86"/>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符合性</w:t>
                  </w:r>
                </w:p>
              </w:tc>
            </w:tr>
            <w:tr w14:paraId="57BC2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14:paraId="43B238B9">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一）坚决遏制“两高一低”项目盲目上马。新改扩建项目严格落实国家和省产业规划、产业政策、生态环境分区管控方案、规划环评、项目环评、节能审查、产能置换、重点污染物总量控制、污染物排放区域削减、碳排放达峰目标等相关要求，原则上采用清洁运输方式。加快推进钢铁产业转型升级，鼓励钢铁、焦化、烧结一体化布局，减少独立焦化、烧结、球团和热轧企业及工序。到2025年，短流程炼钢产量占比达15%。</w:t>
                  </w:r>
                </w:p>
              </w:tc>
              <w:tc>
                <w:tcPr>
                  <w:tcW w:w="3057" w:type="dxa"/>
                  <w:vAlign w:val="center"/>
                </w:tcPr>
                <w:p w14:paraId="750821B1">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本项目属于废弃矿坑生态修复项目，不属于“两高一低”项目，项目建设符合《昆明市生态环境分区管控动态更新方案（2023年）》《</w:t>
                  </w:r>
                  <w:r>
                    <w:rPr>
                      <w:rFonts w:hint="eastAsia"/>
                      <w:color w:val="000000" w:themeColor="text1"/>
                      <w:highlight w:val="none"/>
                      <w:lang w:bidi="ar"/>
                      <w14:textFill>
                        <w14:solidFill>
                          <w14:schemeClr w14:val="tx1"/>
                        </w14:solidFill>
                      </w14:textFill>
                    </w:rPr>
                    <w:t>寻甸回族彝族自治县国土空间总体规划（2021—2035年）》《云南省地下水管理办法》等相关文件要求，项目不涉及总量削减。</w:t>
                  </w:r>
                </w:p>
              </w:tc>
              <w:tc>
                <w:tcPr>
                  <w:tcW w:w="852" w:type="dxa"/>
                  <w:vAlign w:val="center"/>
                </w:tcPr>
                <w:p w14:paraId="0826A42C">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275D2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14:paraId="28715B08">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二）推动落后产能退出。推动能耗、环保、质量、安全、技术达不到标准和生产不合格产品或淘汰类产能依法依规关停退出。不予审批限制类新建项目，按照国家要求对属于限制类的现有生产能力进行升级改造。</w:t>
                  </w:r>
                </w:p>
              </w:tc>
              <w:tc>
                <w:tcPr>
                  <w:tcW w:w="3057" w:type="dxa"/>
                  <w:vAlign w:val="center"/>
                </w:tcPr>
                <w:p w14:paraId="2CC55F95">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项目不属于限制类项目，不涉及升级改造。</w:t>
                  </w:r>
                </w:p>
              </w:tc>
              <w:tc>
                <w:tcPr>
                  <w:tcW w:w="852" w:type="dxa"/>
                  <w:vAlign w:val="center"/>
                </w:tcPr>
                <w:p w14:paraId="0E5EB37A">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19AEE4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14:paraId="1153DB12">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四）优化含VOCs原辅材料和产品结构。严格控制生产和使用高VOCs含量涂料、油墨、胶粘剂、清洗剂等建设项目，加大工业涂装、包装印刷和电子行业低（无）VOCs含量原辅材料替代力度。严格执行VOCs含量限值标准，室外构筑物防护和城市道路交通标志推广使用低（无）VOCs含量涂料。</w:t>
                  </w:r>
                </w:p>
              </w:tc>
              <w:tc>
                <w:tcPr>
                  <w:tcW w:w="3057" w:type="dxa"/>
                  <w:vAlign w:val="center"/>
                </w:tcPr>
                <w:p w14:paraId="40290626">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项目施工、运营过程不涉及使用VOCs原辅材料。</w:t>
                  </w:r>
                </w:p>
              </w:tc>
              <w:tc>
                <w:tcPr>
                  <w:tcW w:w="852" w:type="dxa"/>
                  <w:vAlign w:val="center"/>
                </w:tcPr>
                <w:p w14:paraId="06EB26CE">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19BE1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14:paraId="4D4AE9C8">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五）推动绿色环保产业健康发展。支持培育一批低（无）VOCs含量原辅材料生产和使用、VOCs污染治理、超低排放、环境和大气成分监测等领域龙头企业。多措并举治理环保领域低价低质中标乱象，营造公平竞争环境，推动产业健康有序发展。</w:t>
                  </w:r>
                </w:p>
              </w:tc>
              <w:tc>
                <w:tcPr>
                  <w:tcW w:w="3057" w:type="dxa"/>
                  <w:vAlign w:val="center"/>
                </w:tcPr>
                <w:p w14:paraId="44C929DD">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项目施工、运营过程不涉及使用VOCs原辅材料。</w:t>
                  </w:r>
                </w:p>
              </w:tc>
              <w:tc>
                <w:tcPr>
                  <w:tcW w:w="852" w:type="dxa"/>
                  <w:vAlign w:val="center"/>
                </w:tcPr>
                <w:p w14:paraId="4C5B6F89">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409D25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7" w:type="dxa"/>
                </w:tcPr>
                <w:p w14:paraId="263D3FA9">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（十五）加强矿山生态环境综合整治。新建矿山原则上同步建设铁路专用线或采用其他清洁运输方式。对限期整改仍不达标的矿山，根据安全生产、水土保持、生态环境等要求依法关闭。</w:t>
                  </w:r>
                </w:p>
              </w:tc>
              <w:tc>
                <w:tcPr>
                  <w:tcW w:w="3057" w:type="dxa"/>
                  <w:vAlign w:val="center"/>
                </w:tcPr>
                <w:p w14:paraId="7CFC4D1C">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项目属于废弃矿坑生态修复项目，对大旋塘采石场进行填埋、复绿修复，不属于新建矿山项目。</w:t>
                  </w:r>
                </w:p>
              </w:tc>
              <w:tc>
                <w:tcPr>
                  <w:tcW w:w="852" w:type="dxa"/>
                  <w:vAlign w:val="center"/>
                </w:tcPr>
                <w:p w14:paraId="73E15D16">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bl>
          <w:p w14:paraId="02437BCA">
            <w:pPr>
              <w:ind w:firstLine="480"/>
              <w:rPr>
                <w:color w:val="000000" w:themeColor="text1"/>
                <w:highlight w:val="none"/>
                <w:lang w:bidi="ar"/>
                <w14:textFill>
                  <w14:solidFill>
                    <w14:schemeClr w14:val="tx1"/>
                  </w14:solidFill>
                </w14:textFill>
              </w:rPr>
            </w:pPr>
            <w:r>
              <w:rPr>
                <w:rFonts w:hint="eastAsia"/>
                <w:color w:val="000000" w:themeColor="text1"/>
                <w:highlight w:val="none"/>
                <w14:textFill>
                  <w14:solidFill>
                    <w14:schemeClr w14:val="tx1"/>
                  </w14:solidFill>
                </w14:textFill>
              </w:rPr>
              <w:t>综上，项目建设符合</w:t>
            </w:r>
            <w:r>
              <w:rPr>
                <w:rFonts w:hint="eastAsia"/>
                <w:color w:val="000000" w:themeColor="text1"/>
                <w:highlight w:val="none"/>
                <w:lang w:bidi="ar"/>
                <w14:textFill>
                  <w14:solidFill>
                    <w14:schemeClr w14:val="tx1"/>
                  </w14:solidFill>
                </w14:textFill>
              </w:rPr>
              <w:t>《云南省空气质量持续改善行动实施方案》相关要求。</w:t>
            </w:r>
          </w:p>
          <w:p w14:paraId="21D02789">
            <w:pPr>
              <w:pStyle w:val="39"/>
              <w:ind w:firstLine="482"/>
              <w:rPr>
                <w:b/>
                <w:bCs/>
                <w:color w:val="000000" w:themeColor="text1"/>
                <w:highlight w:val="none"/>
                <w14:textFill>
                  <w14:solidFill>
                    <w14:schemeClr w14:val="tx1"/>
                  </w14:solidFill>
                </w14:textFill>
              </w:rPr>
            </w:pPr>
            <w:r>
              <w:rPr>
                <w:rFonts w:hint="eastAsia"/>
                <w:b/>
                <w:bCs/>
                <w:color w:val="000000" w:themeColor="text1"/>
                <w:highlight w:val="none"/>
                <w:lang w:bidi="ar"/>
                <w14:textFill>
                  <w14:solidFill>
                    <w14:schemeClr w14:val="tx1"/>
                  </w14:solidFill>
                </w14:textFill>
              </w:rPr>
              <w:t>23、与</w:t>
            </w:r>
            <w:r>
              <w:rPr>
                <w:rFonts w:hint="eastAsia"/>
                <w:b/>
                <w:bCs/>
                <w:color w:val="000000" w:themeColor="text1"/>
                <w:highlight w:val="none"/>
                <w14:textFill>
                  <w14:solidFill>
                    <w14:schemeClr w14:val="tx1"/>
                  </w14:solidFill>
                </w14:textFill>
              </w:rPr>
              <w:t>《昆明市“十四五”生态环境保护规划》符合性分析</w:t>
            </w:r>
          </w:p>
          <w:p w14:paraId="2B9DE1DE">
            <w:pPr>
              <w:pStyle w:val="38"/>
              <w:spacing w:after="0" w:line="240" w:lineRule="auto"/>
              <w:ind w:firstLine="0" w:firstLineChars="0"/>
              <w:jc w:val="center"/>
              <w:rPr>
                <w:b/>
                <w:bCs/>
                <w:color w:val="000000" w:themeColor="text1"/>
                <w:sz w:val="21"/>
                <w:szCs w:val="21"/>
                <w:highlight w:val="none"/>
                <w14:textFill>
                  <w14:solidFill>
                    <w14:schemeClr w14:val="tx1"/>
                  </w14:solidFill>
                </w14:textFill>
              </w:rPr>
            </w:pPr>
            <w:r>
              <w:rPr>
                <w:rFonts w:hint="eastAsia"/>
                <w:b/>
                <w:bCs/>
                <w:color w:val="000000" w:themeColor="text1"/>
                <w:sz w:val="21"/>
                <w:szCs w:val="21"/>
                <w:highlight w:val="none"/>
                <w14:textFill>
                  <w14:solidFill>
                    <w14:schemeClr w14:val="tx1"/>
                  </w14:solidFill>
                </w14:textFill>
              </w:rPr>
              <w:t>表1-15 项目与《昆明市“十四五”生态环境保护规划》符合性分析</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636"/>
              <w:gridCol w:w="2570"/>
              <w:gridCol w:w="840"/>
            </w:tblGrid>
            <w:tr w14:paraId="043087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6" w:type="dxa"/>
                </w:tcPr>
                <w:p w14:paraId="5DC18898">
                  <w:pPr>
                    <w:pStyle w:val="86"/>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规划要求</w:t>
                  </w:r>
                </w:p>
              </w:tc>
              <w:tc>
                <w:tcPr>
                  <w:tcW w:w="2570" w:type="dxa"/>
                </w:tcPr>
                <w:p w14:paraId="213FAB34">
                  <w:pPr>
                    <w:pStyle w:val="86"/>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项目情况</w:t>
                  </w:r>
                </w:p>
              </w:tc>
              <w:tc>
                <w:tcPr>
                  <w:tcW w:w="840" w:type="dxa"/>
                </w:tcPr>
                <w:p w14:paraId="65756504">
                  <w:pPr>
                    <w:pStyle w:val="86"/>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符合性</w:t>
                  </w:r>
                </w:p>
              </w:tc>
            </w:tr>
            <w:tr w14:paraId="354D68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6" w:type="dxa"/>
                  <w:vAlign w:val="center"/>
                </w:tcPr>
                <w:p w14:paraId="6D95B4ED">
                  <w:pPr>
                    <w:pStyle w:val="8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推进“一带四区、两湖六脉、多点保育”生态保育和修复，提升水源涵养和水土保持等重要生态功能，强化东川、寻甸、禄劝等北部生态涵养功能区的生态修复保护力度，实施滇池流域山水林田湖草沙一体化保护与修复。持续开展森林建设和国土绿化“青山”行动，实施天然林保护、石漠化治理等重要生态系统保护，推动历史遗留矿山治理与生态修复，持续实施生态隔离带建设。</w:t>
                  </w:r>
                </w:p>
              </w:tc>
              <w:tc>
                <w:tcPr>
                  <w:tcW w:w="2570" w:type="dxa"/>
                  <w:vAlign w:val="center"/>
                </w:tcPr>
                <w:p w14:paraId="52E27613">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本项目为废弃矿坑生态修复项目</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14:textFill>
                        <w14:solidFill>
                          <w14:schemeClr w14:val="tx1"/>
                        </w14:solidFill>
                      </w14:textFill>
                    </w:rPr>
                    <w:t>项目建设可以提升环境质量，符合相关要求。</w:t>
                  </w:r>
                </w:p>
              </w:tc>
              <w:tc>
                <w:tcPr>
                  <w:tcW w:w="840" w:type="dxa"/>
                  <w:vAlign w:val="center"/>
                </w:tcPr>
                <w:p w14:paraId="25CA2AF3">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5126EC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6" w:type="dxa"/>
                  <w:vAlign w:val="center"/>
                </w:tcPr>
                <w:p w14:paraId="2E7CF5EC">
                  <w:pPr>
                    <w:pStyle w:val="8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严格落实矿山及尾矿库用地土壤污染管控。以东川区、安宁市、西山区、晋宁区的矿山采选、冶炼等行业集中区域为重点，推进尾矿库污染排查与整治，制定并实施“一库一策”，严格落实各项污染治理措施，并加强尾矿库安全管理。防控矿产开发过程污染，矿山企业依法编制矿山地质环境保护及复垦方案，完善落实水土流失防治及土壤环境污染修复工程措施；重视废弃矿山风险管控，强化周边农田及地下水环境保护。</w:t>
                  </w:r>
                </w:p>
              </w:tc>
              <w:tc>
                <w:tcPr>
                  <w:tcW w:w="2570" w:type="dxa"/>
                  <w:vAlign w:val="center"/>
                </w:tcPr>
                <w:p w14:paraId="574E08C4">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本项目为废弃矿坑生态修复项目，不属于尾矿库项目，项目已编制</w:t>
                  </w:r>
                  <w:r>
                    <w:rPr>
                      <w:rFonts w:hint="eastAsia" w:cs="Times New Roman"/>
                      <w:color w:val="000000" w:themeColor="text1"/>
                      <w:kern w:val="0"/>
                      <w:szCs w:val="21"/>
                      <w:highlight w:val="none"/>
                      <w:lang w:bidi="ar"/>
                      <w14:textFill>
                        <w14:solidFill>
                          <w14:schemeClr w14:val="tx1"/>
                        </w14:solidFill>
                      </w14:textFill>
                    </w:rPr>
                    <w:t>《云南省寻甸县大旋塘采石场废弃矿坑生态修复环境风险评估报告》，并通过了评审，项目在严格按照相关风险控制措施进行建设后风险可控。</w:t>
                  </w:r>
                </w:p>
              </w:tc>
              <w:tc>
                <w:tcPr>
                  <w:tcW w:w="840" w:type="dxa"/>
                  <w:vAlign w:val="center"/>
                </w:tcPr>
                <w:p w14:paraId="634CD0BB">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5BEAF1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6" w:type="dxa"/>
                  <w:vAlign w:val="center"/>
                </w:tcPr>
                <w:p w14:paraId="5695ECD1">
                  <w:pPr>
                    <w:pStyle w:val="8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加强污染地块开发利用监管。加强新建项目审批管理，严控建设项目新增污染物总量。开展全市土壤污染状况调查评估，逐步更新建设用地污染地块名录。加强对有色金属冶炼、石油加工、化工等重点行业企业在产及关闭搬迁企业地块风险管控，制定土壤污染风险防控方案。加强工矿企业污染源环境监管，动态更新土壤污染重点监管单位名录，监督土壤污染重点监管单位全面落实土壤污染防治义务，定期对土壤污染重点监管单位周边土壤开展监督性监测。2025年底前，至少完成一轮土壤污染隐患排查。</w:t>
                  </w:r>
                </w:p>
              </w:tc>
              <w:tc>
                <w:tcPr>
                  <w:tcW w:w="2570" w:type="dxa"/>
                  <w:vAlign w:val="center"/>
                </w:tcPr>
                <w:p w14:paraId="6E939780">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本项目为废弃矿坑生态修复项目，项目采用改性磷石膏修复材料对大旋塘采石场进行回填修复，项目建设过程中将严格按照相应风险防范措施进行建设，确保土壤环境质量。</w:t>
                  </w:r>
                </w:p>
              </w:tc>
              <w:tc>
                <w:tcPr>
                  <w:tcW w:w="840" w:type="dxa"/>
                  <w:vAlign w:val="center"/>
                </w:tcPr>
                <w:p w14:paraId="064B21B9">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r w14:paraId="2AA6AF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36" w:type="dxa"/>
                  <w:vAlign w:val="center"/>
                </w:tcPr>
                <w:p w14:paraId="1F059262">
                  <w:pPr>
                    <w:pStyle w:val="86"/>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严格落实矿山及尾矿库用地土壤污染管控。以东川区、安宁市、西山区、晋宁区的矿山采选、冶炼等行业集中区域为重点，推进尾矿库污染排查与整治，制定并实施“一库一策”，严格落实各项污染治理措施，并加强尾矿库安全管理。防控矿产开发过程污染，矿山企业依法编制矿山地质环境保护及复垦方案，完善落实水土流失防治及土壤环境污染修复工程措施；重视废弃矿山风险管控，强化周边农田及地下水环境保护。</w:t>
                  </w:r>
                </w:p>
              </w:tc>
              <w:tc>
                <w:tcPr>
                  <w:tcW w:w="2570" w:type="dxa"/>
                  <w:vAlign w:val="center"/>
                </w:tcPr>
                <w:p w14:paraId="114756AD">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本项目为废弃矿坑生态修复项目，不属于尾矿库项目，项目建设过程中将严格按照相应风险防范措施进行建设，确保风险可控。</w:t>
                  </w:r>
                </w:p>
              </w:tc>
              <w:tc>
                <w:tcPr>
                  <w:tcW w:w="840" w:type="dxa"/>
                  <w:vAlign w:val="center"/>
                </w:tcPr>
                <w:p w14:paraId="3AA94E00">
                  <w:pPr>
                    <w:pStyle w:val="86"/>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符合</w:t>
                  </w:r>
                </w:p>
              </w:tc>
            </w:tr>
          </w:tbl>
          <w:p w14:paraId="53F7F854">
            <w:pPr>
              <w:pStyle w:val="39"/>
              <w:keepNext w:val="0"/>
              <w:keepLines w:val="0"/>
              <w:pageBreakBefore w:val="0"/>
              <w:widowControl w:val="0"/>
              <w:kinsoku/>
              <w:wordWrap/>
              <w:overflowPunct/>
              <w:topLinePunct w:val="0"/>
              <w:autoSpaceDE/>
              <w:autoSpaceDN/>
              <w:bidi w:val="0"/>
              <w:adjustRightInd w:val="0"/>
              <w:snapToGrid w:val="0"/>
              <w:spacing w:after="0"/>
              <w:ind w:left="0" w:leftChars="0" w:firstLine="480"/>
              <w:textAlignment w:val="auto"/>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综上，项目建设符合《昆明市“十四五”生态环境保护规划》相关要求。</w:t>
            </w:r>
          </w:p>
          <w:p w14:paraId="210AB095">
            <w:pPr>
              <w:pStyle w:val="38"/>
              <w:ind w:firstLine="241"/>
              <w:rPr>
                <w:b/>
                <w:bCs/>
                <w:color w:val="000000" w:themeColor="text1"/>
                <w:highlight w:val="none"/>
                <w14:textFill>
                  <w14:solidFill>
                    <w14:schemeClr w14:val="tx1"/>
                  </w14:solidFill>
                </w14:textFill>
              </w:rPr>
            </w:pPr>
            <w:r>
              <w:rPr>
                <w:rFonts w:hint="eastAsia"/>
                <w:b/>
                <w:bCs/>
                <w:color w:val="000000" w:themeColor="text1"/>
                <w:highlight w:val="none"/>
                <w14:textFill>
                  <w14:solidFill>
                    <w14:schemeClr w14:val="tx1"/>
                  </w14:solidFill>
                </w14:textFill>
              </w:rPr>
              <w:t>24、</w:t>
            </w:r>
            <w:r>
              <w:rPr>
                <w:rFonts w:hint="eastAsia"/>
                <w:b/>
                <w:bCs/>
                <w:color w:val="000000" w:themeColor="text1"/>
                <w:highlight w:val="none"/>
                <w:lang w:bidi="ar"/>
                <w14:textFill>
                  <w14:solidFill>
                    <w14:schemeClr w14:val="tx1"/>
                  </w14:solidFill>
                </w14:textFill>
              </w:rPr>
              <w:t>与</w:t>
            </w:r>
            <w:r>
              <w:rPr>
                <w:rFonts w:hint="eastAsia"/>
                <w:b/>
                <w:bCs/>
                <w:color w:val="000000" w:themeColor="text1"/>
                <w:highlight w:val="none"/>
                <w14:textFill>
                  <w14:solidFill>
                    <w14:schemeClr w14:val="tx1"/>
                  </w14:solidFill>
                </w14:textFill>
              </w:rPr>
              <w:t>《</w:t>
            </w:r>
            <w:r>
              <w:rPr>
                <w:rFonts w:hint="eastAsia"/>
                <w:b/>
                <w:bCs/>
                <w:color w:val="000000" w:themeColor="text1"/>
                <w:kern w:val="0"/>
                <w:highlight w:val="none"/>
                <w14:textFill>
                  <w14:solidFill>
                    <w14:schemeClr w14:val="tx1"/>
                  </w14:solidFill>
                </w14:textFill>
              </w:rPr>
              <w:t>云南省牛栏江保护条例</w:t>
            </w:r>
            <w:r>
              <w:rPr>
                <w:rFonts w:hint="eastAsia"/>
                <w:b/>
                <w:bCs/>
                <w:color w:val="000000" w:themeColor="text1"/>
                <w:highlight w:val="none"/>
                <w14:textFill>
                  <w14:solidFill>
                    <w14:schemeClr w14:val="tx1"/>
                  </w14:solidFill>
                </w14:textFill>
              </w:rPr>
              <w:t>》符合性分析</w:t>
            </w:r>
          </w:p>
          <w:p w14:paraId="0B2E0045">
            <w:pPr>
              <w:ind w:firstLine="480"/>
              <w:rPr>
                <w:rFonts w:hint="eastAsia"/>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《云南省牛栏江保护条例》2012年9月28日云南省第十一届</w:t>
            </w:r>
            <w:r>
              <w:rPr>
                <w:color w:val="000000" w:themeColor="text1"/>
                <w:highlight w:val="none"/>
                <w14:textFill>
                  <w14:solidFill>
                    <w14:schemeClr w14:val="tx1"/>
                  </w14:solidFill>
                </w14:textFill>
              </w:rPr>
              <w:fldChar w:fldCharType="begin"/>
            </w:r>
            <w:r>
              <w:rPr>
                <w:color w:val="000000" w:themeColor="text1"/>
                <w:highlight w:val="none"/>
                <w14:textFill>
                  <w14:solidFill>
                    <w14:schemeClr w14:val="tx1"/>
                  </w14:solidFill>
                </w14:textFill>
              </w:rPr>
              <w:instrText xml:space="preserve"> HYPERLINK "https://baike.so.com/doc/443459-469584.html" \t "https://baike.so.com/doc/_blank" </w:instrText>
            </w:r>
            <w:r>
              <w:rPr>
                <w:color w:val="000000" w:themeColor="text1"/>
                <w:highlight w:val="none"/>
                <w14:textFill>
                  <w14:solidFill>
                    <w14:schemeClr w14:val="tx1"/>
                  </w14:solidFill>
                </w14:textFill>
              </w:rPr>
              <w:fldChar w:fldCharType="separate"/>
            </w:r>
            <w:r>
              <w:rPr>
                <w:color w:val="000000" w:themeColor="text1"/>
                <w:highlight w:val="none"/>
                <w14:textFill>
                  <w14:solidFill>
                    <w14:schemeClr w14:val="tx1"/>
                  </w14:solidFill>
                </w14:textFill>
              </w:rPr>
              <w:t>人民代表大会常务委员会</w:t>
            </w:r>
            <w:r>
              <w:rPr>
                <w:color w:val="000000" w:themeColor="text1"/>
                <w:highlight w:val="none"/>
                <w14:textFill>
                  <w14:solidFill>
                    <w14:schemeClr w14:val="tx1"/>
                  </w14:solidFill>
                </w14:textFill>
              </w:rPr>
              <w:fldChar w:fldCharType="end"/>
            </w:r>
            <w:r>
              <w:rPr>
                <w:color w:val="000000" w:themeColor="text1"/>
                <w:highlight w:val="none"/>
                <w14:textFill>
                  <w14:solidFill>
                    <w14:schemeClr w14:val="tx1"/>
                  </w14:solidFill>
                </w14:textFill>
              </w:rPr>
              <w:t>第三十四次会议通过，2012年9月28日云南省第十一届人民代表大会常务委员会公告第68号公布。</w:t>
            </w:r>
            <w:r>
              <w:rPr>
                <w:rFonts w:hint="eastAsia"/>
                <w:color w:val="000000" w:themeColor="text1"/>
                <w:highlight w:val="none"/>
                <w14:textFill>
                  <w14:solidFill>
                    <w14:schemeClr w14:val="tx1"/>
                  </w14:solidFill>
                </w14:textFill>
              </w:rPr>
              <w:t>本项目为废弃矿坑生态修复项目，根据叠图（附图14）分析可知，项目不涉及牛栏江德泽水库以上重点保护区（Ⅰ区）、牛栏江德泽水库以下生态环境保护区（</w:t>
            </w:r>
            <w:r>
              <w:rPr>
                <w:color w:val="000000" w:themeColor="text1"/>
                <w:highlight w:val="none"/>
                <w14:textFill>
                  <w14:solidFill>
                    <w14:schemeClr w14:val="tx1"/>
                  </w14:solidFill>
                </w14:textFill>
              </w:rPr>
              <w:t>П</w:t>
            </w:r>
            <w:r>
              <w:rPr>
                <w:rFonts w:hint="eastAsia"/>
                <w:color w:val="000000" w:themeColor="text1"/>
                <w:highlight w:val="none"/>
                <w14:textFill>
                  <w14:solidFill>
                    <w14:schemeClr w14:val="tx1"/>
                  </w14:solidFill>
                </w14:textFill>
              </w:rPr>
              <w:t>区）。</w:t>
            </w:r>
          </w:p>
          <w:p w14:paraId="6A7831BC">
            <w:pPr>
              <w:pStyle w:val="3"/>
              <w:rPr>
                <w:rFonts w:hint="eastAsia"/>
                <w:color w:val="000000" w:themeColor="text1"/>
                <w:highlight w:val="none"/>
                <w14:textFill>
                  <w14:solidFill>
                    <w14:schemeClr w14:val="tx1"/>
                  </w14:solidFill>
                </w14:textFill>
              </w:rPr>
            </w:pPr>
          </w:p>
          <w:p w14:paraId="7534B664">
            <w:pPr>
              <w:pStyle w:val="5"/>
              <w:rPr>
                <w:rFonts w:hint="eastAsia"/>
                <w:color w:val="000000" w:themeColor="text1"/>
                <w:highlight w:val="none"/>
                <w14:textFill>
                  <w14:solidFill>
                    <w14:schemeClr w14:val="tx1"/>
                  </w14:solidFill>
                </w14:textFill>
              </w:rPr>
            </w:pPr>
          </w:p>
          <w:p w14:paraId="038A0964">
            <w:pPr>
              <w:pStyle w:val="6"/>
              <w:rPr>
                <w:rFonts w:hint="eastAsia"/>
                <w:color w:val="000000" w:themeColor="text1"/>
                <w:highlight w:val="none"/>
                <w14:textFill>
                  <w14:solidFill>
                    <w14:schemeClr w14:val="tx1"/>
                  </w14:solidFill>
                </w14:textFill>
              </w:rPr>
            </w:pPr>
          </w:p>
          <w:p w14:paraId="43ECB802">
            <w:pPr>
              <w:pStyle w:val="7"/>
              <w:rPr>
                <w:rFonts w:hint="eastAsia"/>
                <w:color w:val="000000" w:themeColor="text1"/>
                <w:highlight w:val="none"/>
                <w14:textFill>
                  <w14:solidFill>
                    <w14:schemeClr w14:val="tx1"/>
                  </w14:solidFill>
                </w14:textFill>
              </w:rPr>
            </w:pPr>
          </w:p>
          <w:p w14:paraId="211B7EDD">
            <w:pPr>
              <w:pStyle w:val="8"/>
              <w:rPr>
                <w:rFonts w:hint="eastAsia"/>
                <w:color w:val="000000" w:themeColor="text1"/>
                <w:highlight w:val="none"/>
                <w14:textFill>
                  <w14:solidFill>
                    <w14:schemeClr w14:val="tx1"/>
                  </w14:solidFill>
                </w14:textFill>
              </w:rPr>
            </w:pPr>
          </w:p>
          <w:p w14:paraId="6EF9AC35">
            <w:pPr>
              <w:pStyle w:val="9"/>
              <w:rPr>
                <w:rFonts w:hint="eastAsia"/>
                <w:color w:val="000000" w:themeColor="text1"/>
                <w:highlight w:val="none"/>
                <w14:textFill>
                  <w14:solidFill>
                    <w14:schemeClr w14:val="tx1"/>
                  </w14:solidFill>
                </w14:textFill>
              </w:rPr>
            </w:pPr>
          </w:p>
          <w:p w14:paraId="17F5D3FD">
            <w:pPr>
              <w:pStyle w:val="10"/>
              <w:rPr>
                <w:rFonts w:hint="eastAsia"/>
                <w:color w:val="000000" w:themeColor="text1"/>
                <w:highlight w:val="none"/>
                <w14:textFill>
                  <w14:solidFill>
                    <w14:schemeClr w14:val="tx1"/>
                  </w14:solidFill>
                </w14:textFill>
              </w:rPr>
            </w:pPr>
          </w:p>
          <w:p w14:paraId="001177FC">
            <w:pPr>
              <w:pStyle w:val="11"/>
              <w:numPr>
                <w:ilvl w:val="0"/>
                <w:numId w:val="0"/>
              </w:numPr>
            </w:pPr>
          </w:p>
          <w:p w14:paraId="2B775CAB">
            <w:pPr>
              <w:pStyle w:val="13"/>
              <w:rPr>
                <w:rFonts w:hint="eastAsia"/>
                <w:color w:val="000000" w:themeColor="text1"/>
                <w:highlight w:val="none"/>
                <w14:textFill>
                  <w14:solidFill>
                    <w14:schemeClr w14:val="tx1"/>
                  </w14:solidFill>
                </w14:textFill>
              </w:rPr>
            </w:pPr>
          </w:p>
          <w:p w14:paraId="06E64514">
            <w:pPr>
              <w:pStyle w:val="14"/>
            </w:pPr>
          </w:p>
          <w:p w14:paraId="4671D119"/>
          <w:p w14:paraId="2EB2C5C5">
            <w:pPr>
              <w:pStyle w:val="2"/>
            </w:pPr>
          </w:p>
        </w:tc>
      </w:tr>
    </w:tbl>
    <w:p w14:paraId="6819F34A">
      <w:pPr>
        <w:ind w:firstLine="600"/>
        <w:rPr>
          <w:sz w:val="30"/>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14:paraId="5EC8F393">
      <w:pPr>
        <w:pStyle w:val="35"/>
        <w:adjustRightInd w:val="0"/>
        <w:snapToGrid w:val="0"/>
        <w:spacing w:before="0" w:beforeAutospacing="0" w:after="0" w:afterAutospacing="0"/>
        <w:ind w:firstLine="0" w:firstLineChars="0"/>
        <w:jc w:val="center"/>
        <w:outlineLvl w:val="0"/>
        <w:rPr>
          <w:rFonts w:ascii="Times New Roman" w:hAnsi="Times New Roman"/>
          <w:snapToGrid w:val="0"/>
          <w:sz w:val="30"/>
          <w:szCs w:val="30"/>
        </w:rPr>
      </w:pPr>
      <w:bookmarkStart w:id="7" w:name="_Toc29043"/>
      <w:bookmarkStart w:id="8" w:name="_Toc16823"/>
      <w:r>
        <w:rPr>
          <w:rFonts w:hint="eastAsia" w:ascii="Times New Roman" w:hAnsi="Times New Roman"/>
          <w:snapToGrid w:val="0"/>
          <w:sz w:val="30"/>
          <w:szCs w:val="30"/>
        </w:rPr>
        <w:t>二、建设内容</w:t>
      </w:r>
      <w:bookmarkEnd w:id="7"/>
      <w:bookmarkEnd w:id="8"/>
    </w:p>
    <w:tbl>
      <w:tblPr>
        <w:tblStyle w:val="40"/>
        <w:tblW w:w="909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9586"/>
      </w:tblGrid>
      <w:tr w14:paraId="44B2F92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14:paraId="43DBA50F">
            <w:pPr>
              <w:adjustRightInd w:val="0"/>
              <w:snapToGrid w:val="0"/>
              <w:spacing w:line="240" w:lineRule="auto"/>
              <w:ind w:firstLine="0" w:firstLineChars="0"/>
              <w:rPr>
                <w:kern w:val="0"/>
                <w:szCs w:val="21"/>
              </w:rPr>
            </w:pPr>
            <w:r>
              <w:rPr>
                <w:kern w:val="0"/>
                <w:szCs w:val="21"/>
              </w:rPr>
              <w:t>地理位置</w:t>
            </w:r>
          </w:p>
        </w:tc>
        <w:tc>
          <w:tcPr>
            <w:tcW w:w="8380" w:type="dxa"/>
            <w:vAlign w:val="center"/>
          </w:tcPr>
          <w:p w14:paraId="69B26BF2">
            <w:pPr>
              <w:ind w:firstLine="480"/>
            </w:pPr>
            <w:r>
              <w:rPr>
                <w:kern w:val="0"/>
                <w:lang w:bidi="ar"/>
              </w:rPr>
              <w:t>寻甸县常青树磷石膏库综合治理项目位于寻甸县鸡街镇古城新石桥村大旋塘采石场，中心坐标：</w:t>
            </w:r>
            <w:r>
              <w:rPr>
                <w:rFonts w:hint="eastAsia"/>
                <w:kern w:val="0"/>
                <w:lang w:bidi="ar"/>
              </w:rPr>
              <w:t>东经102°48′12.47887″，北纬25°36′11.11837″</w:t>
            </w:r>
            <w:r>
              <w:rPr>
                <w:kern w:val="0"/>
                <w:lang w:bidi="ar"/>
              </w:rPr>
              <w:t>。项目地理位置图见附图1，项目生态修复范围拐点坐标表见表2-2。</w:t>
            </w:r>
          </w:p>
        </w:tc>
      </w:tr>
      <w:tr w14:paraId="0C44C8E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14:paraId="003643F1">
            <w:pPr>
              <w:adjustRightInd w:val="0"/>
              <w:snapToGrid w:val="0"/>
              <w:spacing w:line="240" w:lineRule="auto"/>
              <w:ind w:firstLine="0" w:firstLineChars="0"/>
              <w:rPr>
                <w:kern w:val="0"/>
                <w:szCs w:val="21"/>
              </w:rPr>
            </w:pPr>
            <w:r>
              <w:rPr>
                <w:kern w:val="0"/>
                <w:szCs w:val="21"/>
              </w:rPr>
              <w:t>项目组成及规模</w:t>
            </w:r>
          </w:p>
        </w:tc>
        <w:tc>
          <w:tcPr>
            <w:tcW w:w="8380" w:type="dxa"/>
            <w:vAlign w:val="center"/>
          </w:tcPr>
          <w:p w14:paraId="75F6F99D">
            <w:pPr>
              <w:adjustRightInd w:val="0"/>
              <w:ind w:firstLine="482"/>
              <w:rPr>
                <w:b/>
                <w:bCs/>
                <w:kern w:val="0"/>
                <w:lang w:bidi="ar"/>
              </w:rPr>
            </w:pPr>
            <w:r>
              <w:rPr>
                <w:b/>
                <w:bCs/>
                <w:kern w:val="0"/>
                <w:lang w:bidi="ar"/>
              </w:rPr>
              <w:t>1、项目概况</w:t>
            </w:r>
          </w:p>
          <w:p w14:paraId="02340785">
            <w:pPr>
              <w:adjustRightInd w:val="0"/>
              <w:ind w:firstLine="482"/>
              <w:jc w:val="left"/>
              <w:rPr>
                <w:b/>
                <w:bCs/>
              </w:rPr>
            </w:pPr>
            <w:r>
              <w:rPr>
                <w:b/>
                <w:bCs/>
                <w:kern w:val="0"/>
                <w:lang w:bidi="ar"/>
              </w:rPr>
              <w:t>（1）项目背景及评价内容</w:t>
            </w:r>
          </w:p>
          <w:p w14:paraId="4A2141CA">
            <w:pPr>
              <w:adjustRightInd w:val="0"/>
              <w:ind w:firstLine="480"/>
              <w:jc w:val="left"/>
              <w:rPr>
                <w:kern w:val="0"/>
                <w:lang w:bidi="ar"/>
              </w:rPr>
            </w:pPr>
            <w:r>
              <w:rPr>
                <w:kern w:val="0"/>
                <w:lang w:bidi="ar"/>
              </w:rPr>
              <w:t>根据《关于“十四五”大宗固体废弃物综合利用的指导意见》（发改环资〔2021〕381号）中对于提高工业副产石膏资源利用率“拓宽磷石膏利用途径，继续推广磷石膏在生产水泥和新型建筑材料等领域的利用，在确保环境安全的前提下，探索磷石膏在土壤改良、井下充填、路基材料等领域的应用。”的指导意见和生态环境部《关于磷石膏无害化后用于矿坑生态修复项目有关事宜的复函》（环办环评函〔2022〕273号）“鼓励地方因地制宜制定磷石膏无害化处理方案，拓展多领域、多途径、多方式资源化利用。”</w:t>
            </w:r>
          </w:p>
          <w:p w14:paraId="36A4CEA4">
            <w:pPr>
              <w:adjustRightInd w:val="0"/>
              <w:snapToGrid w:val="0"/>
              <w:ind w:firstLine="480"/>
              <w:rPr>
                <w:kern w:val="0"/>
                <w:lang w:bidi="ar"/>
              </w:rPr>
            </w:pPr>
            <w:r>
              <w:rPr>
                <w:kern w:val="0"/>
                <w:lang w:bidi="ar"/>
              </w:rPr>
              <w:t>根据昆明市人民政府办公室印发了《昆明市人民政府办公室关于印发昆明市加快推动磷石膏综合利用二十条措施的通知》（昆政办〔2022〕84号），该通知提出，在确保环境安全的前提下，支持企业对磷石膏进行无害化处理，鼓励企业优先采用生态修复等方式对磷石膏加以利用，对无法利用的，指导企业按照国家环境保护标准进行分类贮存或处置。</w:t>
            </w:r>
          </w:p>
          <w:p w14:paraId="3453DB0E">
            <w:pPr>
              <w:ind w:firstLine="480"/>
            </w:pPr>
            <w:r>
              <w:rPr>
                <w:kern w:val="0"/>
                <w:lang w:bidi="ar"/>
              </w:rPr>
              <w:t>寻甸县常青树磷石膏库综合治理项目</w:t>
            </w:r>
            <w:r>
              <w:t>是寻甸县深入贯彻习近平生态文明思想、习近平总书记考察云南重要讲话以及关于长江生态环境保护、磷石膏综合治理的重要指示批示精神，基于云南常青树化工有限公司磷石膏渣场现状实际提出的一项环境保护和生态治理项目，是基于云南常青树化工有限公司磷石膏渣场常年堆存磷石膏渣造成的环境污染，以及寻甸县鸡街镇大璇塘采石场废弃矿山生态修复任务而提出的统筹解决方案。</w:t>
            </w:r>
          </w:p>
          <w:p w14:paraId="3D48E41E">
            <w:pPr>
              <w:ind w:firstLine="480"/>
            </w:pPr>
            <w:r>
              <w:t>经核查，云南常青树化工有限公司磷石膏渣场存量磷石膏总量</w:t>
            </w:r>
            <w:r>
              <w:rPr>
                <w:rFonts w:hint="eastAsia"/>
                <w:lang w:val="en-US" w:eastAsia="zh-CN"/>
              </w:rPr>
              <w:t>为</w:t>
            </w:r>
            <w:r>
              <w:t>100万吨。常年堆存磷石膏渣，不仅侵占了宝贵的土地资源，其成分还可能造成放射性污染、土壤污染、地表水和地下水污染，磷石膏渣场下游龙潭地下水氟化物、总磷超标，对下游聂鼠龙河也造成了污染，并对下游农田土壤造成影响，导致农业减产并危害农产品安全。因此，从源头解决云南常青树化工有限公司磷石膏渣场污染源的工作迫在眉睫。</w:t>
            </w:r>
          </w:p>
          <w:p w14:paraId="5AC95FCC">
            <w:pPr>
              <w:widowControl/>
              <w:kinsoku w:val="0"/>
              <w:autoSpaceDE w:val="0"/>
              <w:autoSpaceDN w:val="0"/>
              <w:adjustRightInd w:val="0"/>
              <w:snapToGrid w:val="0"/>
              <w:ind w:firstLine="480"/>
              <w:jc w:val="left"/>
              <w:textAlignment w:val="baseline"/>
              <w:rPr>
                <w:snapToGrid w:val="0"/>
                <w:kern w:val="0"/>
              </w:rPr>
            </w:pPr>
            <w:r>
              <w:t>云南常青树化工有限公司已无力承担渣场治理的工作，无法履行企业主体责任，鉴于此，寻甸县人民政府经研究决定政府兜底责任，</w:t>
            </w:r>
            <w:r>
              <w:rPr>
                <w:rFonts w:hint="eastAsia"/>
                <w:snapToGrid w:val="0"/>
                <w:spacing w:val="-4"/>
                <w:kern w:val="0"/>
              </w:rPr>
              <w:t>由寻甸县</w:t>
            </w:r>
            <w:r>
              <w:rPr>
                <w:snapToGrid w:val="0"/>
                <w:spacing w:val="-4"/>
                <w:kern w:val="0"/>
              </w:rPr>
              <w:t>科技和工业信息化局</w:t>
            </w:r>
            <w:r>
              <w:t>承担云南常青树化工有限公司磷石膏渣场的综合治理任务</w:t>
            </w:r>
            <w:r>
              <w:rPr>
                <w:snapToGrid w:val="0"/>
                <w:spacing w:val="-4"/>
                <w:kern w:val="0"/>
              </w:rPr>
              <w:t>，</w:t>
            </w:r>
            <w:r>
              <w:rPr>
                <w:rFonts w:hint="eastAsia"/>
                <w:snapToGrid w:val="0"/>
                <w:spacing w:val="-4"/>
                <w:kern w:val="0"/>
              </w:rPr>
              <w:t>利用</w:t>
            </w:r>
            <w:r>
              <w:t>云南常青树化工有限公司</w:t>
            </w:r>
            <w:r>
              <w:rPr>
                <w:rFonts w:hint="eastAsia"/>
              </w:rPr>
              <w:t>磷石膏经改性后</w:t>
            </w:r>
            <w:r>
              <w:rPr>
                <w:snapToGrid w:val="0"/>
                <w:spacing w:val="-4"/>
                <w:kern w:val="0"/>
              </w:rPr>
              <w:t>对</w:t>
            </w:r>
            <w:r>
              <w:rPr>
                <w:snapToGrid w:val="0"/>
                <w:kern w:val="0"/>
              </w:rPr>
              <w:t>寻甸县鸡街镇大璇塘采石场进行矿</w:t>
            </w:r>
            <w:r>
              <w:rPr>
                <w:snapToGrid w:val="0"/>
                <w:spacing w:val="-4"/>
                <w:kern w:val="0"/>
              </w:rPr>
              <w:t>山生态修复工程充填，实现常青树磷石膏库清空处置，消除隐患风险</w:t>
            </w:r>
            <w:r>
              <w:rPr>
                <w:snapToGrid w:val="0"/>
                <w:spacing w:val="-1"/>
                <w:kern w:val="0"/>
              </w:rPr>
              <w:t>。</w:t>
            </w:r>
          </w:p>
          <w:p w14:paraId="5921E9D5">
            <w:pPr>
              <w:pStyle w:val="23"/>
              <w:ind w:firstLine="480"/>
              <w:rPr>
                <w:snapToGrid w:val="0"/>
                <w:sz w:val="28"/>
                <w:szCs w:val="28"/>
              </w:rPr>
            </w:pPr>
            <w:r>
              <w:rPr>
                <w:sz w:val="24"/>
                <w:lang w:bidi="ar"/>
              </w:rPr>
              <w:t>寻甸县大旋塘采石场位于云南省昆明市寻甸县鸡街镇古城新石桥村大旋塘采石场，历史为露天开采建筑用石料矿山，矿山关闭后形成现废弃迹地。现该矿区岩石裸露，水土流失严重，边坡倾斜较大，有较大的环境和安全风险隐患。</w:t>
            </w:r>
            <w:r>
              <w:rPr>
                <w:snapToGrid w:val="0"/>
                <w:sz w:val="24"/>
              </w:rPr>
              <w:t>寻甸县鸡街镇大璇塘采石场多年前已被列</w:t>
            </w:r>
            <w:r>
              <w:rPr>
                <w:snapToGrid w:val="0"/>
                <w:spacing w:val="-4"/>
                <w:sz w:val="24"/>
              </w:rPr>
              <w:t>为昆明市寻甸县淘汰关闭类型，政府要求强制进行生态修复。</w:t>
            </w:r>
            <w:r>
              <w:rPr>
                <w:snapToGrid w:val="0"/>
                <w:spacing w:val="1"/>
                <w:sz w:val="24"/>
              </w:rPr>
              <w:t>为全面贯彻习近平生态文明思想</w:t>
            </w:r>
            <w:r>
              <w:rPr>
                <w:snapToGrid w:val="0"/>
                <w:spacing w:val="-5"/>
                <w:sz w:val="24"/>
              </w:rPr>
              <w:t>，牢固树立“绿水青山就是金山银山”理念，坚持共</w:t>
            </w:r>
            <w:r>
              <w:rPr>
                <w:snapToGrid w:val="0"/>
                <w:spacing w:val="-4"/>
                <w:sz w:val="24"/>
              </w:rPr>
              <w:t>抓大保护、不搞大开发，统筹山水林田湖草系统保护修复，按照保障安全、恢复生态、兼顾景观总体及因地制宜、多措并举，扎实开展废弃露天矿山生态修复工作要求，经县政府研究，拟结合磷石膏处置工作，</w:t>
            </w:r>
            <w:r>
              <w:rPr>
                <w:snapToGrid w:val="0"/>
                <w:spacing w:val="-1"/>
                <w:sz w:val="24"/>
              </w:rPr>
              <w:t>对该废弃矿坑进行生态修复治理工作。</w:t>
            </w:r>
          </w:p>
          <w:p w14:paraId="14662DA0">
            <w:pPr>
              <w:pStyle w:val="23"/>
              <w:ind w:firstLine="480"/>
              <w:rPr>
                <w:lang w:bidi="ar"/>
              </w:rPr>
            </w:pPr>
            <w:r>
              <w:rPr>
                <w:sz w:val="24"/>
                <w:lang w:bidi="ar"/>
              </w:rPr>
              <w:t>结合各政策相关要求及项目区现状，为实现寻甸县大旋塘采石场废弃矿坑生态环境问题的系</w:t>
            </w:r>
            <w:r>
              <w:rPr>
                <w:color w:val="000000" w:themeColor="text1"/>
                <w:sz w:val="24"/>
                <w:lang w:bidi="ar"/>
                <w14:textFill>
                  <w14:solidFill>
                    <w14:schemeClr w14:val="tx1"/>
                  </w14:solidFill>
                </w14:textFill>
              </w:rPr>
              <w:t>统治理、综合治理、源头治理，从根本上解决生态突出问题。寻甸县科技和工业信息化局委托</w:t>
            </w:r>
            <w:r>
              <w:rPr>
                <w:rFonts w:hint="eastAsia"/>
                <w:color w:val="000000" w:themeColor="text1"/>
                <w:sz w:val="24"/>
                <w:lang w:eastAsia="zh-CN" w:bidi="ar"/>
                <w14:textFill>
                  <w14:solidFill>
                    <w14:schemeClr w14:val="tx1"/>
                  </w14:solidFill>
                </w14:textFill>
              </w:rPr>
              <w:t>广西华蓝岩土工程有限公司</w:t>
            </w:r>
            <w:r>
              <w:rPr>
                <w:color w:val="000000" w:themeColor="text1"/>
                <w:kern w:val="2"/>
                <w:sz w:val="24"/>
                <w14:textFill>
                  <w14:solidFill>
                    <w14:schemeClr w14:val="tx1"/>
                  </w14:solidFill>
                </w14:textFill>
              </w:rPr>
              <w:t>调查矿区环境污染现状、矿区地质、矿区生态状况调查，并编制了《云南省寻甸县大旋塘采石场废弃矿坑生态修复实施方案》、《云南省寻甸县大旋塘采石场废弃矿坑生态修复场地岩土工程勘察报告》《云南省寻甸县大旋塘采石场废弃矿坑生态修复水文地质勘察报告》</w:t>
            </w:r>
            <w:r>
              <w:rPr>
                <w:rFonts w:hint="eastAsia"/>
                <w:color w:val="000000" w:themeColor="text1"/>
                <w:kern w:val="2"/>
                <w:sz w:val="24"/>
                <w:lang w:eastAsia="zh-CN"/>
                <w14:textFill>
                  <w14:solidFill>
                    <w14:schemeClr w14:val="tx1"/>
                  </w14:solidFill>
                </w14:textFill>
              </w:rPr>
              <w:t>，</w:t>
            </w:r>
            <w:r>
              <w:rPr>
                <w:color w:val="000000" w:themeColor="text1"/>
                <w:kern w:val="2"/>
                <w:sz w:val="24"/>
                <w14:textFill>
                  <w14:solidFill>
                    <w14:schemeClr w14:val="tx1"/>
                  </w14:solidFill>
                </w14:textFill>
              </w:rPr>
              <w:t>本报告相</w:t>
            </w:r>
            <w:r>
              <w:rPr>
                <w:kern w:val="2"/>
                <w:sz w:val="24"/>
              </w:rPr>
              <w:t>关参数及数据等</w:t>
            </w:r>
            <w:r>
              <w:rPr>
                <w:rFonts w:hint="eastAsia"/>
                <w:kern w:val="2"/>
                <w:sz w:val="24"/>
              </w:rPr>
              <w:t>均</w:t>
            </w:r>
            <w:r>
              <w:rPr>
                <w:kern w:val="2"/>
                <w:sz w:val="24"/>
              </w:rPr>
              <w:t>来自于上述方案和报告</w:t>
            </w:r>
            <w:r>
              <w:rPr>
                <w:sz w:val="24"/>
                <w:lang w:bidi="ar"/>
              </w:rPr>
              <w:t>。</w:t>
            </w:r>
          </w:p>
          <w:p w14:paraId="37B90CAB">
            <w:pPr>
              <w:keepNext w:val="0"/>
              <w:keepLines w:val="0"/>
              <w:pageBreakBefore w:val="0"/>
              <w:kinsoku/>
              <w:wordWrap/>
              <w:overflowPunct/>
              <w:topLinePunct w:val="0"/>
              <w:autoSpaceDE/>
              <w:autoSpaceDN/>
              <w:bidi w:val="0"/>
              <w:adjustRightInd w:val="0"/>
              <w:snapToGrid w:val="0"/>
              <w:ind w:firstLine="480"/>
              <w:jc w:val="left"/>
              <w:textAlignment w:val="auto"/>
              <w:rPr>
                <w:rFonts w:hint="default"/>
                <w:lang w:val="en-US" w:eastAsia="zh-CN"/>
              </w:rPr>
            </w:pPr>
            <w:r>
              <w:t>20</w:t>
            </w:r>
            <w:r>
              <w:rPr>
                <w:rFonts w:hint="eastAsia"/>
              </w:rPr>
              <w:t>25</w:t>
            </w:r>
            <w:r>
              <w:t>年3月</w:t>
            </w:r>
            <w:r>
              <w:rPr>
                <w:rFonts w:hint="eastAsia"/>
              </w:rPr>
              <w:t>10</w:t>
            </w:r>
            <w:r>
              <w:t>日</w:t>
            </w:r>
            <w:r>
              <w:rPr>
                <w:rFonts w:hint="eastAsia"/>
                <w:lang w:eastAsia="zh-CN"/>
              </w:rPr>
              <w:t>，</w:t>
            </w:r>
            <w:r>
              <w:t>寻甸县科技和工业信息化局取得</w:t>
            </w:r>
            <w:r>
              <w:rPr>
                <w:rFonts w:hint="eastAsia"/>
              </w:rPr>
              <w:t>《寻甸回族彝族自治县发展和改革局关于寻甸县常青树磷石膏库综合治理项目可行性研究报告批复》（寻发改投资〔2025〕1号）</w:t>
            </w:r>
            <w:r>
              <w:rPr>
                <w:rFonts w:hint="eastAsia"/>
                <w:lang w:eastAsia="zh-CN"/>
              </w:rPr>
              <w:t>，</w:t>
            </w:r>
            <w:r>
              <w:rPr>
                <w:rFonts w:hint="eastAsia"/>
                <w:lang w:val="en-US" w:eastAsia="zh-CN"/>
              </w:rPr>
              <w:t>批复内容如下：</w:t>
            </w:r>
            <w:r>
              <w:rPr>
                <w:b/>
                <w:bCs/>
              </w:rPr>
              <w:t>项目代码：</w:t>
            </w:r>
            <w:r>
              <w:t>2502-530129-04-05-901566</w:t>
            </w:r>
            <w:r>
              <w:rPr>
                <w:rFonts w:hint="eastAsia"/>
                <w:lang w:eastAsia="zh-CN"/>
              </w:rPr>
              <w:t>。</w:t>
            </w:r>
            <w:r>
              <w:rPr>
                <w:rFonts w:hint="eastAsia"/>
                <w:b/>
                <w:bCs/>
                <w:lang w:val="en-US" w:eastAsia="zh-CN"/>
              </w:rPr>
              <w:t>拟建地址：</w:t>
            </w:r>
            <w:r>
              <w:rPr>
                <w:rFonts w:hint="eastAsia"/>
                <w:lang w:val="en-US" w:eastAsia="zh-CN"/>
              </w:rPr>
              <w:t>寻甸县塘子镇云南常青树化工有限公司磷石膏渣场、寻甸县鸡街镇古城新石桥村大旋塘采石场。</w:t>
            </w:r>
            <w:r>
              <w:rPr>
                <w:rFonts w:hint="eastAsia"/>
                <w:b/>
                <w:bCs/>
                <w:lang w:val="en-US" w:eastAsia="zh-CN"/>
              </w:rPr>
              <w:t>建设内容及规模：</w:t>
            </w:r>
            <w:r>
              <w:rPr>
                <w:rFonts w:hint="eastAsia"/>
                <w:lang w:val="en-US" w:eastAsia="zh-CN"/>
              </w:rPr>
              <w:t>1、完成云南常青树磷石膏库库存量约100万吨清空处置。2、对磷石膏进行无害化处置并利用废弃矿坑回填后，实现矿坑生态修复治理面积202.5亩左右。</w:t>
            </w:r>
          </w:p>
          <w:p w14:paraId="70C167F1">
            <w:pPr>
              <w:keepNext w:val="0"/>
              <w:keepLines w:val="0"/>
              <w:pageBreakBefore w:val="0"/>
              <w:kinsoku/>
              <w:wordWrap/>
              <w:overflowPunct/>
              <w:topLinePunct w:val="0"/>
              <w:autoSpaceDE/>
              <w:autoSpaceDN/>
              <w:bidi w:val="0"/>
              <w:adjustRightInd w:val="0"/>
              <w:snapToGrid w:val="0"/>
              <w:ind w:firstLine="480"/>
              <w:jc w:val="left"/>
              <w:textAlignment w:val="auto"/>
              <w:rPr>
                <w:rFonts w:hint="eastAsia"/>
                <w:sz w:val="24"/>
                <w:szCs w:val="24"/>
                <w:lang w:val="en-US" w:eastAsia="zh-CN"/>
              </w:rPr>
            </w:pPr>
            <w:r>
              <w:rPr>
                <w:rFonts w:hint="eastAsia"/>
                <w:sz w:val="24"/>
                <w:szCs w:val="24"/>
                <w:lang w:val="en-US" w:eastAsia="zh-CN"/>
              </w:rPr>
              <w:t>由于鸡街镇大旋塘北部和南部废弃采石场生态修复工程作为独立治理单元，地理位置、地质条件、修复技术方案与其他子项目显著不同，各子项目需按不同地块区域或所属国民经济行业类别分别开展实施方案、环评、地灾等前期手续，因此将寻甸县常青树磷石膏库综合治理项目鸡街镇大旋塘北部和南部废弃采石场生态修复工程作为子项目进行单独申报相关手续。</w:t>
            </w:r>
          </w:p>
          <w:p w14:paraId="1F286190">
            <w:pPr>
              <w:pStyle w:val="35"/>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val="0"/>
              <w:snapToGrid w:val="0"/>
              <w:spacing w:before="0" w:beforeAutospacing="0" w:after="0" w:afterAutospacing="0" w:line="360" w:lineRule="auto"/>
              <w:ind w:left="0" w:right="0" w:firstLine="480" w:firstLineChars="200"/>
              <w:jc w:val="left"/>
              <w:textAlignment w:val="auto"/>
              <w:rPr>
                <w:rFonts w:hint="default" w:eastAsia="宋体" w:cs="Times New Roman"/>
                <w:b w:val="0"/>
                <w:bCs w:val="0"/>
                <w:sz w:val="24"/>
                <w:szCs w:val="24"/>
                <w:lang w:val="en-US" w:eastAsia="zh-CN"/>
              </w:rPr>
            </w:pPr>
            <w:r>
              <w:rPr>
                <w:rFonts w:hint="eastAsia" w:eastAsia="宋体" w:cs="Times New Roman"/>
                <w:b w:val="0"/>
                <w:bCs w:val="0"/>
                <w:sz w:val="24"/>
                <w:szCs w:val="24"/>
                <w:lang w:val="en-US" w:eastAsia="zh-CN"/>
              </w:rPr>
              <w:t>经进一步查询复核矿区实际修复面积，根据编制的《</w:t>
            </w:r>
            <w:bookmarkStart w:id="9" w:name="_Hlk203140566"/>
            <w:bookmarkStart w:id="10" w:name="_Hlk203141426"/>
            <w:r>
              <w:rPr>
                <w:rFonts w:hint="eastAsia" w:eastAsia="宋体" w:cs="Times New Roman"/>
                <w:b w:val="0"/>
                <w:bCs w:val="0"/>
                <w:sz w:val="24"/>
                <w:szCs w:val="24"/>
                <w:lang w:val="en-US" w:eastAsia="zh-CN"/>
              </w:rPr>
              <w:t>寻甸县常青树磷石膏库综合治理项目（鸡街镇大旋塘北部和南部废弃采石场矿坑生态修复工程）实施方案</w:t>
            </w:r>
            <w:bookmarkEnd w:id="9"/>
            <w:bookmarkEnd w:id="10"/>
            <w:r>
              <w:rPr>
                <w:rFonts w:hint="eastAsia" w:eastAsia="宋体" w:cs="Times New Roman"/>
                <w:b w:val="0"/>
                <w:bCs w:val="0"/>
                <w:sz w:val="24"/>
                <w:szCs w:val="24"/>
                <w:lang w:val="en-US" w:eastAsia="zh-CN"/>
              </w:rPr>
              <w:t>》，</w:t>
            </w:r>
            <w:r>
              <w:rPr>
                <w:rFonts w:hint="default" w:ascii="Times New Roman" w:hAnsi="Times New Roman" w:cs="Times New Roman"/>
                <w:b w:val="0"/>
                <w:bCs w:val="0"/>
                <w:sz w:val="24"/>
                <w:szCs w:val="24"/>
                <w:lang w:val="en-US" w:eastAsia="zh-CN"/>
              </w:rPr>
              <w:t>矿坑生态修复治理面积</w:t>
            </w:r>
            <w:r>
              <w:rPr>
                <w:rFonts w:hint="eastAsia" w:ascii="Times New Roman" w:hAnsi="Times New Roman" w:cs="Times New Roman"/>
                <w:b w:val="0"/>
                <w:bCs w:val="0"/>
                <w:sz w:val="24"/>
                <w:szCs w:val="24"/>
                <w:lang w:val="en-US" w:eastAsia="zh-CN"/>
              </w:rPr>
              <w:t>较《可研批复》变更为190.65</w:t>
            </w:r>
            <w:r>
              <w:rPr>
                <w:rFonts w:hint="default" w:ascii="Times New Roman" w:hAnsi="Times New Roman" w:cs="Times New Roman"/>
                <w:b w:val="0"/>
                <w:bCs w:val="0"/>
                <w:sz w:val="24"/>
                <w:szCs w:val="24"/>
                <w:lang w:val="en-US" w:eastAsia="zh-CN"/>
              </w:rPr>
              <w:t>亩</w:t>
            </w:r>
            <w:r>
              <w:rPr>
                <w:rFonts w:hint="eastAsia" w:ascii="Times New Roman" w:hAnsi="Times New Roman" w:cs="Times New Roman"/>
                <w:b w:val="0"/>
                <w:bCs w:val="0"/>
                <w:sz w:val="24"/>
                <w:szCs w:val="24"/>
                <w:lang w:val="en-US" w:eastAsia="zh-CN"/>
              </w:rPr>
              <w:t>，因此寻甸县常青树磷石膏库综合治理项目（鸡街镇大旋塘北部和南部废弃采石场生态修复工程）</w:t>
            </w:r>
            <w:r>
              <w:rPr>
                <w:rFonts w:hint="default" w:ascii="Times New Roman" w:hAnsi="Times New Roman" w:cs="Times New Roman"/>
                <w:b w:val="0"/>
                <w:bCs w:val="0"/>
                <w:sz w:val="24"/>
                <w:szCs w:val="24"/>
                <w:lang w:val="en-US" w:eastAsia="zh-CN"/>
              </w:rPr>
              <w:t>修复治理面积</w:t>
            </w:r>
            <w:r>
              <w:rPr>
                <w:rFonts w:hint="eastAsia" w:ascii="Times New Roman" w:hAnsi="Times New Roman" w:cs="Times New Roman"/>
                <w:b w:val="0"/>
                <w:bCs w:val="0"/>
                <w:sz w:val="24"/>
                <w:szCs w:val="24"/>
                <w:lang w:val="en-US" w:eastAsia="zh-CN"/>
              </w:rPr>
              <w:t>为190.65</w:t>
            </w:r>
            <w:r>
              <w:rPr>
                <w:rFonts w:hint="default" w:ascii="Times New Roman" w:hAnsi="Times New Roman" w:cs="Times New Roman"/>
                <w:b w:val="0"/>
                <w:bCs w:val="0"/>
                <w:sz w:val="24"/>
                <w:szCs w:val="24"/>
                <w:lang w:val="en-US" w:eastAsia="zh-CN"/>
              </w:rPr>
              <w:t>亩</w:t>
            </w:r>
            <w:r>
              <w:rPr>
                <w:rFonts w:hint="eastAsia" w:ascii="Times New Roman" w:hAnsi="Times New Roman" w:cs="Times New Roman"/>
                <w:b w:val="0"/>
                <w:bCs w:val="0"/>
                <w:sz w:val="24"/>
                <w:szCs w:val="24"/>
                <w:lang w:val="en-US" w:eastAsia="zh-CN"/>
              </w:rPr>
              <w:t>。</w:t>
            </w:r>
          </w:p>
          <w:p w14:paraId="3E6A68F6">
            <w:pPr>
              <w:keepNext w:val="0"/>
              <w:keepLines w:val="0"/>
              <w:pageBreakBefore w:val="0"/>
              <w:kinsoku/>
              <w:wordWrap/>
              <w:overflowPunct/>
              <w:topLinePunct w:val="0"/>
              <w:autoSpaceDE/>
              <w:autoSpaceDN/>
              <w:bidi w:val="0"/>
              <w:adjustRightInd w:val="0"/>
              <w:snapToGrid w:val="0"/>
              <w:ind w:firstLine="480"/>
              <w:jc w:val="left"/>
              <w:textAlignment w:val="auto"/>
              <w:rPr>
                <w:rFonts w:hint="default" w:eastAsia="宋体"/>
                <w:kern w:val="0"/>
                <w:lang w:val="en-US" w:eastAsia="zh-CN" w:bidi="ar"/>
              </w:rPr>
            </w:pPr>
            <w:r>
              <w:rPr>
                <w:kern w:val="0"/>
                <w:lang w:bidi="ar"/>
              </w:rPr>
              <w:t>本次</w:t>
            </w:r>
            <w:r>
              <w:rPr>
                <w:rFonts w:hint="eastAsia"/>
                <w:kern w:val="0"/>
                <w:lang w:val="en-US" w:eastAsia="zh-CN" w:bidi="ar"/>
              </w:rPr>
              <w:t>环评</w:t>
            </w:r>
            <w:r>
              <w:rPr>
                <w:kern w:val="0"/>
                <w:lang w:bidi="ar"/>
              </w:rPr>
              <w:t>评价范围仅为改性磷石膏生态修复</w:t>
            </w:r>
            <w:r>
              <w:rPr>
                <w:rFonts w:hint="eastAsia"/>
                <w:kern w:val="0"/>
                <w:lang w:val="en-US" w:eastAsia="zh-CN" w:bidi="ar"/>
              </w:rPr>
              <w:t>治理</w:t>
            </w:r>
            <w:r>
              <w:rPr>
                <w:kern w:val="0"/>
                <w:lang w:bidi="ar"/>
              </w:rPr>
              <w:t>工程。</w:t>
            </w:r>
            <w:r>
              <w:rPr>
                <w:rFonts w:hint="eastAsia"/>
                <w:kern w:val="0"/>
                <w:lang w:bidi="ar"/>
              </w:rPr>
              <w:t>本次环评不包括</w:t>
            </w:r>
            <w:r>
              <w:rPr>
                <w:kern w:val="0"/>
                <w:lang w:bidi="ar"/>
              </w:rPr>
              <w:t>生产改性磷石膏生态修复材料</w:t>
            </w:r>
            <w:r>
              <w:rPr>
                <w:rFonts w:hint="eastAsia"/>
                <w:kern w:val="0"/>
                <w:lang w:bidi="ar"/>
              </w:rPr>
              <w:t>，</w:t>
            </w:r>
            <w:r>
              <w:rPr>
                <w:kern w:val="0"/>
                <w:lang w:bidi="ar"/>
              </w:rPr>
              <w:t>本项目直接使用</w:t>
            </w:r>
            <w:r>
              <w:t>云南常青树化工有限公司磷石膏渣场</w:t>
            </w:r>
            <w:r>
              <w:rPr>
                <w:rFonts w:hint="eastAsia"/>
              </w:rPr>
              <w:t>堆存的</w:t>
            </w:r>
            <w:r>
              <w:t>100万吨磷石膏</w:t>
            </w:r>
            <w:r>
              <w:rPr>
                <w:rFonts w:hint="eastAsia"/>
              </w:rPr>
              <w:t>经改性</w:t>
            </w:r>
            <w:r>
              <w:rPr>
                <w:kern w:val="0"/>
                <w:lang w:bidi="ar"/>
              </w:rPr>
              <w:t>生产的磷石膏产品，经检测达到相关规范要求后进行回填修复</w:t>
            </w:r>
            <w:r>
              <w:rPr>
                <w:rFonts w:hint="eastAsia"/>
                <w:kern w:val="0"/>
                <w:lang w:eastAsia="zh-CN" w:bidi="ar"/>
              </w:rPr>
              <w:t>，</w:t>
            </w:r>
            <w:r>
              <w:rPr>
                <w:rFonts w:hint="eastAsia"/>
                <w:kern w:val="0"/>
                <w:lang w:val="en-US" w:eastAsia="zh-CN" w:bidi="ar"/>
              </w:rPr>
              <w:t>回填不足的部分从寻甸县其他磷石膏生产企业中进行增补</w:t>
            </w:r>
            <w:r>
              <w:rPr>
                <w:rFonts w:hint="eastAsia"/>
                <w:kern w:val="0"/>
                <w:lang w:eastAsia="zh-CN" w:bidi="ar"/>
              </w:rPr>
              <w:t>。</w:t>
            </w:r>
            <w:r>
              <w:rPr>
                <w:rFonts w:hint="eastAsia"/>
                <w:kern w:val="0"/>
                <w:lang w:val="en-US" w:eastAsia="zh-CN" w:bidi="ar"/>
              </w:rPr>
              <w:t>项目建设地点位于</w:t>
            </w:r>
            <w:r>
              <w:rPr>
                <w:rFonts w:hint="eastAsia"/>
                <w:lang w:val="en-US" w:eastAsia="zh-CN"/>
              </w:rPr>
              <w:t>寻甸县鸡街镇古城新石桥村大旋塘采石场（采石场共分为两个区域，北部采石场及南部采石场）。</w:t>
            </w:r>
          </w:p>
          <w:p w14:paraId="47919DF0">
            <w:pPr>
              <w:adjustRightInd w:val="0"/>
              <w:spacing w:line="384" w:lineRule="auto"/>
              <w:ind w:firstLine="480"/>
              <w:jc w:val="left"/>
              <w:rPr>
                <w:color w:val="000000" w:themeColor="text1"/>
                <w:kern w:val="0"/>
                <w:lang w:bidi="ar"/>
                <w14:textFill>
                  <w14:solidFill>
                    <w14:schemeClr w14:val="tx1"/>
                  </w14:solidFill>
                </w14:textFill>
              </w:rPr>
            </w:pPr>
            <w:r>
              <w:rPr>
                <w:kern w:val="0"/>
                <w:lang w:bidi="ar"/>
              </w:rPr>
              <w:t>根据《中华人民共和国环境影响评价法》《中华人民共和国环境保护法》和《建设项目环境保护管理条例》等相关规定，建设项目应该开展环境影响评价工作</w:t>
            </w:r>
            <w:r>
              <w:rPr>
                <w:rFonts w:hint="eastAsia"/>
                <w:kern w:val="0"/>
                <w:lang w:bidi="ar"/>
              </w:rPr>
              <w:t>，</w:t>
            </w:r>
            <w:r>
              <w:rPr>
                <w:kern w:val="0"/>
                <w:lang w:bidi="ar"/>
              </w:rPr>
              <w:t>根据《建设项目环境影响评价分类管理名录》（2021年版）</w:t>
            </w:r>
            <w:r>
              <w:rPr>
                <w:rFonts w:hint="eastAsia"/>
                <w:kern w:val="0"/>
                <w:lang w:bidi="ar"/>
              </w:rPr>
              <w:t>中“</w:t>
            </w:r>
            <w:r>
              <w:rPr>
                <w:kern w:val="0"/>
                <w:lang w:bidi="ar"/>
              </w:rPr>
              <w:t>八、非金属采矿业</w:t>
            </w:r>
            <w:r>
              <w:rPr>
                <w:rFonts w:hint="eastAsia"/>
                <w:kern w:val="0"/>
                <w:lang w:bidi="ar"/>
              </w:rPr>
              <w:t>10中11、</w:t>
            </w:r>
            <w:r>
              <w:rPr>
                <w:kern w:val="0"/>
                <w:lang w:bidi="ar"/>
              </w:rPr>
              <w:t>土砂石开采101（不含河道采砂项目）</w:t>
            </w:r>
            <w:r>
              <w:rPr>
                <w:rFonts w:hint="eastAsia"/>
                <w:kern w:val="0"/>
                <w:lang w:bidi="ar"/>
              </w:rPr>
              <w:t>”报告书的要求为涉及环境敏感区的（不含单独的矿石破碎、集运；不含矿区修复治理工程），而</w:t>
            </w:r>
            <w:r>
              <w:rPr>
                <w:kern w:val="0"/>
                <w:lang w:bidi="ar"/>
              </w:rPr>
              <w:t>本项目属</w:t>
            </w:r>
            <w:r>
              <w:rPr>
                <w:color w:val="000000" w:themeColor="text1"/>
                <w:kern w:val="0"/>
                <w:lang w:bidi="ar"/>
                <w14:textFill>
                  <w14:solidFill>
                    <w14:schemeClr w14:val="tx1"/>
                  </w14:solidFill>
                </w14:textFill>
              </w:rPr>
              <w:t>于</w:t>
            </w:r>
            <w:r>
              <w:rPr>
                <w:rFonts w:hint="eastAsia"/>
                <w:color w:val="000000" w:themeColor="text1"/>
                <w:kern w:val="0"/>
                <w:lang w:bidi="ar"/>
                <w14:textFill>
                  <w14:solidFill>
                    <w14:schemeClr w14:val="tx1"/>
                  </w14:solidFill>
                </w14:textFill>
              </w:rPr>
              <w:t>“矿区修复治理工程”故属于“</w:t>
            </w:r>
            <w:r>
              <w:rPr>
                <w:color w:val="000000" w:themeColor="text1"/>
                <w:kern w:val="0"/>
                <w:lang w:bidi="ar"/>
                <w14:textFill>
                  <w14:solidFill>
                    <w14:schemeClr w14:val="tx1"/>
                  </w14:solidFill>
                </w14:textFill>
              </w:rPr>
              <w:t>其他</w:t>
            </w:r>
            <w:r>
              <w:rPr>
                <w:rFonts w:hint="eastAsia"/>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需要编制</w:t>
            </w:r>
            <w:r>
              <w:rPr>
                <w:rFonts w:hint="eastAsia"/>
                <w:color w:val="000000" w:themeColor="text1"/>
                <w:kern w:val="0"/>
                <w:lang w:bidi="ar"/>
                <w14:textFill>
                  <w14:solidFill>
                    <w14:schemeClr w14:val="tx1"/>
                  </w14:solidFill>
                </w14:textFill>
              </w:rPr>
              <w:t>环境影响评价</w:t>
            </w:r>
            <w:r>
              <w:rPr>
                <w:color w:val="000000" w:themeColor="text1"/>
                <w:kern w:val="0"/>
                <w:lang w:bidi="ar"/>
                <w14:textFill>
                  <w14:solidFill>
                    <w14:schemeClr w14:val="tx1"/>
                  </w14:solidFill>
                </w14:textFill>
              </w:rPr>
              <w:t>报告表。为此</w:t>
            </w:r>
            <w:r>
              <w:rPr>
                <w:rFonts w:hint="eastAsia"/>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受建设单位委托，博安环（云南）环境科技有限公司承担了本项目环境影响评价工作。</w:t>
            </w:r>
          </w:p>
          <w:p w14:paraId="43192C5D">
            <w:pPr>
              <w:adjustRightInd w:val="0"/>
              <w:spacing w:line="384" w:lineRule="auto"/>
              <w:ind w:firstLine="482"/>
              <w:jc w:val="left"/>
              <w:rPr>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（2）项目名称</w:t>
            </w:r>
            <w:r>
              <w:rPr>
                <w:color w:val="000000" w:themeColor="text1"/>
                <w:kern w:val="0"/>
                <w:lang w:bidi="ar"/>
                <w14:textFill>
                  <w14:solidFill>
                    <w14:schemeClr w14:val="tx1"/>
                  </w14:solidFill>
                </w14:textFill>
              </w:rPr>
              <w:t>：寻甸县常青树磷石膏库综合治理项目</w:t>
            </w:r>
          </w:p>
          <w:p w14:paraId="2EDD9D3F">
            <w:pPr>
              <w:adjustRightInd w:val="0"/>
              <w:spacing w:line="384" w:lineRule="auto"/>
              <w:ind w:firstLine="482"/>
              <w:jc w:val="left"/>
              <w:rPr>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（3）建设性质</w:t>
            </w:r>
            <w:r>
              <w:rPr>
                <w:color w:val="000000" w:themeColor="text1"/>
                <w:kern w:val="0"/>
                <w:lang w:bidi="ar"/>
                <w14:textFill>
                  <w14:solidFill>
                    <w14:schemeClr w14:val="tx1"/>
                  </w14:solidFill>
                </w14:textFill>
              </w:rPr>
              <w:t>：新建</w:t>
            </w:r>
          </w:p>
          <w:p w14:paraId="395E8189">
            <w:pPr>
              <w:adjustRightInd w:val="0"/>
              <w:spacing w:line="384" w:lineRule="auto"/>
              <w:ind w:firstLine="482"/>
              <w:jc w:val="left"/>
              <w:rPr>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（4）建设单位</w:t>
            </w:r>
            <w:r>
              <w:rPr>
                <w:color w:val="000000" w:themeColor="text1"/>
                <w:kern w:val="0"/>
                <w:lang w:bidi="ar"/>
                <w14:textFill>
                  <w14:solidFill>
                    <w14:schemeClr w14:val="tx1"/>
                  </w14:solidFill>
                </w14:textFill>
              </w:rPr>
              <w:t>：寻甸县科技和工业信息化局</w:t>
            </w:r>
          </w:p>
          <w:p w14:paraId="2B2F3284">
            <w:pPr>
              <w:adjustRightInd w:val="0"/>
              <w:spacing w:line="384" w:lineRule="auto"/>
              <w:ind w:firstLine="482"/>
              <w:jc w:val="left"/>
              <w:rPr>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（5）建设地点：</w:t>
            </w:r>
            <w:r>
              <w:rPr>
                <w:color w:val="000000" w:themeColor="text1"/>
                <w:kern w:val="0"/>
                <w:lang w:bidi="ar"/>
                <w14:textFill>
                  <w14:solidFill>
                    <w14:schemeClr w14:val="tx1"/>
                  </w14:solidFill>
                </w14:textFill>
              </w:rPr>
              <w:t>寻甸县鸡街镇古城新石桥村大旋塘采石场，中心坐标：</w:t>
            </w:r>
            <w:r>
              <w:rPr>
                <w:rFonts w:hint="eastAsia"/>
                <w:color w:val="000000" w:themeColor="text1"/>
                <w14:textFill>
                  <w14:solidFill>
                    <w14:schemeClr w14:val="tx1"/>
                  </w14:solidFill>
                </w14:textFill>
              </w:rPr>
              <w:t>东经102°48′12.47887″，北纬625°36′11.11837″。</w:t>
            </w:r>
          </w:p>
          <w:p w14:paraId="06E546CA">
            <w:pPr>
              <w:adjustRightInd w:val="0"/>
              <w:ind w:firstLine="482"/>
              <w:jc w:val="left"/>
              <w:rPr>
                <w:kern w:val="0"/>
                <w:lang w:bidi="ar"/>
              </w:rPr>
            </w:pPr>
            <w:r>
              <w:rPr>
                <w:b/>
                <w:bCs/>
                <w:kern w:val="0"/>
                <w:lang w:bidi="ar"/>
              </w:rPr>
              <w:t>（6）修复范围</w:t>
            </w:r>
            <w:r>
              <w:rPr>
                <w:kern w:val="0"/>
                <w:lang w:bidi="ar"/>
              </w:rPr>
              <w:t>：修复面积为</w:t>
            </w:r>
            <w:r>
              <w:rPr>
                <w:rFonts w:hint="eastAsia"/>
                <w:kern w:val="0"/>
                <w:lang w:val="en-US" w:eastAsia="zh-CN" w:bidi="ar"/>
              </w:rPr>
              <w:t>127097</w:t>
            </w:r>
            <w:r>
              <w:rPr>
                <w:kern w:val="0"/>
                <w:lang w:bidi="ar"/>
              </w:rPr>
              <w:t>m</w:t>
            </w:r>
            <w:r>
              <w:rPr>
                <w:kern w:val="0"/>
                <w:vertAlign w:val="superscript"/>
                <w:lang w:bidi="ar"/>
              </w:rPr>
              <w:t>2</w:t>
            </w:r>
            <w:r>
              <w:rPr>
                <w:rFonts w:hint="eastAsia"/>
                <w:kern w:val="0"/>
                <w:lang w:bidi="ar"/>
              </w:rPr>
              <w:t>（</w:t>
            </w:r>
            <w:r>
              <w:rPr>
                <w:rFonts w:hint="eastAsia"/>
                <w:kern w:val="0"/>
                <w:lang w:val="en-US" w:eastAsia="zh-CN" w:bidi="ar"/>
              </w:rPr>
              <w:t>190.65</w:t>
            </w:r>
            <w:r>
              <w:rPr>
                <w:rFonts w:hint="eastAsia"/>
                <w:kern w:val="0"/>
                <w:lang w:bidi="ar"/>
              </w:rPr>
              <w:t>亩），</w:t>
            </w:r>
            <w:r>
              <w:rPr>
                <w:rFonts w:cs="Times New Roman"/>
                <w:color w:val="000000" w:themeColor="text1"/>
                <w:kern w:val="0"/>
                <w:highlight w:val="none"/>
                <w:lang w:bidi="ar"/>
                <w14:textFill>
                  <w14:solidFill>
                    <w14:schemeClr w14:val="tx1"/>
                  </w14:solidFill>
                </w14:textFill>
              </w:rPr>
              <w:t>后续复垦为</w:t>
            </w:r>
            <w:r>
              <w:rPr>
                <w:rFonts w:hint="eastAsia" w:cs="Times New Roman"/>
                <w:color w:val="000000" w:themeColor="text1"/>
                <w:kern w:val="0"/>
                <w:highlight w:val="none"/>
                <w:lang w:val="en-US" w:eastAsia="zh-CN" w:bidi="ar"/>
                <w14:textFill>
                  <w14:solidFill>
                    <w14:schemeClr w14:val="tx1"/>
                  </w14:solidFill>
                </w14:textFill>
              </w:rPr>
              <w:t>旱地、有</w:t>
            </w:r>
            <w:r>
              <w:rPr>
                <w:rFonts w:hint="eastAsia"/>
                <w:color w:val="000000" w:themeColor="text1"/>
                <w:kern w:val="0"/>
                <w:highlight w:val="none"/>
                <w:lang w:bidi="ar"/>
                <w14:textFill>
                  <w14:solidFill>
                    <w14:schemeClr w14:val="tx1"/>
                  </w14:solidFill>
                </w14:textFill>
              </w:rPr>
              <w:t>林地</w:t>
            </w:r>
            <w:r>
              <w:rPr>
                <w:kern w:val="0"/>
                <w:lang w:bidi="ar"/>
              </w:rPr>
              <w:t>。</w:t>
            </w:r>
          </w:p>
          <w:p w14:paraId="444082BB">
            <w:pPr>
              <w:adjustRightInd w:val="0"/>
              <w:ind w:firstLine="482"/>
              <w:jc w:val="left"/>
              <w:rPr>
                <w:rFonts w:hint="eastAsia" w:ascii="Times New Roman" w:hAnsi="Times New Roman" w:eastAsia="宋体" w:cs="Times New Roman"/>
                <w:color w:val="000000" w:themeColor="text1"/>
                <w:sz w:val="24"/>
                <w:highlight w:val="none"/>
                <w:lang w:eastAsia="zh-CN"/>
                <w14:textFill>
                  <w14:solidFill>
                    <w14:schemeClr w14:val="tx1"/>
                  </w14:solidFill>
                </w14:textFill>
              </w:rPr>
            </w:pPr>
            <w:r>
              <w:rPr>
                <w:b/>
                <w:bCs/>
                <w:kern w:val="0"/>
                <w:lang w:bidi="ar"/>
              </w:rPr>
              <w:t>（7）实施期限：</w:t>
            </w:r>
            <w:r>
              <w:rPr>
                <w:rFonts w:hint="eastAsia" w:ascii="Times New Roman" w:hAnsi="Times New Roman" w:cs="Times New Roman"/>
                <w:color w:val="000000" w:themeColor="text1"/>
                <w:highlight w:val="none"/>
                <w:lang w:val="en-US" w:eastAsia="zh-CN"/>
                <w14:textFill>
                  <w14:solidFill>
                    <w14:schemeClr w14:val="tx1"/>
                  </w14:solidFill>
                </w14:textFill>
              </w:rPr>
              <w:t>本项目</w:t>
            </w:r>
            <w:r>
              <w:rPr>
                <w:rFonts w:hint="default" w:ascii="Times New Roman" w:hAnsi="Times New Roman" w:cs="Times New Roman"/>
                <w:color w:val="000000" w:themeColor="text1"/>
                <w:sz w:val="24"/>
                <w:highlight w:val="none"/>
                <w14:textFill>
                  <w14:solidFill>
                    <w14:schemeClr w14:val="tx1"/>
                  </w14:solidFill>
                </w14:textFill>
              </w:rPr>
              <w:t>生态修复实施年限5年，分两个阶段，第一阶段施工期（2025年10月至2027年9月），第二阶段管护期（2026年10月至2030年9月）</w:t>
            </w:r>
            <w:r>
              <w:rPr>
                <w:rFonts w:hint="eastAsia" w:ascii="Times New Roman" w:hAnsi="Times New Roman" w:cs="Times New Roman"/>
                <w:color w:val="000000" w:themeColor="text1"/>
                <w:sz w:val="24"/>
                <w:highlight w:val="none"/>
                <w:lang w:eastAsia="zh-CN"/>
                <w14:textFill>
                  <w14:solidFill>
                    <w14:schemeClr w14:val="tx1"/>
                  </w14:solidFill>
                </w14:textFill>
              </w:rPr>
              <w:t>。</w:t>
            </w:r>
          </w:p>
          <w:p w14:paraId="054404C2">
            <w:pPr>
              <w:adjustRightInd w:val="0"/>
              <w:ind w:firstLine="482"/>
              <w:jc w:val="left"/>
              <w:rPr>
                <w:kern w:val="0"/>
                <w:lang w:bidi="ar"/>
              </w:rPr>
            </w:pPr>
            <w:r>
              <w:rPr>
                <w:b/>
                <w:bCs/>
                <w:kern w:val="0"/>
                <w:lang w:bidi="ar"/>
              </w:rPr>
              <w:t>（8）项目投资</w:t>
            </w:r>
            <w:r>
              <w:rPr>
                <w:kern w:val="0"/>
                <w:lang w:bidi="ar"/>
              </w:rPr>
              <w:t>：本工程总投资估算为6373.87万元，其中环保投资864.5万元，占总投资的13.56%。</w:t>
            </w:r>
          </w:p>
          <w:p w14:paraId="3404A7D0">
            <w:pPr>
              <w:adjustRightInd w:val="0"/>
              <w:ind w:firstLine="482"/>
              <w:jc w:val="left"/>
              <w:rPr>
                <w:b/>
                <w:bCs/>
                <w:kern w:val="0"/>
                <w:lang w:bidi="ar"/>
              </w:rPr>
            </w:pPr>
            <w:r>
              <w:rPr>
                <w:b/>
                <w:bCs/>
                <w:kern w:val="0"/>
                <w:lang w:bidi="ar"/>
              </w:rPr>
              <w:t>2、修复方案</w:t>
            </w:r>
          </w:p>
          <w:p w14:paraId="1B6D08D7">
            <w:pPr>
              <w:widowControl/>
              <w:adjustRightInd w:val="0"/>
              <w:spacing w:line="360" w:lineRule="auto"/>
              <w:ind w:firstLine="482" w:firstLineChars="200"/>
              <w:rPr>
                <w:rFonts w:ascii="宋体" w:hAnsi="宋体"/>
                <w:color w:val="000000" w:themeColor="text1"/>
                <w:kern w:val="0"/>
                <w:sz w:val="24"/>
                <w14:textFill>
                  <w14:solidFill>
                    <w14:schemeClr w14:val="tx1"/>
                  </w14:solidFill>
                </w14:textFill>
              </w:rPr>
            </w:pPr>
            <w:r>
              <w:rPr>
                <w:rFonts w:ascii="Times New Roman" w:hAnsi="Times New Roman"/>
                <w:b/>
                <w:bCs/>
                <w:kern w:val="0"/>
                <w:szCs w:val="24"/>
                <w:lang w:bidi="ar"/>
              </w:rPr>
              <w:t>（1）修复思路：</w:t>
            </w:r>
            <w:r>
              <w:rPr>
                <w:rFonts w:hint="eastAsia" w:asciiTheme="minorEastAsia" w:hAnsiTheme="minorEastAsia" w:eastAsiaTheme="minorEastAsia"/>
                <w:color w:val="000000" w:themeColor="text1"/>
                <w:kern w:val="0"/>
                <w:sz w:val="24"/>
                <w14:textFill>
                  <w14:solidFill>
                    <w14:schemeClr w14:val="tx1"/>
                  </w14:solidFill>
                </w14:textFill>
              </w:rPr>
              <w:t>寻甸县鸡街镇大旋塘</w:t>
            </w:r>
            <w:bookmarkStart w:id="11" w:name="_Hlk207981444"/>
            <w:r>
              <w:rPr>
                <w:rFonts w:hint="eastAsia" w:asciiTheme="minorEastAsia" w:hAnsiTheme="minorEastAsia" w:eastAsiaTheme="minorEastAsia"/>
                <w:color w:val="000000" w:themeColor="text1"/>
                <w:kern w:val="0"/>
                <w:sz w:val="24"/>
                <w14:textFill>
                  <w14:solidFill>
                    <w14:schemeClr w14:val="tx1"/>
                  </w14:solidFill>
                </w14:textFill>
              </w:rPr>
              <w:t>北部采石场和南部采石场</w:t>
            </w:r>
            <w:bookmarkEnd w:id="11"/>
            <w:r>
              <w:rPr>
                <w:rFonts w:hint="eastAsia" w:asciiTheme="minorEastAsia" w:hAnsiTheme="minorEastAsia" w:eastAsiaTheme="minorEastAsia"/>
                <w:color w:val="000000" w:themeColor="text1"/>
                <w:kern w:val="0"/>
                <w:sz w:val="24"/>
                <w14:textFill>
                  <w14:solidFill>
                    <w14:schemeClr w14:val="tx1"/>
                  </w14:solidFill>
                </w14:textFill>
              </w:rPr>
              <w:t>开采方式为露天开采，采矿过后遗留的露采场地严重破坏了山区的自然地貌、景观和生态环境，还改变了原有的地形地貌，对周围景观造成了极大的影响。目前，寻甸县鸡街镇</w:t>
            </w:r>
            <w:bookmarkStart w:id="12" w:name="_Hlk207981626"/>
            <w:r>
              <w:rPr>
                <w:rFonts w:hint="eastAsia" w:asciiTheme="minorEastAsia" w:hAnsiTheme="minorEastAsia" w:eastAsiaTheme="minorEastAsia"/>
                <w:color w:val="000000" w:themeColor="text1"/>
                <w:kern w:val="0"/>
                <w:sz w:val="24"/>
                <w14:textFill>
                  <w14:solidFill>
                    <w14:schemeClr w14:val="tx1"/>
                  </w14:solidFill>
                </w14:textFill>
              </w:rPr>
              <w:t>大旋塘北部采石场</w:t>
            </w:r>
            <w:bookmarkEnd w:id="12"/>
            <w:r>
              <w:rPr>
                <w:rFonts w:hint="eastAsia" w:asciiTheme="minorEastAsia" w:hAnsiTheme="minorEastAsia" w:eastAsiaTheme="minorEastAsia"/>
                <w:color w:val="000000" w:themeColor="text1"/>
                <w:kern w:val="0"/>
                <w:sz w:val="24"/>
                <w14:textFill>
                  <w14:solidFill>
                    <w14:schemeClr w14:val="tx1"/>
                  </w14:solidFill>
                </w14:textFill>
              </w:rPr>
              <w:t>和大旋塘南部采石场</w:t>
            </w:r>
            <w:r>
              <w:rPr>
                <w:rFonts w:hint="eastAsia" w:asciiTheme="minorEastAsia" w:hAnsiTheme="minorEastAsia" w:eastAsiaTheme="minorEastAsia"/>
                <w:color w:val="000000" w:themeColor="text1"/>
                <w:spacing w:val="20"/>
                <w:kern w:val="0"/>
                <w:sz w:val="24"/>
                <w14:textFill>
                  <w14:solidFill>
                    <w14:schemeClr w14:val="tx1"/>
                  </w14:solidFill>
                </w14:textFill>
              </w:rPr>
              <w:t>现状各形成1</w:t>
            </w:r>
            <w:r>
              <w:rPr>
                <w:rFonts w:hint="eastAsia" w:asciiTheme="minorEastAsia" w:hAnsiTheme="minorEastAsia" w:eastAsiaTheme="minorEastAsia"/>
                <w:color w:val="000000" w:themeColor="text1"/>
                <w:kern w:val="0"/>
                <w:sz w:val="24"/>
                <w14:textFill>
                  <w14:solidFill>
                    <w14:schemeClr w14:val="tx1"/>
                  </w14:solidFill>
                </w14:textFill>
              </w:rPr>
              <w:t>个露天采场。</w:t>
            </w:r>
            <w:r>
              <w:rPr>
                <w:rFonts w:hint="eastAsia" w:ascii="宋体" w:hAnsi="宋体"/>
                <w:color w:val="000000" w:themeColor="text1"/>
                <w:kern w:val="0"/>
                <w:sz w:val="24"/>
                <w14:textFill>
                  <w14:solidFill>
                    <w14:schemeClr w14:val="tx1"/>
                  </w14:solidFill>
                </w14:textFill>
              </w:rPr>
              <w:t>根据“《矿山生态修复技术规范 第1部分：通则》附录C”，场地土地损毁严重，地表植被生境受到严重影响，生态退化严重。确定采用生态重建措施进行生态修复，场地修复方向为</w:t>
            </w:r>
            <w:r>
              <w:rPr>
                <w:rFonts w:hint="eastAsia" w:cs="Times New Roman"/>
                <w:color w:val="000000" w:themeColor="text1"/>
                <w:kern w:val="0"/>
                <w:highlight w:val="none"/>
                <w:lang w:val="en-US" w:eastAsia="zh-CN" w:bidi="ar"/>
                <w14:textFill>
                  <w14:solidFill>
                    <w14:schemeClr w14:val="tx1"/>
                  </w14:solidFill>
                </w14:textFill>
              </w:rPr>
              <w:t>旱地、</w:t>
            </w:r>
            <w:r>
              <w:rPr>
                <w:rFonts w:hint="eastAsia"/>
                <w:color w:val="000000" w:themeColor="text1"/>
                <w:kern w:val="0"/>
                <w:highlight w:val="none"/>
                <w:lang w:bidi="ar"/>
                <w14:textFill>
                  <w14:solidFill>
                    <w14:schemeClr w14:val="tx1"/>
                  </w14:solidFill>
                </w14:textFill>
              </w:rPr>
              <w:t>林地</w:t>
            </w:r>
            <w:r>
              <w:rPr>
                <w:rFonts w:hint="eastAsia" w:ascii="宋体" w:hAnsi="宋体"/>
                <w:color w:val="000000" w:themeColor="text1"/>
                <w:kern w:val="0"/>
                <w:sz w:val="24"/>
                <w14:textFill>
                  <w14:solidFill>
                    <w14:schemeClr w14:val="tx1"/>
                  </w14:solidFill>
                </w14:textFill>
              </w:rPr>
              <w:t>。</w:t>
            </w:r>
          </w:p>
          <w:p w14:paraId="3D6133AC">
            <w:pPr>
              <w:pStyle w:val="82"/>
              <w:ind w:firstLine="482"/>
              <w:rPr>
                <w:rFonts w:ascii="Times New Roman" w:hAnsi="Times New Roman"/>
              </w:rPr>
            </w:pPr>
            <w:r>
              <w:rPr>
                <w:rFonts w:ascii="Times New Roman" w:hAnsi="Times New Roman"/>
                <w:kern w:val="0"/>
                <w:szCs w:val="24"/>
                <w:lang w:bidi="ar"/>
              </w:rPr>
              <w:t>项目采用“地质灾害治理（场地平整、边坡治理、防渗工程、回填治理）+生态重建（土壤重构+植被重建）”的方式对矿区进行生态修复，生态修复的原料为改性磷石膏、场地平整产生的筛选后表层土、场地平整产生的土石方</w:t>
            </w:r>
            <w:r>
              <w:rPr>
                <w:rFonts w:ascii="Times New Roman" w:hAnsi="Times New Roman"/>
              </w:rPr>
              <w:t>。</w:t>
            </w:r>
          </w:p>
          <w:p w14:paraId="4AD5F3DB">
            <w:pPr>
              <w:snapToGrid w:val="0"/>
              <w:ind w:firstLine="482"/>
              <w:rPr>
                <w:rFonts w:hint="default" w:eastAsia="宋体"/>
                <w:b/>
                <w:bCs/>
                <w:kern w:val="0"/>
                <w:lang w:val="en-US" w:eastAsia="zh-CN" w:bidi="ar"/>
              </w:rPr>
            </w:pPr>
            <w:r>
              <w:rPr>
                <w:rFonts w:hint="eastAsia"/>
                <w:b/>
                <w:bCs/>
                <w:kern w:val="0"/>
                <w:lang w:eastAsia="zh-CN" w:bidi="ar"/>
              </w:rPr>
              <w:t>（</w:t>
            </w:r>
            <w:r>
              <w:rPr>
                <w:rFonts w:hint="eastAsia"/>
                <w:b/>
                <w:bCs/>
                <w:kern w:val="0"/>
                <w:lang w:val="en-US" w:eastAsia="zh-CN" w:bidi="ar"/>
              </w:rPr>
              <w:t>2</w:t>
            </w:r>
            <w:r>
              <w:rPr>
                <w:rFonts w:hint="eastAsia"/>
                <w:b/>
                <w:bCs/>
                <w:kern w:val="0"/>
                <w:lang w:eastAsia="zh-CN" w:bidi="ar"/>
              </w:rPr>
              <w:t>）</w:t>
            </w:r>
            <w:r>
              <w:rPr>
                <w:rFonts w:hint="eastAsia"/>
                <w:b/>
                <w:bCs/>
                <w:kern w:val="0"/>
                <w:lang w:val="en-US" w:eastAsia="zh-CN" w:bidi="ar"/>
              </w:rPr>
              <w:t>修复措施：</w:t>
            </w:r>
          </w:p>
          <w:p w14:paraId="25B710B7">
            <w:pPr>
              <w:pStyle w:val="90"/>
              <w:keepNext w:val="0"/>
              <w:keepLines w:val="0"/>
              <w:pageBreakBefore w:val="0"/>
              <w:widowControl w:val="0"/>
              <w:kinsoku/>
              <w:wordWrap/>
              <w:overflowPunct/>
              <w:topLinePunct w:val="0"/>
              <w:autoSpaceDE/>
              <w:autoSpaceDN/>
              <w:bidi w:val="0"/>
              <w:adjustRightInd w:val="0"/>
              <w:snapToGrid w:val="0"/>
              <w:spacing w:afterLines="0" w:line="360" w:lineRule="auto"/>
              <w:ind w:firstLine="520"/>
              <w:textAlignment w:val="auto"/>
              <w:rPr>
                <w:rFonts w:hint="eastAsia" w:cs="Times New Roman" w:asciiTheme="minorEastAsia" w:hAnsiTheme="minorEastAsia" w:eastAsiaTheme="minorEastAsia"/>
                <w:color w:val="000000" w:themeColor="text1"/>
                <w:spacing w:val="0"/>
                <w:kern w:val="0"/>
                <w:sz w:val="24"/>
                <w:szCs w:val="24"/>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spacing w:val="0"/>
                <w:kern w:val="0"/>
                <w:sz w:val="24"/>
                <w:szCs w:val="24"/>
                <w:lang w:val="en-US" w:eastAsia="zh-CN" w:bidi="ar-SA"/>
                <w14:textFill>
                  <w14:solidFill>
                    <w14:schemeClr w14:val="tx1"/>
                  </w14:solidFill>
                </w14:textFill>
              </w:rPr>
              <w:t>大旋塘北部采石场露天采场回填修复工程按施工顺序分为：场地底部整平及边坡清理、地下水导排收集系统、1#拦挡坝填筑、回填区底部全防渗、渗滤液导排收集系统、改性磷石膏填料分层碾压回填、回填区顶部全防渗、截排水工程、监测措施、警示措施、防护工程等。</w:t>
            </w:r>
          </w:p>
          <w:p w14:paraId="12A83B4D">
            <w:pPr>
              <w:pStyle w:val="90"/>
              <w:keepNext w:val="0"/>
              <w:keepLines w:val="0"/>
              <w:pageBreakBefore w:val="0"/>
              <w:widowControl w:val="0"/>
              <w:kinsoku/>
              <w:wordWrap/>
              <w:overflowPunct/>
              <w:topLinePunct w:val="0"/>
              <w:autoSpaceDE/>
              <w:autoSpaceDN/>
              <w:bidi w:val="0"/>
              <w:adjustRightInd w:val="0"/>
              <w:snapToGrid w:val="0"/>
              <w:spacing w:afterLines="0" w:line="360" w:lineRule="auto"/>
              <w:ind w:firstLine="520"/>
              <w:textAlignment w:val="auto"/>
              <w:rPr>
                <w:rFonts w:hint="eastAsia" w:cs="Times New Roman" w:asciiTheme="minorEastAsia" w:hAnsiTheme="minorEastAsia" w:eastAsiaTheme="minorEastAsia"/>
                <w:color w:val="000000" w:themeColor="text1"/>
                <w:spacing w:val="0"/>
                <w:kern w:val="0"/>
                <w:sz w:val="24"/>
                <w:szCs w:val="24"/>
                <w:lang w:val="en-US" w:eastAsia="zh-CN" w:bidi="ar-SA"/>
                <w14:textFill>
                  <w14:solidFill>
                    <w14:schemeClr w14:val="tx1"/>
                  </w14:solidFill>
                </w14:textFill>
              </w:rPr>
            </w:pPr>
            <w:r>
              <w:rPr>
                <w:rFonts w:hint="eastAsia" w:cs="Times New Roman" w:asciiTheme="minorEastAsia" w:hAnsiTheme="minorEastAsia" w:eastAsiaTheme="minorEastAsia"/>
                <w:color w:val="000000" w:themeColor="text1"/>
                <w:spacing w:val="0"/>
                <w:kern w:val="0"/>
                <w:sz w:val="24"/>
                <w:szCs w:val="24"/>
                <w:lang w:val="en-US" w:eastAsia="zh-CN" w:bidi="ar-SA"/>
                <w14:textFill>
                  <w14:solidFill>
                    <w14:schemeClr w14:val="tx1"/>
                  </w14:solidFill>
                </w14:textFill>
              </w:rPr>
              <w:t>大旋塘南部采石场露天采场回填修复工程按施工顺序分为：场地底部整平及边坡清理、地下水导排收集系统、2#拦挡坝填筑、回填区底部全防渗、渗滤液导排收集系统、改性磷石膏填料分层碾压回填、回填区顶部全防渗、截排水工程、监测措施、警示措施、防护工程等。</w:t>
            </w:r>
          </w:p>
          <w:p w14:paraId="21A612C0">
            <w:pPr>
              <w:snapToGrid w:val="0"/>
              <w:ind w:firstLine="482"/>
            </w:pPr>
            <w:r>
              <w:rPr>
                <w:b/>
                <w:bCs/>
                <w:kern w:val="0"/>
                <w:lang w:bidi="ar"/>
              </w:rPr>
              <w:t>（</w:t>
            </w:r>
            <w:r>
              <w:rPr>
                <w:rFonts w:hint="eastAsia"/>
                <w:b/>
                <w:bCs/>
                <w:kern w:val="0"/>
                <w:lang w:val="en-US" w:eastAsia="zh-CN" w:bidi="ar"/>
              </w:rPr>
              <w:t>3</w:t>
            </w:r>
            <w:r>
              <w:rPr>
                <w:b/>
                <w:bCs/>
                <w:kern w:val="0"/>
                <w:lang w:bidi="ar"/>
              </w:rPr>
              <w:t>）修复目标：</w:t>
            </w:r>
            <w:r>
              <w:t>通过生态修复治理工程实施，对生态修复治理点土地资源的占用破坏、地形地貌景观破坏、植被损毁、水土流失等环境问题有效解决，有效提高土地资源利用价值，使空间生态环境得到有效修复，实现毁损土地资源得到有效利用，以发挥土地资源的最大社会效益、经济效益、环境效益、生态效益，减少或消除生态修复治理区存在的各种地质环境问题和隐患，保护生态修复治理区地下水资源和周围水环境，使当地人民群众的生产生活环境得到明显改善，真正实现“绿水青山就是金山银山”，以提升寻甸县整体对外形象。</w:t>
            </w:r>
          </w:p>
          <w:p w14:paraId="077950A9">
            <w:pPr>
              <w:adjustRightInd w:val="0"/>
              <w:ind w:firstLine="480"/>
              <w:jc w:val="left"/>
              <w:rPr>
                <w:b/>
                <w:bCs/>
                <w:kern w:val="0"/>
                <w:lang w:bidi="ar"/>
              </w:rPr>
            </w:pPr>
            <w:r>
              <w:rPr>
                <w:kern w:val="0"/>
                <w:lang w:bidi="ar"/>
              </w:rPr>
              <w:t>3</w:t>
            </w:r>
            <w:r>
              <w:rPr>
                <w:b/>
                <w:bCs/>
                <w:kern w:val="0"/>
                <w:lang w:bidi="ar"/>
              </w:rPr>
              <w:t>、工程内容</w:t>
            </w:r>
          </w:p>
          <w:p w14:paraId="15EC0E5C">
            <w:pPr>
              <w:adjustRightInd w:val="0"/>
              <w:ind w:firstLine="480"/>
              <w:jc w:val="left"/>
              <w:rPr>
                <w:kern w:val="0"/>
                <w:lang w:bidi="ar"/>
              </w:rPr>
            </w:pPr>
            <w:r>
              <w:t>本次修复工程内容包括：主体工程、公用工程、依托工程、辅助工程和环保工程、地下水监控工程。主要</w:t>
            </w:r>
            <w:r>
              <w:rPr>
                <w:kern w:val="0"/>
                <w:lang w:bidi="ar"/>
              </w:rPr>
              <w:t>建设内容见下表。</w:t>
            </w:r>
          </w:p>
          <w:p w14:paraId="3BCDD9D6">
            <w:pPr>
              <w:adjustRightInd w:val="0"/>
              <w:snapToGrid w:val="0"/>
              <w:spacing w:line="240" w:lineRule="auto"/>
              <w:ind w:firstLine="0" w:firstLineChars="0"/>
              <w:jc w:val="center"/>
              <w:rPr>
                <w:b/>
                <w:bCs/>
                <w:kern w:val="0"/>
                <w:sz w:val="21"/>
                <w:szCs w:val="21"/>
                <w:lang w:bidi="ar"/>
              </w:rPr>
            </w:pPr>
            <w:r>
              <w:rPr>
                <w:b/>
                <w:bCs/>
                <w:kern w:val="0"/>
                <w:sz w:val="21"/>
                <w:szCs w:val="21"/>
                <w:lang w:bidi="ar"/>
              </w:rPr>
              <w:t>表2-1</w:t>
            </w:r>
            <w:r>
              <w:rPr>
                <w:rFonts w:hint="eastAsia"/>
                <w:b/>
                <w:bCs/>
                <w:kern w:val="0"/>
                <w:sz w:val="21"/>
                <w:szCs w:val="21"/>
                <w:lang w:val="en-US" w:eastAsia="zh-CN" w:bidi="ar"/>
              </w:rPr>
              <w:t xml:space="preserve">  </w:t>
            </w:r>
            <w:r>
              <w:rPr>
                <w:b/>
                <w:bCs/>
                <w:kern w:val="0"/>
                <w:sz w:val="21"/>
                <w:szCs w:val="21"/>
                <w:lang w:bidi="ar"/>
              </w:rPr>
              <w:t>工程建设内容一览表</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85"/>
              <w:gridCol w:w="748"/>
              <w:gridCol w:w="7381"/>
              <w:gridCol w:w="739"/>
            </w:tblGrid>
            <w:tr w14:paraId="1485F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9" w:type="pct"/>
                  <w:gridSpan w:val="2"/>
                  <w:vAlign w:val="center"/>
                </w:tcPr>
                <w:p w14:paraId="0ECF9C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bidi="ar"/>
                      <w14:textFill>
                        <w14:solidFill>
                          <w14:schemeClr w14:val="tx1"/>
                        </w14:solidFill>
                      </w14:textFill>
                    </w:rPr>
                    <w:t>工程名称</w:t>
                  </w:r>
                </w:p>
              </w:tc>
              <w:tc>
                <w:tcPr>
                  <w:tcW w:w="3945" w:type="pct"/>
                  <w:vAlign w:val="center"/>
                </w:tcPr>
                <w:p w14:paraId="77A91CC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bidi="ar"/>
                      <w14:textFill>
                        <w14:solidFill>
                          <w14:schemeClr w14:val="tx1"/>
                        </w14:solidFill>
                      </w14:textFill>
                    </w:rPr>
                    <w:t>建设规模及内容</w:t>
                  </w:r>
                </w:p>
              </w:tc>
              <w:tc>
                <w:tcPr>
                  <w:tcW w:w="395" w:type="pct"/>
                  <w:vAlign w:val="center"/>
                </w:tcPr>
                <w:p w14:paraId="2A0237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b/>
                      <w:bCs/>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highlight w:val="none"/>
                      <w:lang w:bidi="ar"/>
                      <w14:textFill>
                        <w14:solidFill>
                          <w14:schemeClr w14:val="tx1"/>
                        </w14:solidFill>
                      </w14:textFill>
                    </w:rPr>
                    <w:t>备注</w:t>
                  </w:r>
                </w:p>
              </w:tc>
            </w:tr>
            <w:tr w14:paraId="07DBF8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89" w:hRule="atLeast"/>
              </w:trPr>
              <w:tc>
                <w:tcPr>
                  <w:tcW w:w="259" w:type="pct"/>
                  <w:vMerge w:val="restart"/>
                  <w:vAlign w:val="center"/>
                </w:tcPr>
                <w:p w14:paraId="58C0BB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主体工程</w:t>
                  </w:r>
                </w:p>
              </w:tc>
              <w:tc>
                <w:tcPr>
                  <w:tcW w:w="399" w:type="pct"/>
                  <w:vAlign w:val="center"/>
                </w:tcPr>
                <w:p w14:paraId="7239866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边坡危岩清理及边坡修整</w:t>
                  </w:r>
                </w:p>
              </w:tc>
              <w:tc>
                <w:tcPr>
                  <w:tcW w:w="3945" w:type="pct"/>
                  <w:vAlign w:val="center"/>
                </w:tcPr>
                <w:p w14:paraId="01924360">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为了消除采矿边坡安全隐患，满足后续场区底部防渗层铺设的场地要求，需对</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露天采场</w:t>
                  </w:r>
                  <w:r>
                    <w:rPr>
                      <w:rFonts w:hint="default" w:ascii="Times New Roman" w:hAnsi="Times New Roman" w:eastAsia="宋体" w:cs="Times New Roman"/>
                      <w:color w:val="000000" w:themeColor="text1"/>
                      <w:sz w:val="21"/>
                      <w:szCs w:val="21"/>
                      <w:highlight w:val="none"/>
                      <w14:textFill>
                        <w14:solidFill>
                          <w14:schemeClr w14:val="tx1"/>
                        </w14:solidFill>
                      </w14:textFill>
                    </w:rPr>
                    <w:t>场地边坡进行危岩清理、边坡修整，清理过程中须做好边坡监测工作，</w:t>
                  </w:r>
                  <w:r>
                    <w:rPr>
                      <w:rFonts w:hint="default" w:ascii="Times New Roman" w:hAnsi="Times New Roman" w:eastAsia="宋体" w:cs="Times New Roman"/>
                      <w:bCs/>
                      <w:color w:val="000000" w:themeColor="text1"/>
                      <w:sz w:val="21"/>
                      <w:szCs w:val="21"/>
                      <w:highlight w:val="none"/>
                      <w14:textFill>
                        <w14:solidFill>
                          <w14:schemeClr w14:val="tx1"/>
                        </w14:solidFill>
                      </w14:textFill>
                    </w:rPr>
                    <w:t>采取合理、可行、有效的保护措施，</w:t>
                  </w:r>
                  <w:r>
                    <w:rPr>
                      <w:rFonts w:hint="default" w:ascii="Times New Roman" w:hAnsi="Times New Roman" w:eastAsia="宋体" w:cs="Times New Roman"/>
                      <w:color w:val="000000" w:themeColor="text1"/>
                      <w:sz w:val="21"/>
                      <w:szCs w:val="21"/>
                      <w:highlight w:val="none"/>
                      <w14:textFill>
                        <w14:solidFill>
                          <w14:schemeClr w14:val="tx1"/>
                        </w14:solidFill>
                      </w14:textFill>
                    </w:rPr>
                    <w:t>防止边坡滑塌对施工人员和机械造成危害。</w:t>
                  </w:r>
                </w:p>
                <w:p w14:paraId="6E7B2B46">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场地清理时清除耕植土后，</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大旋塘北部采石场露天采场采用清理的土石料填筑1#拦挡坝，大旋塘南部采石场露天采场</w:t>
                  </w:r>
                  <w:r>
                    <w:rPr>
                      <w:rFonts w:hint="default" w:ascii="Times New Roman" w:hAnsi="Times New Roman" w:eastAsia="宋体" w:cs="Times New Roman"/>
                      <w:bCs/>
                      <w:color w:val="000000" w:themeColor="text1"/>
                      <w:sz w:val="21"/>
                      <w:szCs w:val="21"/>
                      <w:highlight w:val="none"/>
                      <w14:textFill>
                        <w14:solidFill>
                          <w14:schemeClr w14:val="tx1"/>
                        </w14:solidFill>
                      </w14:textFill>
                    </w:rPr>
                    <w:t>用场地清理的土石料碾压填筑2#拦挡坝，场地清理整平后边坡能够稳定满足防渗层铺设，且整平后方便后期底部防渗层锚固沟的修建，大旋塘北部采石场露天采场场地清理整平预估可产生约65614m</w:t>
                  </w:r>
                  <w:r>
                    <w:rPr>
                      <w:rFonts w:hint="default" w:ascii="Times New Roman" w:hAnsi="Times New Roman" w:eastAsia="宋体" w:cs="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土石方，土石比例约7:3；场地危岩清理主要是针对边坡浮石进行清理，面积约28466㎡，预估可产生约14233m</w:t>
                  </w:r>
                  <w:r>
                    <w:rPr>
                      <w:rFonts w:hint="default" w:ascii="Times New Roman" w:hAnsi="Times New Roman" w:eastAsia="宋体" w:cs="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石方。大旋塘南部采石场露天采场场地清理整平预估可产生约61482m</w:t>
                  </w:r>
                  <w:r>
                    <w:rPr>
                      <w:rFonts w:hint="default" w:ascii="Times New Roman" w:hAnsi="Times New Roman" w:eastAsia="宋体" w:cs="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土石方，土石比例约7:3；场地危岩清理主要是针对边坡浮石进行清理，面积约13510㎡，预估可产生约6755m</w:t>
                  </w:r>
                  <w:r>
                    <w:rPr>
                      <w:rFonts w:hint="default" w:ascii="Times New Roman" w:hAnsi="Times New Roman" w:eastAsia="宋体" w:cs="Times New Roman"/>
                      <w:bCs/>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bCs/>
                      <w:color w:val="000000" w:themeColor="text1"/>
                      <w:sz w:val="21"/>
                      <w:szCs w:val="21"/>
                      <w:highlight w:val="none"/>
                      <w14:textFill>
                        <w14:solidFill>
                          <w14:schemeClr w14:val="tx1"/>
                        </w14:solidFill>
                      </w14:textFill>
                    </w:rPr>
                    <w:t>石方。</w:t>
                  </w:r>
                </w:p>
                <w:p w14:paraId="1CC9A36D">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bCs/>
                      <w:color w:val="000000" w:themeColor="text1"/>
                      <w:sz w:val="21"/>
                      <w:szCs w:val="21"/>
                      <w:highlight w:val="none"/>
                      <w14:textFill>
                        <w14:solidFill>
                          <w14:schemeClr w14:val="tx1"/>
                        </w14:solidFill>
                      </w14:textFill>
                    </w:rPr>
                    <w:t>场地清理产生的土石料用于碾压填筑1#拦挡坝和2#拦挡坝，1#拦挡坝和2#拦挡坝分层碾压筑坝，其他土石料用于场地底部整平成不缓于2%的顺坡，场地底坡整平后需进行压实。本工程产生的土石方均用于本工程生态修复使用，不产生外运土石方。</w:t>
                  </w:r>
                </w:p>
              </w:tc>
              <w:tc>
                <w:tcPr>
                  <w:tcW w:w="395" w:type="pct"/>
                  <w:vAlign w:val="center"/>
                </w:tcPr>
                <w:p w14:paraId="554AE1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421D8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259" w:type="pct"/>
                  <w:vMerge w:val="continue"/>
                  <w:vAlign w:val="center"/>
                </w:tcPr>
                <w:p w14:paraId="146CD8D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399" w:type="pct"/>
                  <w:vAlign w:val="center"/>
                </w:tcPr>
                <w:p w14:paraId="0B34B5F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大旋塘北部采石场露天采场回填修复工程</w:t>
                  </w:r>
                </w:p>
              </w:tc>
              <w:tc>
                <w:tcPr>
                  <w:tcW w:w="3945" w:type="pct"/>
                  <w:vAlign w:val="center"/>
                </w:tcPr>
                <w:p w14:paraId="2FDC8572">
                  <w:pPr>
                    <w:pStyle w:val="90"/>
                    <w:keepNext w:val="0"/>
                    <w:keepLines w:val="0"/>
                    <w:pageBreakBefore w:val="0"/>
                    <w:widowControl w:val="0"/>
                    <w:kinsoku/>
                    <w:wordWrap/>
                    <w:overflowPunct/>
                    <w:topLinePunct w:val="0"/>
                    <w:autoSpaceDE/>
                    <w:autoSpaceDN/>
                    <w:bidi w:val="0"/>
                    <w:adjustRightInd w:val="0"/>
                    <w:snapToGrid w:val="0"/>
                    <w:spacing w:afterLines="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1、回填区底部整平及边坡清理</w:t>
                  </w:r>
                </w:p>
                <w:p w14:paraId="47735E2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旋塘北部采石场露天采场采矿边坡清理修整完成后，为了满足回填区底部全防渗材料的铺设要求，对场地底部进行整平，整平完成后底部形成不缓于2%的顺坡，坡向拦挡坝下游坡脚处的渗滤液收集池，以满足地下水及渗滤液导排收集，场地底部整平面积23800㎡。</w:t>
                  </w:r>
                </w:p>
                <w:p w14:paraId="5D2A90D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由于开采边坡为岩质边坡，为了防止对防渗材料的破坏，需要对场地边坡区域进行清理，主要以清理浮石和尖锐突出物为主，清理完成采用简单设备进行整平，场地边坡清理面积11860㎡。</w:t>
                  </w:r>
                </w:p>
                <w:p w14:paraId="5A9E57AE">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2、地下水导排收集系统</w:t>
                  </w:r>
                </w:p>
                <w:p w14:paraId="166B161D">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旋塘北部采石场露天采场场地内地下水埋深较深，但在雨季时场地外雨水下渗有可能进入回填区底部，上层滞水形成地下水，为了防止地下水对防渗膜的顶托破坏，须将回填区地下水及时导出，使下渗的地下水不影响防渗结构层的有效性，故设计在修复区防渗层下设置地下水导排盲沟，导排雨季时雨水下渗形成的地下水。地下水导排盲沟在回填区底部整平后，开挖顶宽1500mm，高度500mm，底宽500mm的沟槽，采用土工布包裹碎石充填，碎石内埋设DN200塑料盲沟管。</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塑料盲沟</w:t>
                  </w:r>
                  <w:r>
                    <w:rPr>
                      <w:rFonts w:hint="default" w:ascii="Times New Roman" w:hAnsi="Times New Roman" w:eastAsia="宋体" w:cs="Times New Roman"/>
                      <w:color w:val="000000" w:themeColor="text1"/>
                      <w:sz w:val="21"/>
                      <w:szCs w:val="21"/>
                      <w:highlight w:val="none"/>
                      <w14:textFill>
                        <w14:solidFill>
                          <w14:schemeClr w14:val="tx1"/>
                        </w14:solidFill>
                      </w14:textFill>
                    </w:rPr>
                    <w:t>管接至拦挡坝下游地下水收集池，尺寸按长×宽×高=2.0×2.0×2.5m设置，采用钢筋混凝土浇筑，池顶标高2092.00m，地下水导排管出口标高2091.0m。池顶设置1.2m高防护栏杆和安全警示标志牌。</w:t>
                  </w:r>
                </w:p>
                <w:p w14:paraId="6A9B8857">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地下水收集池内的水主要用于修复区管护期浇灌使用。</w:t>
                  </w:r>
                </w:p>
                <w:p w14:paraId="00D20F6E">
                  <w:pPr>
                    <w:pStyle w:val="90"/>
                    <w:keepNext w:val="0"/>
                    <w:keepLines w:val="0"/>
                    <w:pageBreakBefore w:val="0"/>
                    <w:widowControl w:val="0"/>
                    <w:kinsoku/>
                    <w:wordWrap/>
                    <w:overflowPunct/>
                    <w:topLinePunct w:val="0"/>
                    <w:autoSpaceDE/>
                    <w:autoSpaceDN/>
                    <w:bidi w:val="0"/>
                    <w:adjustRightInd w:val="0"/>
                    <w:snapToGrid w:val="0"/>
                    <w:spacing w:afterLines="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3、拦挡设施</w:t>
                  </w:r>
                </w:p>
                <w:p w14:paraId="476E27F8">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为保证地貌回填体的安全，在场地南侧采坑出口处填筑1#拦挡坝，并在东西两侧地形平缓位置设置1#和2#副坝。拦挡坝坝型结合现场实际情况，遵循就地取材的原则，设计为碾压土石坝，选用场地内清理开挖过程中形成的土石料进行筑坝，做到施工方便、节省投资。1#和2#副坝利用场地内清理的废石料采用C25埋石混凝土浇筑。</w:t>
                  </w:r>
                </w:p>
                <w:p w14:paraId="257DABA4">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（1）1#拦挡坝</w:t>
                  </w:r>
                </w:p>
                <w:p w14:paraId="03939414">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1）坝体构造</w:t>
                  </w:r>
                </w:p>
                <w:p w14:paraId="766FB30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拦挡坝坝底高程2090m，坝顶高程2097m，坝顶宽4m，坝顶长153.5m，坝高7m。</w:t>
                  </w:r>
                </w:p>
                <w:p w14:paraId="1B86959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拦挡坝上游坝坡坡比1:2.0，拦挡坝上游坝坡坡面设防渗层与场内底部防渗层连接；拦挡坝下游坝坡坡比1:2.0。</w:t>
                  </w:r>
                </w:p>
                <w:p w14:paraId="57CCF393">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2）坝基</w:t>
                  </w:r>
                </w:p>
                <w:p w14:paraId="46A8243A">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拦挡坝坝基位置主要为原开采过程中形成的场地，首先对拦挡坝坝基位置进行清理，以砾质粘性土为坝基进行填筑。</w:t>
                  </w:r>
                </w:p>
                <w:p w14:paraId="5FF731D3">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3）坝体质量控制</w:t>
                  </w:r>
                </w:p>
                <w:p w14:paraId="63D37D2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拦挡坝筑坝时，筑坝材料须逐层填筑，并且要严格遵循分层碾压法施工，分层厚度不得超过0.8m，并按碾压试验的数据执行，要求经检验确认放坡，压实度达到0.94，压实干密度须达到γ</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g</w:t>
                  </w:r>
                  <w:r>
                    <w:rPr>
                      <w:rFonts w:hint="default" w:ascii="Times New Roman" w:hAnsi="Times New Roman" w:eastAsia="宋体" w:cs="Times New Roman"/>
                      <w:color w:val="000000" w:themeColor="text1"/>
                      <w:sz w:val="21"/>
                      <w:szCs w:val="21"/>
                      <w:highlight w:val="none"/>
                      <w14:textFill>
                        <w14:solidFill>
                          <w14:schemeClr w14:val="tx1"/>
                        </w14:solidFill>
                      </w14:textFill>
                    </w:rPr>
                    <w:t>=2.0t/m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以上，方可施工上一层，直至坝顶。</w:t>
                  </w:r>
                </w:p>
                <w:p w14:paraId="2783EF77">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（2）1#和2#副坝</w:t>
                  </w:r>
                </w:p>
                <w:p w14:paraId="4ADAB0F9">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1）坝体构造</w:t>
                  </w:r>
                </w:p>
                <w:p w14:paraId="53AA7FE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1#副坝坝基高程2096~2099m，坝顶高程2098~2103m，坝顶宽2m，坝顶长50.7m，坝高2.0~4.0m。2#副坝坝基高程2099m，坝顶高程2102~2107m，坝顶宽2m，坝顶长61m，坝高3.0~8.0m。</w:t>
                  </w:r>
                </w:p>
                <w:p w14:paraId="797E78D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副坝上游坡比1:0.3，上游坡面设防渗层与场内底部防渗层连接；拦挡坝下游坡比1:0.5。</w:t>
                  </w:r>
                </w:p>
                <w:p w14:paraId="2E2B970F">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2）坝基</w:t>
                  </w:r>
                </w:p>
                <w:p w14:paraId="001DC50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拦挡坝坝基位置主要为原开采过程中形成的场地，首先对拦挡坝坝基位置进行清理，以砾质粘性土为坝基进行填筑。</w:t>
                  </w:r>
                </w:p>
                <w:p w14:paraId="6208028A">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3）坝体质量控制</w:t>
                  </w:r>
                </w:p>
                <w:p w14:paraId="7C9FB5F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副坝浇筑时，毛石砼须逐层浇筑，并且要严格遵循分层浇筑施工，振捣密实，浇筑干密度须达到γg=2.4t/m3以上，方可施工上一层，直至坝顶。</w:t>
                  </w:r>
                </w:p>
                <w:p w14:paraId="65FE0B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4、回填区底部全防渗</w:t>
                  </w:r>
                </w:p>
                <w:p w14:paraId="52F58A9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旋塘北部采石场露天采场生态修复恢复地貌拟采用无害化处理后的改性磷石膏填料进行回填，根据检测结果，改性磷石膏填料为I类一般工业固体废物，根据项目所在地环境以及回填料的成分考虑，项目参照《一般工业固体废物贮存和填埋污染控制标准》（GB18599-2020）中Ⅱ类填埋场的要求对回填区进行底部全防渗，以达到该项目的环境风险可控的目的。</w:t>
                  </w:r>
                </w:p>
                <w:p w14:paraId="757C29F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修复回填区防渗采用柔性结构防渗系统，防渗材料选择具有化学兼容性、耐久性、耐热性、高强度、低渗透率、易维护、无二次污染、适应地基不均匀沉降、具有较好的抗微生物侵蚀和抗化学腐蚀性能的HDPE防渗膜。通过设置人工防渗系统将修复回填区底部原地层与生态修复回填材料完全隔离，确保回填区域的渗滤液不下渗，严格控制渗滤液产生量，保护周边环境及地下水质。</w:t>
                  </w:r>
                </w:p>
                <w:p w14:paraId="1DAB4E3C">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1）底部防渗层结构</w:t>
                  </w:r>
                </w:p>
                <w:p w14:paraId="2FCD959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修复回填区底部防渗层首先在整平后的场地铺设0.3m厚粘土作为土工膜支撑保护层，粘土采用市场购买方式获得，要求粘土干净、含沙量小、黏粘、粒径小于0.05mm的含量应超过25%、塑性指数大于15。经压实措施处理后的饱和渗透系数不应大于1.0×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cm/s。黏土层铺设完成后铺设1.5mm厚单糙面HEPD土工防渗膜，并满足GB/T 17643和CJ/T234-2006规定的技术指标要求；最后在上部回填改性磷石膏填料。</w:t>
                  </w:r>
                </w:p>
                <w:p w14:paraId="74D4A2D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底部防渗结构由下至上构成如下：</w:t>
                  </w:r>
                </w:p>
                <w:p w14:paraId="23D587C5">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（1）库底整平压实基础层（地下水导排盲沟在其中）</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（2）0.3m厚粘土支撑保护层</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（3）1.5mm厚单糙面HDPE土工膜</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（4）改性磷石膏填料回填</w:t>
                  </w:r>
                </w:p>
                <w:p w14:paraId="2F0B490C">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2）边坡防渗层结构</w:t>
                  </w:r>
                </w:p>
                <w:p w14:paraId="45C2C93B">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由于场地边坡大部分陡峻，粘土层无法铺设，设计对边坡清理整平后，采用4800g/m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纳基膨润土毯作为防渗膜的保护层铺设在整平边坡上，再铺设HDPE土工防渗膜。</w:t>
                  </w:r>
                </w:p>
                <w:p w14:paraId="3925C7D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膨润土毯在岸坡较陡地段，需采用锚固钉、链固定，防止下滑。膨润土毯和土工防渗膜均在边坡顶部和分台台阶处设锚固沟进行锚固。</w:t>
                  </w:r>
                </w:p>
                <w:p w14:paraId="6BC251C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边坡防渗层结构由下至上构成如下：</w:t>
                  </w:r>
                </w:p>
                <w:p w14:paraId="5C08AB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（1）边坡清理整平层</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（2）4800g/m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钠基膨润土毯</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（3）1.5mm厚单糙面HDPE土工膜</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（4）改性磷石膏填料回填</w:t>
                  </w:r>
                </w:p>
                <w:p w14:paraId="2197819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5、渗滤液导排收集系统</w:t>
                  </w:r>
                </w:p>
                <w:p w14:paraId="60394DF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为了将填料可能产生的渗滤液进行收集处理，底部防渗完成后，在防渗层上设置渗滤液收集导排盲沟，沟内铺设厚400mm的卵石，卵石采用200g/m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土工布包裹。导排盲沟内置dn200塑料盲沟管排渗，塑料盲沟管穿孔管外侧采用200g/m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土工布包裹，沿线排水控制坡度2%，导排管接至渗滤液收集池，渗滤液收集</w:t>
                  </w:r>
                  <w:r>
                    <w:rPr>
                      <w:rFonts w:hint="eastAsia" w:cs="Times New Roman"/>
                      <w:color w:val="000000" w:themeColor="text1"/>
                      <w:sz w:val="21"/>
                      <w:szCs w:val="21"/>
                      <w:highlight w:val="none"/>
                      <w:lang w:val="en-US" w:eastAsia="zh-CN"/>
                      <w14:textFill>
                        <w14:solidFill>
                          <w14:schemeClr w14:val="tx1"/>
                        </w14:solidFill>
                      </w14:textFill>
                    </w:rPr>
                    <w:t>后</w:t>
                  </w:r>
                  <w:r>
                    <w:rPr>
                      <w:rFonts w:hint="default" w:ascii="Times New Roman" w:hAnsi="Times New Roman" w:eastAsia="宋体" w:cs="Times New Roman"/>
                      <w:color w:val="000000" w:themeColor="text1"/>
                      <w:sz w:val="21"/>
                      <w:szCs w:val="21"/>
                      <w:highlight w:val="none"/>
                      <w14:textFill>
                        <w14:solidFill>
                          <w14:schemeClr w14:val="tx1"/>
                        </w14:solidFill>
                      </w14:textFill>
                    </w:rPr>
                    <w:t>回用</w:t>
                  </w:r>
                  <w:r>
                    <w:rPr>
                      <w:rFonts w:hint="eastAsia" w:cs="Times New Roman"/>
                      <w:color w:val="000000" w:themeColor="text1"/>
                      <w:sz w:val="21"/>
                      <w:szCs w:val="21"/>
                      <w:highlight w:val="none"/>
                      <w:lang w:val="en-US" w:eastAsia="zh-CN"/>
                      <w14:textFill>
                        <w14:solidFill>
                          <w14:schemeClr w14:val="tx1"/>
                        </w14:solidFill>
                      </w14:textFill>
                    </w:rPr>
                    <w:t>与修复区洒水降尘</w:t>
                  </w:r>
                  <w:r>
                    <w:rPr>
                      <w:rFonts w:hint="default" w:ascii="Times New Roman" w:hAnsi="Times New Roman" w:eastAsia="宋体" w:cs="Times New Roman"/>
                      <w:color w:val="000000" w:themeColor="text1"/>
                      <w:sz w:val="21"/>
                      <w:szCs w:val="21"/>
                      <w:highlight w:val="none"/>
                      <w14:textFill>
                        <w14:solidFill>
                          <w14:schemeClr w14:val="tx1"/>
                        </w14:solidFill>
                      </w14:textFill>
                    </w:rPr>
                    <w:t>。在场地拦挡坝下游坡脚设渗滤液收集池，收集回填料渗滤液。</w:t>
                  </w:r>
                </w:p>
                <w:p w14:paraId="4A7F7BE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渗滤液收集池在拦挡坝下游坡脚，采用钢筋混凝土矩形水池结构，容积</w:t>
                  </w:r>
                  <w:r>
                    <w:rPr>
                      <w:rFonts w:hint="eastAsia" w:cs="Times New Roman"/>
                      <w:color w:val="000000" w:themeColor="text1"/>
                      <w:sz w:val="21"/>
                      <w:szCs w:val="21"/>
                      <w:highlight w:val="none"/>
                      <w:lang w:val="en-US" w:eastAsia="zh-CN"/>
                      <w14:textFill>
                        <w14:solidFill>
                          <w14:schemeClr w14:val="tx1"/>
                        </w14:solidFill>
                      </w14:textFill>
                    </w:rPr>
                    <w:t>410</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。渗滤液收集</w:t>
                  </w:r>
                  <w:r>
                    <w:rPr>
                      <w:rFonts w:hint="eastAsia" w:cs="Times New Roman"/>
                      <w:color w:val="000000" w:themeColor="text1"/>
                      <w:sz w:val="21"/>
                      <w:szCs w:val="21"/>
                      <w:highlight w:val="none"/>
                      <w:lang w:val="en-US" w:eastAsia="zh-CN"/>
                      <w14:textFill>
                        <w14:solidFill>
                          <w14:schemeClr w14:val="tx1"/>
                        </w14:solidFill>
                      </w14:textFill>
                    </w:rPr>
                    <w:t>后</w:t>
                  </w:r>
                  <w:r>
                    <w:rPr>
                      <w:rFonts w:hint="default" w:ascii="Times New Roman" w:hAnsi="Times New Roman" w:eastAsia="宋体" w:cs="Times New Roman"/>
                      <w:color w:val="000000" w:themeColor="text1"/>
                      <w:sz w:val="21"/>
                      <w:szCs w:val="21"/>
                      <w:highlight w:val="none"/>
                      <w14:textFill>
                        <w14:solidFill>
                          <w14:schemeClr w14:val="tx1"/>
                        </w14:solidFill>
                      </w14:textFill>
                    </w:rPr>
                    <w:t>回用</w:t>
                  </w:r>
                  <w:r>
                    <w:rPr>
                      <w:rFonts w:hint="eastAsia" w:cs="Times New Roman"/>
                      <w:color w:val="000000" w:themeColor="text1"/>
                      <w:sz w:val="21"/>
                      <w:szCs w:val="21"/>
                      <w:highlight w:val="none"/>
                      <w:lang w:val="en-US" w:eastAsia="zh-CN"/>
                      <w14:textFill>
                        <w14:solidFill>
                          <w14:schemeClr w14:val="tx1"/>
                        </w14:solidFill>
                      </w14:textFill>
                    </w:rPr>
                    <w:t>与修复区洒水降尘</w:t>
                  </w:r>
                  <w:r>
                    <w:rPr>
                      <w:rFonts w:hint="default" w:ascii="Times New Roman" w:hAnsi="Times New Roman" w:eastAsia="宋体" w:cs="Times New Roman"/>
                      <w:color w:val="000000" w:themeColor="text1"/>
                      <w:sz w:val="21"/>
                      <w:szCs w:val="21"/>
                      <w:highlight w:val="none"/>
                      <w14:textFill>
                        <w14:solidFill>
                          <w14:schemeClr w14:val="tx1"/>
                        </w14:solidFill>
                      </w14:textFill>
                    </w:rPr>
                    <w:t>。渗滤液池顶标高2093.0m，渗滤液导排管出口标高2092.0m。</w:t>
                  </w:r>
                </w:p>
                <w:p w14:paraId="48829F1D">
                  <w:pPr>
                    <w:pStyle w:val="90"/>
                    <w:keepNext w:val="0"/>
                    <w:keepLines w:val="0"/>
                    <w:pageBreakBefore w:val="0"/>
                    <w:widowControl w:val="0"/>
                    <w:kinsoku/>
                    <w:wordWrap/>
                    <w:overflowPunct/>
                    <w:topLinePunct w:val="0"/>
                    <w:autoSpaceDE/>
                    <w:autoSpaceDN/>
                    <w:bidi w:val="0"/>
                    <w:adjustRightInd w:val="0"/>
                    <w:snapToGrid w:val="0"/>
                    <w:spacing w:afterLines="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6、露采区回填恢复地貌</w:t>
                  </w:r>
                </w:p>
                <w:p w14:paraId="6F52ACCD">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422" w:firstLineChars="20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1）露采区回填工艺及回填量</w:t>
                  </w:r>
                </w:p>
                <w:p w14:paraId="503160AF">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旋塘北部采石场露天采场生态修复区设计采用改性磷石膏填料回填。矿坑堆填区从整平后的坑底2091m标高堆填至2147m标高，根据改性磷石膏填料特性、矿坑地形条件及雨水排水条件等因数，设计改性磷石膏填料回填堆排顺序为先填平至1#拦挡坝坝顶标高2097m，再由拦挡坝坝顶按1:3.0的坡比放坡堆填，堆填体总外坡比控制缓于1:3.5。拦挡坝高度7m，拦挡坝以上堆填高度50m,最终堆填标高2147m。堆填每5m高，留设3m宽马道。按场地地形初步测算回填量共计70.81万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64FF91FC">
                  <w:pPr>
                    <w:pStyle w:val="90"/>
                    <w:keepNext w:val="0"/>
                    <w:keepLines w:val="0"/>
                    <w:pageBreakBefore w:val="0"/>
                    <w:widowControl w:val="0"/>
                    <w:kinsoku/>
                    <w:wordWrap/>
                    <w:overflowPunct/>
                    <w:topLinePunct w:val="0"/>
                    <w:autoSpaceDE/>
                    <w:autoSpaceDN/>
                    <w:bidi w:val="0"/>
                    <w:adjustRightInd w:val="0"/>
                    <w:snapToGrid w:val="0"/>
                    <w:spacing w:afterLines="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7、顶部防渗层结构</w:t>
                  </w:r>
                </w:p>
                <w:p w14:paraId="3C5AA4C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修复回填区按设计回填完成后，为了控制后期雨水下渗产生新的渗滤液，参照《一般工业固体废物贮存和填埋污染控制标准》（GB18599-2020）Ⅱ类填埋场封场技术要求进行封场，回填区顶部封场采用柔性结构防渗系统，防渗材料选用HDPE土工防渗膜。通过设置人工防渗系统阻隔雨水下渗，形成新的渗滤液造成环境风险</w:t>
                  </w:r>
                  <w:r>
                    <w:rPr>
                      <w:rFonts w:hint="default" w:ascii="Times New Roman" w:hAnsi="Times New Roman" w:eastAsia="宋体" w:cs="Times New Roman"/>
                      <w:bCs/>
                      <w:color w:val="000000" w:themeColor="text1"/>
                      <w:sz w:val="21"/>
                      <w:szCs w:val="21"/>
                      <w:highlight w:val="none"/>
                      <w14:textFill>
                        <w14:solidFill>
                          <w14:schemeClr w14:val="tx1"/>
                        </w14:solidFill>
                      </w14:textFill>
                    </w:rPr>
                    <w:t>，保护周边地下水水质。</w:t>
                  </w:r>
                </w:p>
                <w:p w14:paraId="4605618F">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420" w:firstLineChars="200"/>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修复回填区</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改性磷石膏填料</w:t>
                  </w:r>
                  <w:r>
                    <w:rPr>
                      <w:rFonts w:hint="default" w:ascii="Times New Roman" w:hAnsi="Times New Roman" w:eastAsia="宋体" w:cs="Times New Roman"/>
                      <w:color w:val="000000" w:themeColor="text1"/>
                      <w:sz w:val="21"/>
                      <w:szCs w:val="21"/>
                      <w:highlight w:val="none"/>
                      <w14:textFill>
                        <w14:solidFill>
                          <w14:schemeClr w14:val="tx1"/>
                        </w14:solidFill>
                      </w14:textFill>
                    </w:rPr>
                    <w:t>回填完成后，对回填区顶部采用土工防渗膜进行封场防渗，</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顶部防渗膜与底部全防渗土工膜可靠焊接，阻隔雨水下渗进入堆填体。</w:t>
                  </w:r>
                </w:p>
                <w:p w14:paraId="082B3C3E">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420" w:firstLineChars="200"/>
                    <w:textAlignment w:val="auto"/>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顶部防渗处理结构由下至上构成如下：</w:t>
                  </w:r>
                </w:p>
                <w:p w14:paraId="5AE16ACB">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420" w:firstLineChars="200"/>
                    <w:textAlignment w:val="auto"/>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（1）回填材料压实整平</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（2）膜下排气管</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（3）1.0mm厚双糙面HDPE土工膜</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（4）400g/㎡长丝无纺土工布</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（5）40cm厚阻隔支撑层填土（碎石盲沟排水网格布设其中）</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（6）覆土60cm，恢复为灌木林地</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p>
                <w:p w14:paraId="3173393D">
                  <w:pPr>
                    <w:pStyle w:val="90"/>
                    <w:keepNext w:val="0"/>
                    <w:keepLines w:val="0"/>
                    <w:pageBreakBefore w:val="0"/>
                    <w:widowControl w:val="0"/>
                    <w:kinsoku/>
                    <w:wordWrap/>
                    <w:overflowPunct/>
                    <w:topLinePunct w:val="0"/>
                    <w:autoSpaceDE/>
                    <w:autoSpaceDN/>
                    <w:bidi w:val="0"/>
                    <w:adjustRightInd w:val="0"/>
                    <w:snapToGrid w:val="0"/>
                    <w:spacing w:afterLines="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8、排洪排水设施</w:t>
                  </w:r>
                </w:p>
                <w:p w14:paraId="65F6098F">
                  <w:pPr>
                    <w:keepNext w:val="0"/>
                    <w:keepLines w:val="0"/>
                    <w:pageBreakBefore w:val="0"/>
                    <w:widowControl w:val="0"/>
                    <w:tabs>
                      <w:tab w:val="left" w:pos="1418"/>
                    </w:tabs>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大旋塘北部采石场露天采场汇水面积为0.018km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，采场位于汇水区顶部，周边汇水较少，基本为场地内汇水。设计在修复回填区周边设置周边截水沟，长645米，净断面尺寸为B×H＝0.5m×0.6m，最小底坡2%，结构为砖砌结构</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。在回填区最终堆填边坡平台上设置坡面雨水沟，</w:t>
                  </w:r>
                  <w:r>
                    <w:rPr>
                      <w:rFonts w:hint="default" w:ascii="Times New Roman" w:hAnsi="Times New Roman" w:eastAsia="宋体" w:cs="Times New Roman"/>
                      <w:color w:val="000000" w:themeColor="text1"/>
                      <w:sz w:val="21"/>
                      <w:szCs w:val="21"/>
                      <w:highlight w:val="none"/>
                      <w14:textFill>
                        <w14:solidFill>
                          <w14:schemeClr w14:val="tx1"/>
                        </w14:solidFill>
                      </w14:textFill>
                    </w:rPr>
                    <w:t>净断面尺寸为B×H＝0.3m×0.4m，最小底坡1%，结构为砖砌结构。生态修复区汇水通过拦挡坝下游沟谷外排。</w:t>
                  </w:r>
                </w:p>
                <w:p w14:paraId="60075DE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修复回填区场内设置纵横雨水沟，导排场内雨水进入周边截水沟外排。在堆填体每层平台上修建雨水沟，沟断面300mm×400mm，坡度不小于0.01，堆填体边坡纵向设雨水沟，纵向坡面雨水沟间隔30m设一条，断面300mm×400mm。雨水沟导排至至周边截水沟，断面500mm×600mm，直接外排或收集于地下水收集池，用于场地养护浇灌。</w:t>
                  </w:r>
                </w:p>
              </w:tc>
              <w:tc>
                <w:tcPr>
                  <w:tcW w:w="395" w:type="pct"/>
                  <w:vAlign w:val="center"/>
                </w:tcPr>
                <w:p w14:paraId="52D1D68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2D7042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9" w:hRule="atLeast"/>
              </w:trPr>
              <w:tc>
                <w:tcPr>
                  <w:tcW w:w="259" w:type="pct"/>
                  <w:vMerge w:val="continue"/>
                  <w:vAlign w:val="center"/>
                </w:tcPr>
                <w:p w14:paraId="5833E6D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399" w:type="pct"/>
                  <w:vAlign w:val="center"/>
                </w:tcPr>
                <w:p w14:paraId="34B5E5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大旋塘南部采石场露天采场回填修复工程</w:t>
                  </w:r>
                </w:p>
              </w:tc>
              <w:tc>
                <w:tcPr>
                  <w:tcW w:w="3945" w:type="pct"/>
                  <w:vAlign w:val="center"/>
                </w:tcPr>
                <w:p w14:paraId="44413B5E">
                  <w:pPr>
                    <w:pStyle w:val="90"/>
                    <w:keepNext w:val="0"/>
                    <w:keepLines w:val="0"/>
                    <w:pageBreakBefore w:val="0"/>
                    <w:widowControl w:val="0"/>
                    <w:kinsoku/>
                    <w:wordWrap/>
                    <w:overflowPunct/>
                    <w:topLinePunct w:val="0"/>
                    <w:autoSpaceDE/>
                    <w:autoSpaceDN/>
                    <w:bidi w:val="0"/>
                    <w:adjustRightInd w:val="0"/>
                    <w:snapToGrid w:val="0"/>
                    <w:spacing w:afterLines="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1、回填区底部整平及边坡清理</w:t>
                  </w:r>
                </w:p>
                <w:p w14:paraId="4A8D9996">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旋塘南部采石场露天采场采矿边坡清理修整完成后，为了满足回填区底部全防渗材料的铺设要求，对场地底部进行整平回填，整平回填完成后底部形成不缓于2%的顺坡，坡向拦挡坝上游坡脚处的收集井，以满足地下水及渗滤液导排收集，场地底部整平面积12800㎡。</w:t>
                  </w:r>
                </w:p>
                <w:p w14:paraId="0E05C54F">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由于开采边坡为岩质边坡，为了防止对防渗材料的破坏，需要对场地边坡区域进行清理，主要以清理浮石和尖锐突出物为主，清理完成采用简单设备进行整平，场地边坡清理面积13520㎡。</w:t>
                  </w:r>
                </w:p>
                <w:p w14:paraId="519D7928">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0" w:firstLineChars="0"/>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2、地下水导排收集系统</w:t>
                  </w:r>
                </w:p>
                <w:p w14:paraId="7B20F523">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旋塘南部采石场露天采场场地内地下水埋深较深，但在雨季时场地外雨水下渗有可能进入回填区底部，上层滞水形成地下水，为了防止地下水对防渗膜的顶托破坏，须将回填区地下水及时导出，使下渗的地下水不影响防渗结构层的有效性，故设计在修复区防渗层下设置地下水导排盲沟，导排雨季时雨水下渗形成的地下水。地下水导排盲沟在回填区底部整平后，开挖顶宽1500mm，高度500mm，底宽500mm的沟槽，采用土工布包裹碎石充填，碎石内埋设DN200塑料盲沟管。</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塑料盲沟</w:t>
                  </w:r>
                  <w:r>
                    <w:rPr>
                      <w:rFonts w:hint="default" w:ascii="Times New Roman" w:hAnsi="Times New Roman" w:eastAsia="宋体" w:cs="Times New Roman"/>
                      <w:color w:val="000000" w:themeColor="text1"/>
                      <w:sz w:val="21"/>
                      <w:szCs w:val="21"/>
                      <w:highlight w:val="none"/>
                      <w14:textFill>
                        <w14:solidFill>
                          <w14:schemeClr w14:val="tx1"/>
                        </w14:solidFill>
                      </w14:textFill>
                    </w:rPr>
                    <w:t>管接至拦挡坝坝前地下水收集井，地下水收集井为底部钢筋混凝土结构，采用潜水泵回抽至地下水收集池，钢筋混凝土收集井净尺寸为2.2×2.2×3.2m，壁厚40cm，在拦挡坝下游新建地下水收集池，尺寸按长×宽×高=2.0×2.0×2.5m设置，采用钢筋混凝土浇筑，池顶标高2088.00m，地下水导排管出口标高2079.0m。池顶设置1.2m高防护栏杆和安全警示标志牌。</w:t>
                  </w:r>
                </w:p>
                <w:p w14:paraId="7BC00D4C">
                  <w:pPr>
                    <w:pStyle w:val="28"/>
                    <w:keepNext w:val="0"/>
                    <w:keepLines w:val="0"/>
                    <w:pageBreakBefore w:val="0"/>
                    <w:widowControl w:val="0"/>
                    <w:kinsoku/>
                    <w:wordWrap/>
                    <w:overflowPunct/>
                    <w:topLinePunct w:val="0"/>
                    <w:autoSpaceDE/>
                    <w:autoSpaceDN/>
                    <w:bidi w:val="0"/>
                    <w:adjustRightInd w:val="0"/>
                    <w:snapToGrid w:val="0"/>
                    <w:spacing w:line="240" w:lineRule="auto"/>
                    <w:ind w:left="0" w:leftChars="0"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地下水收集池内的水主要用于修复区管护期浇灌使用。</w:t>
                  </w:r>
                </w:p>
                <w:p w14:paraId="03AA85DE">
                  <w:pPr>
                    <w:pStyle w:val="90"/>
                    <w:keepNext w:val="0"/>
                    <w:keepLines w:val="0"/>
                    <w:pageBreakBefore w:val="0"/>
                    <w:widowControl w:val="0"/>
                    <w:kinsoku/>
                    <w:wordWrap/>
                    <w:overflowPunct/>
                    <w:topLinePunct w:val="0"/>
                    <w:autoSpaceDE/>
                    <w:autoSpaceDN/>
                    <w:bidi w:val="0"/>
                    <w:adjustRightInd w:val="0"/>
                    <w:snapToGrid w:val="0"/>
                    <w:spacing w:afterLines="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3、拦挡坝</w:t>
                  </w:r>
                </w:p>
                <w:p w14:paraId="473C346B">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为保证地貌回填体的安全，在场地北侧采坑出口处修筑2#拦挡坝，在场地西南侧垭口处填筑3#副坝。2#拦挡坝和3#副坝坝型结合现场实际情况，遵循就地取材的原则，设计为碾压土石坝，选用场地内清理开挖过程中形成的土石料进行筑坝，做到施工方便、节省投资。</w:t>
                  </w:r>
                </w:p>
                <w:p w14:paraId="0CEC723B">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（1）2#拦挡坝</w:t>
                  </w:r>
                </w:p>
                <w:p w14:paraId="1409A0A5">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422" w:firstLineChars="20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1）坝体构造</w:t>
                  </w:r>
                </w:p>
                <w:p w14:paraId="1BE7588D">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2#拦挡坝坝底高程2086m，坝顶高程2096m，坝顶宽4m，坝顶长68.0m，坝高10m。</w:t>
                  </w:r>
                </w:p>
                <w:p w14:paraId="484A1597">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2#拦挡坝上游坝坡坡比1:2.0，拦挡坝上游坝坡坡面设防渗层与场内底部防渗层连接；拦挡坝下游坝坡坡比1:2.0。</w:t>
                  </w:r>
                </w:p>
                <w:p w14:paraId="5A0C9D39">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422" w:firstLineChars="20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2）坝基</w:t>
                  </w:r>
                </w:p>
                <w:p w14:paraId="5F8AE18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拦挡坝坝基位置主要为原开采过程中形成的场地，首先对拦挡坝坝基位置进行清理，以砾质粘性土或灰岩为坝基进行填筑。</w:t>
                  </w:r>
                </w:p>
                <w:p w14:paraId="79688E41">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422" w:firstLineChars="20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3）坝体质量控制</w:t>
                  </w:r>
                </w:p>
                <w:p w14:paraId="2EC0BED2">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拦挡坝筑坝时，筑坝材料须逐层填筑，并且要严格遵循分层碾压法施工，分层厚度不得超过0.8m，并按碾压试验的数据执行，要求经检验确认放坡，压实度达到0.94，压实干密度须达到γ</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g</w:t>
                  </w:r>
                  <w:r>
                    <w:rPr>
                      <w:rFonts w:hint="default" w:ascii="Times New Roman" w:hAnsi="Times New Roman" w:eastAsia="宋体" w:cs="Times New Roman"/>
                      <w:color w:val="000000" w:themeColor="text1"/>
                      <w:sz w:val="21"/>
                      <w:szCs w:val="21"/>
                      <w:highlight w:val="none"/>
                      <w14:textFill>
                        <w14:solidFill>
                          <w14:schemeClr w14:val="tx1"/>
                        </w14:solidFill>
                      </w14:textFill>
                    </w:rPr>
                    <w:t>=2.0t/m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以上，方可施工上一层，直至坝顶。</w:t>
                  </w:r>
                </w:p>
                <w:p w14:paraId="2BA891C4">
                  <w:pPr>
                    <w:pStyle w:val="2"/>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color w:val="000000" w:themeColor="text1"/>
                      <w:sz w:val="21"/>
                      <w:szCs w:val="21"/>
                      <w:highlight w:val="none"/>
                      <w14:textFill>
                        <w14:solidFill>
                          <w14:schemeClr w14:val="tx1"/>
                        </w14:solidFill>
                      </w14:textFill>
                    </w:rPr>
                  </w:pPr>
                  <w:r>
                    <w:rPr>
                      <w:rFonts w:hint="default" w:ascii="Times New Roman" w:hAnsi="Times New Roman" w:eastAsia="宋体" w:cs="Times New Roman"/>
                      <w:b/>
                      <w:color w:val="000000" w:themeColor="text1"/>
                      <w:sz w:val="21"/>
                      <w:szCs w:val="21"/>
                      <w:highlight w:val="none"/>
                      <w14:textFill>
                        <w14:solidFill>
                          <w14:schemeClr w14:val="tx1"/>
                        </w14:solidFill>
                      </w14:textFill>
                    </w:rPr>
                    <w:t>（2）3#副坝</w:t>
                  </w:r>
                </w:p>
                <w:p w14:paraId="65978D23">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422" w:firstLineChars="20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1）坝体构造</w:t>
                  </w:r>
                </w:p>
                <w:p w14:paraId="77EE413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3#副坝坝底高程2123m，坝顶高程2128m，坝顶宽3m，坝顶长20.0m，坝高5m。</w:t>
                  </w:r>
                </w:p>
                <w:p w14:paraId="3C3A43D0">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3#副坝上游坝坡坡比1:2.0，拦挡坝上游坝坡坡面设防渗层与场内底部防渗层连接；拦挡坝下游坝坡坡比1:2.0。</w:t>
                  </w:r>
                </w:p>
                <w:p w14:paraId="011181F9">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422" w:firstLineChars="20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2）坝基</w:t>
                  </w:r>
                </w:p>
                <w:p w14:paraId="0EDD90D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拦挡坝坝基位置主要为原开采过程中形成的场地，首先对拦挡坝坝基位置进行清理，以灰岩为坝基进行填筑。</w:t>
                  </w:r>
                </w:p>
                <w:p w14:paraId="47D0C056">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422" w:firstLineChars="20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3）坝体质量控制</w:t>
                  </w:r>
                </w:p>
                <w:p w14:paraId="4B82F390">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拦挡坝筑坝时，筑坝材料须逐层填筑，并且要严格遵循分层碾压法施工，分层厚度不得超过0.8m，并按碾压试验的数据执行，要求经检验确认放坡，压实度达到0.94，压实干密度须达到γ</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g</w:t>
                  </w:r>
                  <w:r>
                    <w:rPr>
                      <w:rFonts w:hint="default" w:ascii="Times New Roman" w:hAnsi="Times New Roman" w:eastAsia="宋体" w:cs="Times New Roman"/>
                      <w:color w:val="000000" w:themeColor="text1"/>
                      <w:sz w:val="21"/>
                      <w:szCs w:val="21"/>
                      <w:highlight w:val="none"/>
                      <w14:textFill>
                        <w14:solidFill>
                          <w14:schemeClr w14:val="tx1"/>
                        </w14:solidFill>
                      </w14:textFill>
                    </w:rPr>
                    <w:t>=2.0t/m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以上，方可施工上一层，直至坝顶。</w:t>
                  </w:r>
                </w:p>
                <w:p w14:paraId="00F34C6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4、回填区底部全防渗</w:t>
                  </w:r>
                </w:p>
                <w:p w14:paraId="70D1ACE8">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修复回填区防渗采用柔性结构防渗系统，防渗材料选择具有化学兼容性、耐久性、耐热性、高强度、低渗透率、易维护、无二次污染、适应地基不均匀沉降、具有较好的抗微生物侵蚀和抗化学腐蚀性能的HDPE防渗膜。通过设置人工防渗系统将修复回填区底部原地层与生态修复回填材料完全隔离，</w:t>
                  </w:r>
                  <w:r>
                    <w:rPr>
                      <w:rFonts w:hint="default" w:ascii="Times New Roman" w:hAnsi="Times New Roman" w:eastAsia="宋体" w:cs="Times New Roman"/>
                      <w:bCs/>
                      <w:color w:val="000000" w:themeColor="text1"/>
                      <w:sz w:val="21"/>
                      <w:szCs w:val="21"/>
                      <w:highlight w:val="none"/>
                      <w14:textFill>
                        <w14:solidFill>
                          <w14:schemeClr w14:val="tx1"/>
                        </w14:solidFill>
                      </w14:textFill>
                    </w:rPr>
                    <w:t>确保回填区域的渗滤液不下渗，严格控制渗滤液产生量，保护周边环境及地下水质。</w:t>
                  </w:r>
                </w:p>
                <w:p w14:paraId="41E2DA4D">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1）底部防渗层结构</w:t>
                  </w:r>
                </w:p>
                <w:p w14:paraId="126240EC">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修复回填区底部防渗层首先在整平后的场地铺设0.3m厚粘土作为土工膜支撑保护层，粘土采用市场购买方式获得，要求粘土干净、含沙量小、黏粘、粒径小于0.05mm的含量应超过25%、塑性指数大于15。经压实措施处理后的饱和渗透系数不应大于 1.0×10</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-7</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cm/s。黏土层铺设完成后铺设1.5mm厚单糙面HEPD土工防渗膜，并满足GB/T 17643和CJ/T234-2006规定的技术指标要求；最后在上部回填改性磷石膏填料。</w:t>
                  </w:r>
                </w:p>
                <w:p w14:paraId="7F86E3B3">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底部防渗结构由下至上构成如下：</w:t>
                  </w:r>
                </w:p>
                <w:p w14:paraId="28EE6AD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（1）库底整平压实基础层（地下水导排盲沟在其中）</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（2）0.3m厚粘土支撑保护层</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（3）1.5mm厚单糙面HDPE土工膜</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（4）改性磷石膏填料回填</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3792FDC3">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2）边坡防渗层结构</w:t>
                  </w:r>
                </w:p>
                <w:p w14:paraId="45C0AA7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由于场地边坡大部分陡峻，粘土层无法铺设，设计对边坡清理整平后，采用4800g/m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纳基膨润土毯作为防渗膜的保护层铺设在整平边坡上，再铺设HDPE土工防渗膜。</w:t>
                  </w:r>
                </w:p>
                <w:p w14:paraId="61D20A54">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膨润土毯在岸坡较陡地段，需采用锚固钉、链固定，防止下滑。膨润土毯和土工防渗膜均在边坡顶部和分台台阶处设锚固沟进行锚固。</w:t>
                  </w:r>
                </w:p>
                <w:p w14:paraId="0A9DB28E">
                  <w:pPr>
                    <w:keepNext w:val="0"/>
                    <w:keepLines w:val="0"/>
                    <w:pageBreakBefore w:val="0"/>
                    <w:widowControl w:val="0"/>
                    <w:kinsoku/>
                    <w:wordWrap/>
                    <w:overflowPunct/>
                    <w:topLinePunct w:val="0"/>
                    <w:autoSpaceDE/>
                    <w:autoSpaceDN/>
                    <w:bidi w:val="0"/>
                    <w:adjustRightInd w:val="0"/>
                    <w:snapToGrid w:val="0"/>
                    <w:spacing w:line="240" w:lineRule="auto"/>
                    <w:ind w:firstLine="422" w:firstLineChars="20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边坡防渗层结构由下至上构成如下：</w:t>
                  </w:r>
                </w:p>
                <w:p w14:paraId="2E91FC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（1）边坡清理整平层</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（2）4800g/m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钠基膨润土毯</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（3）1.5mm厚单糙面HDPE土工膜</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（4）改性磷石膏填料回填</w:t>
                  </w:r>
                  <w:r>
                    <w:rPr>
                      <w:rFonts w:hint="eastAsia" w:ascii="Times New Roman" w:hAnsi="Times New Roman" w:eastAsia="宋体" w:cs="Times New Roman"/>
                      <w:color w:val="000000" w:themeColor="text1"/>
                      <w:sz w:val="21"/>
                      <w:szCs w:val="21"/>
                      <w:highlight w:val="none"/>
                      <w:lang w:eastAsia="zh-CN"/>
                      <w14:textFill>
                        <w14:solidFill>
                          <w14:schemeClr w14:val="tx1"/>
                        </w14:solidFill>
                      </w14:textFill>
                    </w:rPr>
                    <w:t>。</w:t>
                  </w:r>
                </w:p>
                <w:p w14:paraId="1BB66BB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5、渗滤液导排收集系统</w:t>
                  </w:r>
                </w:p>
                <w:p w14:paraId="26FFB1A1">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为了将填料可能产生的渗滤液进行收集处理，底部防渗完成后，在防渗层上设置渗滤液收集导排盲沟，沟内铺设厚400mm的卵石，卵石采用200g/m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土工布包裹。导排盲沟内置dn200塑料盲沟管排渗，塑料盲沟管穿孔管外侧采用200g/m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土工布包裹，沿线排水控制坡度2%，导排管接至渗滤液收集井，渗滤液收集井为底部钢筋混凝土结构，采用潜水泵回抽至渗滤液收集池，钢筋混凝土收集井净尺寸为2.2×2.2×3.2m，壁厚40cm，渗滤液收集</w:t>
                  </w:r>
                  <w:r>
                    <w:rPr>
                      <w:rFonts w:hint="eastAsia" w:cs="Times New Roman"/>
                      <w:color w:val="000000" w:themeColor="text1"/>
                      <w:sz w:val="21"/>
                      <w:szCs w:val="21"/>
                      <w:highlight w:val="none"/>
                      <w:lang w:val="en-US" w:eastAsia="zh-CN"/>
                      <w14:textFill>
                        <w14:solidFill>
                          <w14:schemeClr w14:val="tx1"/>
                        </w14:solidFill>
                      </w14:textFill>
                    </w:rPr>
                    <w:t>后</w:t>
                  </w:r>
                  <w:r>
                    <w:rPr>
                      <w:rFonts w:hint="default" w:ascii="Times New Roman" w:hAnsi="Times New Roman" w:eastAsia="宋体" w:cs="Times New Roman"/>
                      <w:color w:val="000000" w:themeColor="text1"/>
                      <w:sz w:val="21"/>
                      <w:szCs w:val="21"/>
                      <w:highlight w:val="none"/>
                      <w14:textFill>
                        <w14:solidFill>
                          <w14:schemeClr w14:val="tx1"/>
                        </w14:solidFill>
                      </w14:textFill>
                    </w:rPr>
                    <w:t>回用</w:t>
                  </w:r>
                  <w:r>
                    <w:rPr>
                      <w:rFonts w:hint="eastAsia" w:cs="Times New Roman"/>
                      <w:color w:val="000000" w:themeColor="text1"/>
                      <w:sz w:val="21"/>
                      <w:szCs w:val="21"/>
                      <w:highlight w:val="none"/>
                      <w:lang w:val="en-US" w:eastAsia="zh-CN"/>
                      <w14:textFill>
                        <w14:solidFill>
                          <w14:schemeClr w14:val="tx1"/>
                        </w14:solidFill>
                      </w14:textFill>
                    </w:rPr>
                    <w:t>于修复区洒水降尘</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6F9865A0">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在拦挡坝下游设渗滤液收集池，收集回填料渗滤液。</w:t>
                  </w:r>
                </w:p>
                <w:p w14:paraId="146A1AC9">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渗滤液收集池在2#拦挡坝下游，采用钢筋混凝土矩形水池结构，容积</w:t>
                  </w:r>
                  <w:r>
                    <w:rPr>
                      <w:rFonts w:hint="eastAsia" w:cs="Times New Roman"/>
                      <w:color w:val="000000" w:themeColor="text1"/>
                      <w:sz w:val="21"/>
                      <w:szCs w:val="21"/>
                      <w:highlight w:val="none"/>
                      <w:lang w:val="en-US" w:eastAsia="zh-CN"/>
                      <w14:textFill>
                        <w14:solidFill>
                          <w14:schemeClr w14:val="tx1"/>
                        </w14:solidFill>
                      </w14:textFill>
                    </w:rPr>
                    <w:t>425</w:t>
                  </w:r>
                  <w:r>
                    <w:rPr>
                      <w:rFonts w:hint="default" w:ascii="Times New Roman" w:hAnsi="Times New Roman" w:eastAsia="宋体" w:cs="Times New Roman"/>
                      <w:color w:val="000000" w:themeColor="text1"/>
                      <w:sz w:val="21"/>
                      <w:szCs w:val="21"/>
                      <w:highlight w:val="none"/>
                      <w14:textFill>
                        <w14:solidFill>
                          <w14:schemeClr w14:val="tx1"/>
                        </w14:solidFill>
                      </w14:textFill>
                    </w:rPr>
                    <w:t>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。渗滤液收集</w:t>
                  </w:r>
                  <w:r>
                    <w:rPr>
                      <w:rFonts w:hint="eastAsia" w:cs="Times New Roman"/>
                      <w:color w:val="000000" w:themeColor="text1"/>
                      <w:sz w:val="21"/>
                      <w:szCs w:val="21"/>
                      <w:highlight w:val="none"/>
                      <w:lang w:val="en-US" w:eastAsia="zh-CN"/>
                      <w14:textFill>
                        <w14:solidFill>
                          <w14:schemeClr w14:val="tx1"/>
                        </w14:solidFill>
                      </w14:textFill>
                    </w:rPr>
                    <w:t>后</w:t>
                  </w:r>
                  <w:r>
                    <w:rPr>
                      <w:rFonts w:hint="default" w:ascii="Times New Roman" w:hAnsi="Times New Roman" w:eastAsia="宋体" w:cs="Times New Roman"/>
                      <w:color w:val="000000" w:themeColor="text1"/>
                      <w:sz w:val="21"/>
                      <w:szCs w:val="21"/>
                      <w:highlight w:val="none"/>
                      <w14:textFill>
                        <w14:solidFill>
                          <w14:schemeClr w14:val="tx1"/>
                        </w14:solidFill>
                      </w14:textFill>
                    </w:rPr>
                    <w:t>回用</w:t>
                  </w:r>
                  <w:r>
                    <w:rPr>
                      <w:rFonts w:hint="eastAsia" w:cs="Times New Roman"/>
                      <w:color w:val="000000" w:themeColor="text1"/>
                      <w:sz w:val="21"/>
                      <w:szCs w:val="21"/>
                      <w:highlight w:val="none"/>
                      <w:lang w:val="en-US" w:eastAsia="zh-CN"/>
                      <w14:textFill>
                        <w14:solidFill>
                          <w14:schemeClr w14:val="tx1"/>
                        </w14:solidFill>
                      </w14:textFill>
                    </w:rPr>
                    <w:t>于修复区洒水降尘</w:t>
                  </w:r>
                  <w:r>
                    <w:rPr>
                      <w:rFonts w:hint="default" w:ascii="Times New Roman" w:hAnsi="Times New Roman" w:eastAsia="宋体" w:cs="Times New Roman"/>
                      <w:color w:val="000000" w:themeColor="text1"/>
                      <w:sz w:val="21"/>
                      <w:szCs w:val="21"/>
                      <w:highlight w:val="none"/>
                      <w14:textFill>
                        <w14:solidFill>
                          <w14:schemeClr w14:val="tx1"/>
                        </w14:solidFill>
                      </w14:textFill>
                    </w:rPr>
                    <w:t>。渗滤液池顶标高2089.0m，渗滤液导排管出口标高2080.0m。</w:t>
                  </w:r>
                </w:p>
                <w:p w14:paraId="6693CDC4">
                  <w:pPr>
                    <w:pStyle w:val="90"/>
                    <w:keepNext w:val="0"/>
                    <w:keepLines w:val="0"/>
                    <w:pageBreakBefore w:val="0"/>
                    <w:widowControl w:val="0"/>
                    <w:kinsoku/>
                    <w:wordWrap/>
                    <w:overflowPunct/>
                    <w:topLinePunct w:val="0"/>
                    <w:autoSpaceDE/>
                    <w:autoSpaceDN/>
                    <w:bidi w:val="0"/>
                    <w:adjustRightInd w:val="0"/>
                    <w:snapToGrid w:val="0"/>
                    <w:spacing w:afterLines="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6、露采区回填恢复地貌</w:t>
                  </w:r>
                </w:p>
                <w:p w14:paraId="14BB7B6F">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旋塘南部采石场露天采场生态修复区设计采用改性磷石膏填料回填。矿坑堆填区从整平后的坑底2080m标高堆填至2151m标高，根据改性磷石膏填料特性、矿坑地形条件及雨水排水条件等因数，设计改性磷石膏填料回填堆排顺序为先填平至2#拦挡坝坝顶标高2096m，再由拦挡坝坝顶按1:3.0的坡比放坡堆填，堆填体总外坡比控制缓于1:3.5。2#拦挡坝高度10m，拦挡坝以上堆填高度55m，最终堆填标高2151m。堆填每5m高，留设3m宽马道。按场地地形初步测算回填量共计88.91万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w:t>
                  </w:r>
                </w:p>
                <w:p w14:paraId="66C73D18">
                  <w:pPr>
                    <w:pStyle w:val="90"/>
                    <w:keepNext w:val="0"/>
                    <w:keepLines w:val="0"/>
                    <w:pageBreakBefore w:val="0"/>
                    <w:widowControl w:val="0"/>
                    <w:kinsoku/>
                    <w:wordWrap/>
                    <w:overflowPunct/>
                    <w:topLinePunct w:val="0"/>
                    <w:autoSpaceDE/>
                    <w:autoSpaceDN/>
                    <w:bidi w:val="0"/>
                    <w:adjustRightInd w:val="0"/>
                    <w:snapToGrid w:val="0"/>
                    <w:spacing w:afterLines="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7、顶部防渗层结构</w:t>
                  </w:r>
                </w:p>
                <w:p w14:paraId="04004573">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旋塘南部采石场露天采场回填区按设计回填完成后，为了控制后期雨水下渗产生新的渗滤液，参照《一般工业固体废物贮存和填埋污染控制标准》（GB18599-2020）Ⅱ类填埋场封场技术要求进行封场，回填区顶部封场采用柔性结构防渗系统，防渗材料选用HDPE土工防渗膜。通过设置人工防渗系统阻隔雨水下渗，形成新的渗滤液造成环境风险</w:t>
                  </w:r>
                  <w:r>
                    <w:rPr>
                      <w:rFonts w:hint="default" w:ascii="Times New Roman" w:hAnsi="Times New Roman" w:eastAsia="宋体" w:cs="Times New Roman"/>
                      <w:bCs/>
                      <w:color w:val="000000" w:themeColor="text1"/>
                      <w:sz w:val="21"/>
                      <w:szCs w:val="21"/>
                      <w:highlight w:val="none"/>
                      <w14:textFill>
                        <w14:solidFill>
                          <w14:schemeClr w14:val="tx1"/>
                        </w14:solidFill>
                      </w14:textFill>
                    </w:rPr>
                    <w:t>，保护周边地下水水质。</w:t>
                  </w:r>
                </w:p>
                <w:p w14:paraId="54033684">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420" w:firstLineChars="200"/>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修复回填区</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改性磷石膏填料</w:t>
                  </w:r>
                  <w:r>
                    <w:rPr>
                      <w:rFonts w:hint="default" w:ascii="Times New Roman" w:hAnsi="Times New Roman" w:eastAsia="宋体" w:cs="Times New Roman"/>
                      <w:color w:val="000000" w:themeColor="text1"/>
                      <w:sz w:val="21"/>
                      <w:szCs w:val="21"/>
                      <w:highlight w:val="none"/>
                      <w14:textFill>
                        <w14:solidFill>
                          <w14:schemeClr w14:val="tx1"/>
                        </w14:solidFill>
                      </w14:textFill>
                    </w:rPr>
                    <w:t>回填完成后，对回填区顶部采用土工防渗膜进行封场防渗，</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顶部防渗膜与底部全防渗土工膜可靠焊接，阻隔雨水下渗进入堆填体。</w:t>
                  </w:r>
                </w:p>
                <w:p w14:paraId="77493D52">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420" w:firstLineChars="200"/>
                    <w:textAlignment w:val="auto"/>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顶部防渗处理结构由下至上构成如下：</w:t>
                  </w:r>
                </w:p>
                <w:p w14:paraId="4AB5132A">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420" w:firstLineChars="200"/>
                    <w:textAlignment w:val="auto"/>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pP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（1）回填材料压实整平</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（2）膜下排气管</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（3）1.0mm厚双糙面HDPE土工膜</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（4）400g/㎡长丝无纺土工布</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（5）40cm厚阻隔支撑层填土（碎石盲沟排水网格布设其中）</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r>
                    <w:rPr>
                      <w:rFonts w:hint="default" w:ascii="Times New Roman" w:hAnsi="Times New Roman" w:eastAsia="宋体" w:cs="Times New Roman"/>
                      <w:color w:val="000000" w:themeColor="text1"/>
                      <w:sz w:val="21"/>
                      <w:szCs w:val="21"/>
                      <w:highlight w:val="none"/>
                      <w:shd w:val="clear" w:color="auto" w:fill="FFFFFF"/>
                      <w14:textFill>
                        <w14:solidFill>
                          <w14:schemeClr w14:val="tx1"/>
                        </w14:solidFill>
                      </w14:textFill>
                    </w:rPr>
                    <w:t>（6）覆土60cm，恢复为灌木林地</w:t>
                  </w:r>
                  <w:r>
                    <w:rPr>
                      <w:rFonts w:hint="eastAsia" w:ascii="Times New Roman" w:hAnsi="Times New Roman" w:eastAsia="宋体" w:cs="Times New Roman"/>
                      <w:color w:val="000000" w:themeColor="text1"/>
                      <w:sz w:val="21"/>
                      <w:szCs w:val="21"/>
                      <w:highlight w:val="none"/>
                      <w:shd w:val="clear" w:color="auto" w:fill="FFFFFF"/>
                      <w:lang w:eastAsia="zh-CN"/>
                      <w14:textFill>
                        <w14:solidFill>
                          <w14:schemeClr w14:val="tx1"/>
                        </w14:solidFill>
                      </w14:textFill>
                    </w:rPr>
                    <w:t>。</w:t>
                  </w:r>
                </w:p>
                <w:p w14:paraId="249A7BCC">
                  <w:pPr>
                    <w:pStyle w:val="90"/>
                    <w:keepNext w:val="0"/>
                    <w:keepLines w:val="0"/>
                    <w:pageBreakBefore w:val="0"/>
                    <w:widowControl w:val="0"/>
                    <w:kinsoku/>
                    <w:wordWrap/>
                    <w:overflowPunct/>
                    <w:topLinePunct w:val="0"/>
                    <w:autoSpaceDE/>
                    <w:autoSpaceDN/>
                    <w:bidi w:val="0"/>
                    <w:adjustRightInd w:val="0"/>
                    <w:snapToGrid w:val="0"/>
                    <w:spacing w:afterLines="0" w:line="240" w:lineRule="auto"/>
                    <w:ind w:firstLine="0" w:firstLineChars="0"/>
                    <w:textAlignment w:val="auto"/>
                    <w:rPr>
                      <w:rFonts w:hint="default" w:ascii="Times New Roman" w:hAnsi="Times New Roman" w:eastAsia="宋体" w:cs="Times New Roman"/>
                      <w:b/>
                      <w:bCs/>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8、排洪排水设施</w:t>
                  </w:r>
                </w:p>
                <w:p w14:paraId="4FE535DC">
                  <w:pPr>
                    <w:keepNext w:val="0"/>
                    <w:keepLines w:val="0"/>
                    <w:pageBreakBefore w:val="0"/>
                    <w:widowControl w:val="0"/>
                    <w:tabs>
                      <w:tab w:val="left" w:pos="1418"/>
                    </w:tabs>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大旋塘南部采石场露天采场回填区汇水面积为0.035km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，回填区位于汇水区顶部，周边汇水较少，基本为场地内汇水。设计在修复回填区周边设置周边截水沟，长638米，净断面尺寸为B×H＝0.5m×0.6m，最小底坡2%，结构为砖砌结构</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。在回填区最终堆填边坡平台上设置坡面雨水沟，</w:t>
                  </w:r>
                  <w:r>
                    <w:rPr>
                      <w:rFonts w:hint="default" w:ascii="Times New Roman" w:hAnsi="Times New Roman" w:eastAsia="宋体" w:cs="Times New Roman"/>
                      <w:color w:val="000000" w:themeColor="text1"/>
                      <w:sz w:val="21"/>
                      <w:szCs w:val="21"/>
                      <w:highlight w:val="none"/>
                      <w14:textFill>
                        <w14:solidFill>
                          <w14:schemeClr w14:val="tx1"/>
                        </w14:solidFill>
                      </w14:textFill>
                    </w:rPr>
                    <w:t>净断面尺寸为B×H＝0.3m×0.4m，最小底坡1%，结构为砖砌结构。生态修复区汇水通过拦挡坝下游沟谷外排。</w:t>
                  </w:r>
                </w:p>
                <w:p w14:paraId="4CF91C4E">
                  <w:pPr>
                    <w:keepNext w:val="0"/>
                    <w:keepLines w:val="0"/>
                    <w:pageBreakBefore w:val="0"/>
                    <w:widowControl w:val="0"/>
                    <w:kinsoku/>
                    <w:wordWrap/>
                    <w:overflowPunct/>
                    <w:topLinePunct w:val="0"/>
                    <w:autoSpaceDE/>
                    <w:autoSpaceDN/>
                    <w:bidi w:val="0"/>
                    <w:adjustRightInd w:val="0"/>
                    <w:snapToGrid w:val="0"/>
                    <w:spacing w:line="240" w:lineRule="auto"/>
                    <w:ind w:firstLine="420" w:firstLineChars="20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修复回填区场内设置纵横雨水沟，导排场内雨水进入周边截水沟外排。在堆填体每层平台上修建雨水沟，沟断面300mm×400mm，坡度不小于0.01，堆填体边坡纵向设雨水沟，纵向坡面雨水沟间隔30m设一条，断面300mm×400mm。雨水沟导排至至周边截水沟，断面500mm×600mm，直接外排或收集于地下水收集池，用于场地养护浇灌。</w:t>
                  </w:r>
                </w:p>
              </w:tc>
              <w:tc>
                <w:tcPr>
                  <w:tcW w:w="395" w:type="pct"/>
                  <w:vAlign w:val="center"/>
                </w:tcPr>
                <w:p w14:paraId="46C8525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507ECA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9" w:hRule="atLeast"/>
              </w:trPr>
              <w:tc>
                <w:tcPr>
                  <w:tcW w:w="259" w:type="pct"/>
                  <w:vMerge w:val="continue"/>
                  <w:vAlign w:val="center"/>
                </w:tcPr>
                <w:p w14:paraId="6D1EFA5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p>
              </w:tc>
              <w:tc>
                <w:tcPr>
                  <w:tcW w:w="399" w:type="pct"/>
                  <w:vAlign w:val="center"/>
                </w:tcPr>
                <w:p w14:paraId="67FE9D2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14:textFill>
                        <w14:solidFill>
                          <w14:schemeClr w14:val="tx1"/>
                        </w14:solidFill>
                      </w14:textFill>
                    </w:rPr>
                    <w:t>改性磷石膏填料</w:t>
                  </w:r>
                </w:p>
              </w:tc>
              <w:tc>
                <w:tcPr>
                  <w:tcW w:w="3945" w:type="pct"/>
                  <w:vAlign w:val="center"/>
                </w:tcPr>
                <w:p w14:paraId="19BB357E">
                  <w:pPr>
                    <w:pStyle w:val="93"/>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textAlignment w:val="auto"/>
                    <w:rPr>
                      <w:rFonts w:hint="default" w:ascii="Times New Roman" w:hAnsi="Times New Roman" w:eastAsia="宋体" w:cs="Times New Roman"/>
                      <w:color w:val="000000" w:themeColor="text1"/>
                      <w:sz w:val="21"/>
                      <w:szCs w:val="21"/>
                      <w:highlight w:val="no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改性磷石膏由云南</w:t>
                  </w:r>
                  <w:r>
                    <w:rPr>
                      <w:rFonts w:hint="default" w:ascii="Times New Roman" w:hAnsi="Times New Roman" w:eastAsia="宋体" w:cs="Times New Roman"/>
                      <w:color w:val="000000" w:themeColor="text1"/>
                      <w:sz w:val="21"/>
                      <w:szCs w:val="21"/>
                      <w:highlight w:val="none"/>
                      <w14:textFill>
                        <w14:solidFill>
                          <w14:schemeClr w14:val="tx1"/>
                        </w14:solidFill>
                      </w14:textFill>
                    </w:rPr>
                    <w:t>常青树化工有限公司现有60万吨/年磷石膏干法改性系统进行磷石膏改性</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生产。其磷石膏为目前堆存于</w:t>
                  </w:r>
                  <w:r>
                    <w:rPr>
                      <w:rFonts w:hint="default" w:ascii="Times New Roman" w:hAnsi="Times New Roman" w:eastAsia="宋体" w:cs="Times New Roman"/>
                      <w:snapToGrid w:val="0"/>
                      <w:color w:val="000000" w:themeColor="text1"/>
                      <w:spacing w:val="1"/>
                      <w:kern w:val="0"/>
                      <w:sz w:val="21"/>
                      <w:szCs w:val="21"/>
                      <w:highlight w:val="none"/>
                      <w14:textFill>
                        <w14:solidFill>
                          <w14:schemeClr w14:val="tx1"/>
                        </w14:solidFill>
                      </w14:textFill>
                    </w:rPr>
                    <w:t>寻甸县常青树磷石膏库内的约100万t磷石膏，</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采用</w:t>
                  </w:r>
                  <w:r>
                    <w:rPr>
                      <w:rFonts w:hint="default" w:ascii="Times New Roman" w:hAnsi="Times New Roman" w:eastAsia="宋体" w:cs="Times New Roman"/>
                      <w:color w:val="000000" w:themeColor="text1"/>
                      <w:sz w:val="21"/>
                      <w:szCs w:val="21"/>
                      <w:highlight w:val="none"/>
                      <w14:textFill>
                        <w14:solidFill>
                          <w14:schemeClr w14:val="tx1"/>
                        </w14:solidFill>
                      </w14:textFill>
                    </w:rPr>
                    <w:t>干法磷石膏无害化处理</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工艺，生产规模60万t/a，满足项目改性磷石膏需要。</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根据项目实施方案，大旋塘北部矿坑</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磷石膏</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回填量为</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955935吨，</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大旋塘南部矿坑</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磷石膏</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回填量</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1200285吨</w:t>
                  </w:r>
                  <w:r>
                    <w:rPr>
                      <w:rFonts w:hint="eastAsia" w:ascii="Times New Roman" w:hAnsi="Times New Roman" w:eastAsia="宋体" w:cs="Times New Roman"/>
                      <w:color w:val="000000" w:themeColor="text1"/>
                      <w:kern w:val="0"/>
                      <w:sz w:val="21"/>
                      <w:szCs w:val="21"/>
                      <w:highlight w:val="none"/>
                      <w:lang w:eastAsia="zh-CN"/>
                      <w14:textFill>
                        <w14:solidFill>
                          <w14:schemeClr w14:val="tx1"/>
                        </w14:solidFill>
                      </w14:textFill>
                    </w:rPr>
                    <w:t>，</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回填量共计215.622万吨，其中100万吨磷石膏来源于</w:t>
                  </w:r>
                  <w:r>
                    <w:rPr>
                      <w:rFonts w:hint="default" w:ascii="Times New Roman" w:hAnsi="Times New Roman" w:eastAsia="宋体" w:cs="Times New Roman"/>
                      <w:snapToGrid w:val="0"/>
                      <w:color w:val="000000" w:themeColor="text1"/>
                      <w:spacing w:val="1"/>
                      <w:kern w:val="0"/>
                      <w:sz w:val="21"/>
                      <w:szCs w:val="21"/>
                      <w:highlight w:val="none"/>
                      <w14:textFill>
                        <w14:solidFill>
                          <w14:schemeClr w14:val="tx1"/>
                        </w14:solidFill>
                      </w14:textFill>
                    </w:rPr>
                    <w:t>寻甸县常青树磷石膏库内的</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采用</w:t>
                  </w:r>
                  <w:r>
                    <w:rPr>
                      <w:rFonts w:hint="default" w:ascii="Times New Roman" w:hAnsi="Times New Roman" w:eastAsia="宋体" w:cs="Times New Roman"/>
                      <w:color w:val="000000" w:themeColor="text1"/>
                      <w:sz w:val="21"/>
                      <w:szCs w:val="21"/>
                      <w:highlight w:val="none"/>
                      <w14:textFill>
                        <w14:solidFill>
                          <w14:schemeClr w14:val="tx1"/>
                        </w14:solidFill>
                      </w14:textFill>
                    </w:rPr>
                    <w:t>干法磷石膏无害化处理</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工艺</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后的磷石膏，其余部分由寻甸县其他磷石膏生产企业补足。</w:t>
                  </w:r>
                </w:p>
              </w:tc>
              <w:tc>
                <w:tcPr>
                  <w:tcW w:w="395" w:type="pct"/>
                  <w:vAlign w:val="center"/>
                </w:tcPr>
                <w:p w14:paraId="5985B9B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18D1C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Merge w:val="restart"/>
                  <w:vAlign w:val="center"/>
                </w:tcPr>
                <w:p w14:paraId="541A57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公用工程</w:t>
                  </w:r>
                </w:p>
              </w:tc>
              <w:tc>
                <w:tcPr>
                  <w:tcW w:w="399" w:type="pct"/>
                  <w:vAlign w:val="center"/>
                </w:tcPr>
                <w:p w14:paraId="12FD3DB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给水</w:t>
                  </w:r>
                </w:p>
              </w:tc>
              <w:tc>
                <w:tcPr>
                  <w:tcW w:w="3945" w:type="pct"/>
                  <w:vAlign w:val="center"/>
                </w:tcPr>
                <w:p w14:paraId="5467774A">
                  <w:pPr>
                    <w:pStyle w:val="28"/>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由于周边水源缺乏，为了堆填完成后场地恢复为林地后的灌溉，在场地内周边截水沟低处位置设灌溉蓄水池（雨水收集池），收集下雨时的雨水，用于场地灌溉。根据场地生态修复规划，灌溉蓄水池（雨水收集池）共设置4个，采用C20钢筋混凝土结构。灌溉蓄水池（雨水收集池）内壁尺寸5×5m，壁厚0.3m，深度2.5m，有效水深2.0m，</w:t>
                  </w:r>
                  <w:r>
                    <w:rPr>
                      <w:rFonts w:hint="eastAsia" w:cs="Times New Roman"/>
                      <w:color w:val="000000" w:themeColor="text1"/>
                      <w:kern w:val="0"/>
                      <w:sz w:val="21"/>
                      <w:szCs w:val="21"/>
                      <w:highlight w:val="none"/>
                      <w:lang w:val="en-US" w:eastAsia="zh-CN" w:bidi="ar"/>
                      <w14:textFill>
                        <w14:solidFill>
                          <w14:schemeClr w14:val="tx1"/>
                        </w14:solidFill>
                      </w14:textFill>
                    </w:rPr>
                    <w:t>南部修复区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容积</w:t>
                  </w:r>
                  <w:r>
                    <w:rPr>
                      <w:rFonts w:hint="eastAsia" w:cs="Times New Roman"/>
                      <w:color w:val="000000" w:themeColor="text1"/>
                      <w:kern w:val="0"/>
                      <w:sz w:val="21"/>
                      <w:szCs w:val="21"/>
                      <w:highlight w:val="none"/>
                      <w:lang w:val="en-US" w:eastAsia="zh-CN" w:bidi="ar"/>
                      <w14:textFill>
                        <w14:solidFill>
                          <w14:schemeClr w14:val="tx1"/>
                        </w14:solidFill>
                      </w14:textFill>
                    </w:rPr>
                    <w:t>60</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1"/>
                      <w:szCs w:val="21"/>
                      <w:highlight w:val="none"/>
                      <w:vertAlign w:val="superscript"/>
                      <w:lang w:val="en-US" w:eastAsia="zh-CN" w:bidi="ar"/>
                      <w14:textFill>
                        <w14:solidFill>
                          <w14:schemeClr w14:val="tx1"/>
                        </w14:solidFill>
                      </w14:textFill>
                    </w:rPr>
                    <w:t>3</w:t>
                  </w:r>
                  <w:r>
                    <w:rPr>
                      <w:rFonts w:hint="eastAsia" w:cs="Times New Roman"/>
                      <w:color w:val="000000" w:themeColor="text1"/>
                      <w:kern w:val="0"/>
                      <w:sz w:val="21"/>
                      <w:szCs w:val="21"/>
                      <w:highlight w:val="none"/>
                      <w:vertAlign w:val="baseline"/>
                      <w:lang w:val="en-US" w:eastAsia="zh-CN" w:bidi="ar"/>
                      <w14:textFill>
                        <w14:solidFill>
                          <w14:schemeClr w14:val="tx1"/>
                        </w14:solidFill>
                      </w14:textFill>
                    </w:rPr>
                    <w:t>、北</w:t>
                  </w:r>
                  <w:r>
                    <w:rPr>
                      <w:rFonts w:hint="eastAsia" w:cs="Times New Roman"/>
                      <w:color w:val="000000" w:themeColor="text1"/>
                      <w:kern w:val="0"/>
                      <w:sz w:val="21"/>
                      <w:szCs w:val="21"/>
                      <w:highlight w:val="none"/>
                      <w:lang w:val="en-US" w:eastAsia="zh-CN" w:bidi="ar"/>
                      <w14:textFill>
                        <w14:solidFill>
                          <w14:schemeClr w14:val="tx1"/>
                        </w14:solidFill>
                      </w14:textFill>
                    </w:rPr>
                    <w:t>部修复区</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容积50m</w:t>
                  </w:r>
                  <w:r>
                    <w:rPr>
                      <w:rFonts w:hint="default" w:ascii="Times New Roman" w:hAnsi="Times New Roman" w:eastAsia="宋体" w:cs="Times New Roman"/>
                      <w:color w:val="000000" w:themeColor="text1"/>
                      <w:kern w:val="0"/>
                      <w:sz w:val="21"/>
                      <w:szCs w:val="21"/>
                      <w:highlight w:val="none"/>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w:t>
                  </w:r>
                </w:p>
              </w:tc>
              <w:tc>
                <w:tcPr>
                  <w:tcW w:w="395" w:type="pct"/>
                  <w:vAlign w:val="center"/>
                </w:tcPr>
                <w:p w14:paraId="2DA4E4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62D60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9" w:type="pct"/>
                  <w:vMerge w:val="continue"/>
                  <w:vAlign w:val="center"/>
                </w:tcPr>
                <w:p w14:paraId="5D76E58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399" w:type="pct"/>
                  <w:vAlign w:val="center"/>
                </w:tcPr>
                <w:p w14:paraId="01A9DC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排水</w:t>
                  </w:r>
                </w:p>
              </w:tc>
              <w:tc>
                <w:tcPr>
                  <w:tcW w:w="3945" w:type="pct"/>
                  <w:vAlign w:val="center"/>
                </w:tcPr>
                <w:p w14:paraId="1DD97FF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施工废水经收集沉淀后回用于项目区洒水降尘，养护用水经土壤吸收、蒸发。</w:t>
                  </w:r>
                </w:p>
              </w:tc>
              <w:tc>
                <w:tcPr>
                  <w:tcW w:w="395" w:type="pct"/>
                  <w:vAlign w:val="center"/>
                </w:tcPr>
                <w:p w14:paraId="655FDBF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5C860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Merge w:val="continue"/>
                  <w:vAlign w:val="center"/>
                </w:tcPr>
                <w:p w14:paraId="2C9A1F5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399" w:type="pct"/>
                  <w:vAlign w:val="center"/>
                </w:tcPr>
                <w:p w14:paraId="572D68C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供电</w:t>
                  </w:r>
                </w:p>
              </w:tc>
              <w:tc>
                <w:tcPr>
                  <w:tcW w:w="3945" w:type="pct"/>
                  <w:vAlign w:val="center"/>
                </w:tcPr>
                <w:p w14:paraId="22C3A10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项目用电从附近供电系统接入。</w:t>
                  </w:r>
                </w:p>
              </w:tc>
              <w:tc>
                <w:tcPr>
                  <w:tcW w:w="395" w:type="pct"/>
                  <w:vAlign w:val="center"/>
                </w:tcPr>
                <w:p w14:paraId="7EA4BE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29EE5A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Align w:val="center"/>
                </w:tcPr>
                <w:p w14:paraId="27E793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依托工程</w:t>
                  </w:r>
                </w:p>
              </w:tc>
              <w:tc>
                <w:tcPr>
                  <w:tcW w:w="399" w:type="pct"/>
                  <w:vAlign w:val="center"/>
                </w:tcPr>
                <w:p w14:paraId="4025C9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vertAlign w:val="baseline"/>
                      <w:lang w:val="en-US" w:eastAsia="zh-CN" w:bidi="ar"/>
                      <w14:textFill>
                        <w14:solidFill>
                          <w14:schemeClr w14:val="tx1"/>
                        </w14:solidFill>
                      </w14:textFill>
                    </w:rPr>
                    <w:t>改性磷石膏生产线</w:t>
                  </w:r>
                </w:p>
              </w:tc>
              <w:tc>
                <w:tcPr>
                  <w:tcW w:w="3945" w:type="pct"/>
                  <w:vAlign w:val="center"/>
                </w:tcPr>
                <w:p w14:paraId="7E226F4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改性磷石膏来源于《</w:t>
                  </w:r>
                  <w:r>
                    <w:rPr>
                      <w:rFonts w:hint="default" w:ascii="Times New Roman" w:hAnsi="Times New Roman" w:eastAsia="宋体" w:cs="Times New Roman"/>
                      <w:color w:val="000000" w:themeColor="text1"/>
                      <w:sz w:val="21"/>
                      <w:szCs w:val="21"/>
                      <w:highlight w:val="none"/>
                      <w14:textFill>
                        <w14:solidFill>
                          <w14:schemeClr w14:val="tx1"/>
                        </w14:solidFill>
                      </w14:textFill>
                    </w:rPr>
                    <w:t>云南常青树化工有限公司磷石膏无害化改性处理工程</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》生产的合格产品。</w:t>
                  </w: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其余部分由寻甸县其他磷石膏生产企业补足。</w:t>
                  </w:r>
                </w:p>
              </w:tc>
              <w:tc>
                <w:tcPr>
                  <w:tcW w:w="395" w:type="pct"/>
                  <w:vAlign w:val="center"/>
                </w:tcPr>
                <w:p w14:paraId="6F0A4F6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309FAE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Align w:val="center"/>
                </w:tcPr>
                <w:p w14:paraId="4998166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辅助工程</w:t>
                  </w:r>
                </w:p>
              </w:tc>
              <w:tc>
                <w:tcPr>
                  <w:tcW w:w="399" w:type="pct"/>
                  <w:vAlign w:val="center"/>
                </w:tcPr>
                <w:p w14:paraId="2F1B542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运输工程</w:t>
                  </w:r>
                </w:p>
              </w:tc>
              <w:tc>
                <w:tcPr>
                  <w:tcW w:w="3945" w:type="pct"/>
                  <w:vAlign w:val="center"/>
                </w:tcPr>
                <w:p w14:paraId="6B36317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依托现有公路进行运输</w:t>
                  </w:r>
                </w:p>
              </w:tc>
              <w:tc>
                <w:tcPr>
                  <w:tcW w:w="395" w:type="pct"/>
                  <w:vAlign w:val="center"/>
                </w:tcPr>
                <w:p w14:paraId="732A4C9D">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依托</w:t>
                  </w:r>
                </w:p>
              </w:tc>
            </w:tr>
            <w:tr w14:paraId="3A70BF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trPr>
              <w:tc>
                <w:tcPr>
                  <w:tcW w:w="259" w:type="pct"/>
                  <w:vMerge w:val="restart"/>
                  <w:vAlign w:val="center"/>
                </w:tcPr>
                <w:p w14:paraId="317208F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环保工程</w:t>
                  </w:r>
                </w:p>
              </w:tc>
              <w:tc>
                <w:tcPr>
                  <w:tcW w:w="399" w:type="pct"/>
                  <w:vAlign w:val="center"/>
                </w:tcPr>
                <w:p w14:paraId="4E8920A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废气</w:t>
                  </w:r>
                </w:p>
              </w:tc>
              <w:tc>
                <w:tcPr>
                  <w:tcW w:w="3945" w:type="pct"/>
                  <w:vAlign w:val="center"/>
                </w:tcPr>
                <w:p w14:paraId="1796846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eastAsia" w:cs="Times New Roman"/>
                      <w:color w:val="000000" w:themeColor="text1"/>
                      <w:kern w:val="0"/>
                      <w:sz w:val="21"/>
                      <w:szCs w:val="21"/>
                      <w:highlight w:val="none"/>
                      <w:lang w:val="en-US" w:eastAsia="zh-CN" w:bidi="ar"/>
                      <w14:textFill>
                        <w14:solidFill>
                          <w14:schemeClr w14:val="tx1"/>
                        </w14:solidFill>
                      </w14:textFill>
                    </w:rPr>
                    <w:t>施工期</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配备一辆洒水车，对修复区施工面进行洒水降尘。</w:t>
                  </w:r>
                </w:p>
              </w:tc>
              <w:tc>
                <w:tcPr>
                  <w:tcW w:w="395" w:type="pct"/>
                  <w:vAlign w:val="center"/>
                </w:tcPr>
                <w:p w14:paraId="40BA634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148A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Merge w:val="continue"/>
                  <w:vAlign w:val="center"/>
                </w:tcPr>
                <w:p w14:paraId="34083FE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399" w:type="pct"/>
                  <w:vAlign w:val="center"/>
                </w:tcPr>
                <w:p w14:paraId="7722D26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废水</w:t>
                  </w:r>
                </w:p>
              </w:tc>
              <w:tc>
                <w:tcPr>
                  <w:tcW w:w="3945" w:type="pct"/>
                  <w:vAlign w:val="center"/>
                </w:tcPr>
                <w:p w14:paraId="5A8138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在</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北部矿坑修复区</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新建一个容积</w:t>
                  </w:r>
                  <w:r>
                    <w:rPr>
                      <w:rFonts w:hint="eastAsia" w:cs="Times New Roman"/>
                      <w:color w:val="000000" w:themeColor="text1"/>
                      <w:kern w:val="0"/>
                      <w:sz w:val="21"/>
                      <w:szCs w:val="21"/>
                      <w:highlight w:val="none"/>
                      <w:lang w:val="en-US" w:eastAsia="zh-CN" w:bidi="ar"/>
                      <w14:textFill>
                        <w14:solidFill>
                          <w14:schemeClr w14:val="tx1"/>
                        </w14:solidFill>
                      </w14:textFill>
                    </w:rPr>
                    <w:t>9.6</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m³的</w:t>
                  </w:r>
                  <w:r>
                    <w:rPr>
                      <w:rFonts w:hint="eastAsia" w:cs="Times New Roman"/>
                      <w:color w:val="000000" w:themeColor="text1"/>
                      <w:kern w:val="0"/>
                      <w:sz w:val="21"/>
                      <w:szCs w:val="21"/>
                      <w:highlight w:val="none"/>
                      <w:lang w:val="en-US" w:eastAsia="zh-CN" w:bidi="ar"/>
                      <w14:textFill>
                        <w14:solidFill>
                          <w14:schemeClr w14:val="tx1"/>
                        </w14:solidFill>
                      </w14:textFill>
                    </w:rPr>
                    <w:t>地下水</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收集</w:t>
                  </w:r>
                  <w:r>
                    <w:rPr>
                      <w:rFonts w:hint="eastAsia" w:cs="Times New Roman"/>
                      <w:color w:val="000000" w:themeColor="text1"/>
                      <w:kern w:val="0"/>
                      <w:sz w:val="21"/>
                      <w:szCs w:val="21"/>
                      <w:highlight w:val="none"/>
                      <w:lang w:val="en-US" w:eastAsia="zh-CN" w:bidi="ar"/>
                      <w14:textFill>
                        <w14:solidFill>
                          <w14:schemeClr w14:val="tx1"/>
                        </w14:solidFill>
                      </w14:textFill>
                    </w:rPr>
                    <w:t>池</w:t>
                  </w:r>
                  <w:r>
                    <w:rPr>
                      <w:rFonts w:hint="eastAsia"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和一个</w:t>
                  </w:r>
                  <w:r>
                    <w:rPr>
                      <w:rFonts w:hint="eastAsia" w:cs="Times New Roman"/>
                      <w:color w:val="000000" w:themeColor="text1"/>
                      <w:kern w:val="0"/>
                      <w:sz w:val="21"/>
                      <w:szCs w:val="21"/>
                      <w:highlight w:val="none"/>
                      <w:lang w:val="en-US" w:eastAsia="zh-CN" w:bidi="ar"/>
                      <w14:textFill>
                        <w14:solidFill>
                          <w14:schemeClr w14:val="tx1"/>
                        </w14:solidFill>
                      </w14:textFill>
                    </w:rPr>
                    <w:t>410</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m³的</w:t>
                  </w:r>
                  <w:r>
                    <w:rPr>
                      <w:rFonts w:hint="eastAsia" w:cs="Times New Roman"/>
                      <w:color w:val="000000" w:themeColor="text1"/>
                      <w:sz w:val="21"/>
                      <w:szCs w:val="21"/>
                      <w:highlight w:val="none"/>
                      <w:lang w:val="en-US" w:eastAsia="zh-CN"/>
                      <w14:textFill>
                        <w14:solidFill>
                          <w14:schemeClr w14:val="tx1"/>
                        </w14:solidFill>
                      </w14:textFill>
                    </w:rPr>
                    <w:t>渗滤液收集池</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用来收集渗滤液、在</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北部修复区</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新建一个容积为3m³的临时沉淀池收集处理车辆冲洗等施工废水</w:t>
                  </w: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在</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南部矿坑修复区</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新建一个容积</w:t>
                  </w:r>
                  <w:r>
                    <w:rPr>
                      <w:rFonts w:hint="eastAsia" w:cs="Times New Roman"/>
                      <w:color w:val="000000" w:themeColor="text1"/>
                      <w:kern w:val="0"/>
                      <w:sz w:val="21"/>
                      <w:szCs w:val="21"/>
                      <w:highlight w:val="none"/>
                      <w:lang w:val="en-US" w:eastAsia="zh-CN" w:bidi="ar"/>
                      <w14:textFill>
                        <w14:solidFill>
                          <w14:schemeClr w14:val="tx1"/>
                        </w14:solidFill>
                      </w14:textFill>
                    </w:rPr>
                    <w:t>7.36</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m³的</w:t>
                  </w:r>
                  <w:r>
                    <w:rPr>
                      <w:rFonts w:hint="eastAsia" w:cs="Times New Roman"/>
                      <w:color w:val="000000" w:themeColor="text1"/>
                      <w:kern w:val="0"/>
                      <w:sz w:val="21"/>
                      <w:szCs w:val="21"/>
                      <w:highlight w:val="none"/>
                      <w:lang w:val="en-US" w:eastAsia="zh-CN" w:bidi="ar"/>
                      <w14:textFill>
                        <w14:solidFill>
                          <w14:schemeClr w14:val="tx1"/>
                        </w14:solidFill>
                      </w14:textFill>
                    </w:rPr>
                    <w:t>地下水</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收集</w:t>
                  </w:r>
                  <w:r>
                    <w:rPr>
                      <w:rFonts w:hint="eastAsia" w:cs="Times New Roman"/>
                      <w:color w:val="000000" w:themeColor="text1"/>
                      <w:kern w:val="0"/>
                      <w:sz w:val="21"/>
                      <w:szCs w:val="21"/>
                      <w:highlight w:val="none"/>
                      <w:lang w:val="en-US" w:eastAsia="zh-CN" w:bidi="ar"/>
                      <w14:textFill>
                        <w14:solidFill>
                          <w14:schemeClr w14:val="tx1"/>
                        </w14:solidFill>
                      </w14:textFill>
                    </w:rPr>
                    <w:t>池</w:t>
                  </w:r>
                  <w:r>
                    <w:rPr>
                      <w:rFonts w:hint="eastAsia"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和一个</w:t>
                  </w:r>
                  <w:r>
                    <w:rPr>
                      <w:rFonts w:hint="eastAsia" w:cs="Times New Roman"/>
                      <w:color w:val="000000" w:themeColor="text1"/>
                      <w:kern w:val="0"/>
                      <w:sz w:val="21"/>
                      <w:szCs w:val="21"/>
                      <w:highlight w:val="none"/>
                      <w:lang w:val="en-US" w:eastAsia="zh-CN" w:bidi="ar"/>
                      <w14:textFill>
                        <w14:solidFill>
                          <w14:schemeClr w14:val="tx1"/>
                        </w14:solidFill>
                      </w14:textFill>
                    </w:rPr>
                    <w:t>425</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m³的</w:t>
                  </w:r>
                  <w:r>
                    <w:rPr>
                      <w:rFonts w:hint="eastAsia" w:cs="Times New Roman"/>
                      <w:color w:val="000000" w:themeColor="text1"/>
                      <w:sz w:val="21"/>
                      <w:szCs w:val="21"/>
                      <w:highlight w:val="none"/>
                      <w:lang w:val="en-US" w:eastAsia="zh-CN"/>
                      <w14:textFill>
                        <w14:solidFill>
                          <w14:schemeClr w14:val="tx1"/>
                        </w14:solidFill>
                      </w14:textFill>
                    </w:rPr>
                    <w:t>渗滤液收集池</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用来收集渗滤液、在</w:t>
                  </w:r>
                  <w:r>
                    <w:rPr>
                      <w:rFonts w:hint="eastAsia"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南部矿坑修复区</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新建一个容积为3m³的临时沉淀池收集处理车辆冲洗等施工废水</w:t>
                  </w:r>
                  <w:r>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t>；</w:t>
                  </w:r>
                </w:p>
              </w:tc>
              <w:tc>
                <w:tcPr>
                  <w:tcW w:w="395" w:type="pct"/>
                  <w:vAlign w:val="center"/>
                </w:tcPr>
                <w:p w14:paraId="339403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3506D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Merge w:val="continue"/>
                  <w:vAlign w:val="center"/>
                </w:tcPr>
                <w:p w14:paraId="085A8C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399" w:type="pct"/>
                  <w:vAlign w:val="center"/>
                </w:tcPr>
                <w:p w14:paraId="598A97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固体废物</w:t>
                  </w:r>
                </w:p>
              </w:tc>
              <w:tc>
                <w:tcPr>
                  <w:tcW w:w="3945" w:type="pct"/>
                  <w:vAlign w:val="center"/>
                </w:tcPr>
                <w:p w14:paraId="47B875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1、生活垃圾：施工期生活垃圾集中收集后清运至就近村庄生活垃圾收集点堆存，委托环卫部门清运。</w:t>
                  </w:r>
                </w:p>
                <w:p w14:paraId="4CCDDF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2、旱厕粪便：施工期</w:t>
                  </w:r>
                  <w:r>
                    <w:rPr>
                      <w:rFonts w:hint="default" w:ascii="Times New Roman" w:hAnsi="Times New Roman" w:eastAsia="宋体" w:cs="Times New Roman"/>
                      <w:color w:val="000000" w:themeColor="text1"/>
                      <w:kern w:val="0"/>
                      <w:sz w:val="21"/>
                      <w:szCs w:val="21"/>
                      <w:highlight w:val="none"/>
                      <w:lang w:val="en-US" w:eastAsia="zh-CN" w:bidi="ar"/>
                      <w14:textFill>
                        <w14:solidFill>
                          <w14:schemeClr w14:val="tx1"/>
                        </w14:solidFill>
                      </w14:textFill>
                    </w:rPr>
                    <w:t>人员如厕依托原采石场办公用房已建</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旱厕，旱厕粪便委托环卫部门定期清运定期，待施工结束后拆除旱厕。</w:t>
                  </w:r>
                </w:p>
                <w:p w14:paraId="6EB9060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3、场地清理土石方：施工期场地清理及边坡整治产生的土石方用于场地平整回填。</w:t>
                  </w:r>
                </w:p>
                <w:p w14:paraId="600C8AC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4、拆除工程固体废物：现场遗留建筑物主要为</w:t>
                  </w:r>
                  <w:r>
                    <w:rPr>
                      <w:rFonts w:hint="eastAsia" w:cs="Times New Roman"/>
                      <w:color w:val="000000" w:themeColor="text1"/>
                      <w:kern w:val="0"/>
                      <w:sz w:val="21"/>
                      <w:szCs w:val="21"/>
                      <w:highlight w:val="none"/>
                      <w:lang w:val="en-US" w:eastAsia="zh-CN" w:bidi="ar"/>
                      <w14:textFill>
                        <w14:solidFill>
                          <w14:schemeClr w14:val="tx1"/>
                        </w14:solidFill>
                      </w14:textFill>
                    </w:rPr>
                    <w:t>原采石场遗留的构筑物</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，均为</w:t>
                  </w:r>
                  <w:r>
                    <w:rPr>
                      <w:rFonts w:hint="eastAsia" w:cs="Times New Roman"/>
                      <w:color w:val="000000" w:themeColor="text1"/>
                      <w:kern w:val="0"/>
                      <w:sz w:val="21"/>
                      <w:szCs w:val="21"/>
                      <w:highlight w:val="none"/>
                      <w:lang w:val="en-US" w:eastAsia="zh-CN" w:bidi="ar"/>
                      <w14:textFill>
                        <w14:solidFill>
                          <w14:schemeClr w14:val="tx1"/>
                        </w14:solidFill>
                      </w14:textFill>
                    </w:rPr>
                    <w:t>彩钢瓦</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结构，拆除遗留建筑物时产生的建筑垃圾清运至政府指定地点进行处置。</w:t>
                  </w:r>
                </w:p>
              </w:tc>
              <w:tc>
                <w:tcPr>
                  <w:tcW w:w="395" w:type="pct"/>
                  <w:vAlign w:val="center"/>
                </w:tcPr>
                <w:p w14:paraId="1591DE1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7F4C9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Merge w:val="continue"/>
                  <w:vAlign w:val="center"/>
                </w:tcPr>
                <w:p w14:paraId="303EECE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p>
              </w:tc>
              <w:tc>
                <w:tcPr>
                  <w:tcW w:w="399" w:type="pct"/>
                  <w:vAlign w:val="center"/>
                </w:tcPr>
                <w:p w14:paraId="252B618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地下水</w:t>
                  </w:r>
                </w:p>
              </w:tc>
              <w:tc>
                <w:tcPr>
                  <w:tcW w:w="3945" w:type="pct"/>
                  <w:vAlign w:val="center"/>
                </w:tcPr>
                <w:p w14:paraId="744EFE4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1、防渗</w:t>
                  </w:r>
                </w:p>
                <w:p w14:paraId="120B1A5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渗滤液收集池、地下水收集池均采用钢筋混凝土矩形水池。渗滤液收集池、地下水收集池均采用C30钢筋混凝土，周边壁厚300mm，底板厚度300mm，底板下设置100mm混凝土垫层，以素填土层作为基础持力层，渗滤液收集池、地下水收集池混凝土等级C30，钢筋等级选用HRB400，钢筋保护层厚度30mm，渗滤液收集池、地下水收集池内外壁涂刷一层沥青漆防腐，同时池内壁铺设复合HDPE防渗膜防渗，规格：400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土工布＋1.5mmHDPE膜+400g/m</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土工布。</w:t>
                  </w:r>
                </w:p>
                <w:p w14:paraId="18C4A6A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2、监控井</w:t>
                  </w:r>
                </w:p>
                <w:p w14:paraId="7DAB3774">
                  <w:pPr>
                    <w:pStyle w:val="64"/>
                    <w:bidi w:val="0"/>
                    <w:jc w:val="both"/>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根据《改性磷石膏用于矿山废弃地生态修复回填技术规范》（DB53/T1269-2024）</w:t>
                  </w:r>
                  <w:r>
                    <w:rPr>
                      <w:rFonts w:hint="default" w:ascii="Times New Roman" w:hAnsi="Times New Roman" w:cs="Times New Roman"/>
                      <w:color w:val="000000" w:themeColor="text1"/>
                      <w:kern w:val="0"/>
                      <w:sz w:val="21"/>
                      <w:szCs w:val="21"/>
                      <w:highlight w:val="none"/>
                      <w:lang w:eastAsia="zh-CN" w:bidi="ar"/>
                      <w14:textFill>
                        <w14:solidFill>
                          <w14:schemeClr w14:val="tx1"/>
                        </w14:solidFill>
                      </w14:textFill>
                    </w:rPr>
                    <w:t>、</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《环境影响评价技术导则 地下水环境》（HJ610-2016）</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，并结合项目实际水文地质调查情况，</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设置7个地下水水质监测井，其中上游1个，垂直于地下水主径流方向分别布设3个水质监测井，代表矿坑测游污染扩散井，下游布设1个水质监测井，新石桥村设置2口监控井。</w:t>
                  </w:r>
                </w:p>
              </w:tc>
              <w:tc>
                <w:tcPr>
                  <w:tcW w:w="395" w:type="pct"/>
                  <w:vAlign w:val="center"/>
                </w:tcPr>
                <w:p w14:paraId="56A1D71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r w14:paraId="6540B3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9" w:type="pct"/>
                  <w:vAlign w:val="center"/>
                </w:tcPr>
                <w:p w14:paraId="19ADF08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环境监测工程</w:t>
                  </w:r>
                </w:p>
              </w:tc>
              <w:tc>
                <w:tcPr>
                  <w:tcW w:w="4345" w:type="pct"/>
                  <w:gridSpan w:val="2"/>
                  <w:vAlign w:val="center"/>
                </w:tcPr>
                <w:p w14:paraId="1750324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位移监测：在项目竣工后，为监测堆填区堆填体稳定性，共设置20个堆填体边坡变形监测点，12个位移监测基准点。</w:t>
                  </w:r>
                </w:p>
                <w:p w14:paraId="4CD2C53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渗漏检测：项目回填区设置渗漏监控系统，监控防渗衬层完整性。设置防渗衬层渗漏监测设备。</w:t>
                  </w:r>
                </w:p>
                <w:p w14:paraId="2D49926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地下水收集检测：项目地下水导排盲沟接地下水收集</w:t>
                  </w:r>
                  <w:r>
                    <w:rPr>
                      <w:rFonts w:hint="eastAsia" w:cs="Times New Roman"/>
                      <w:color w:val="000000" w:themeColor="text1"/>
                      <w:kern w:val="0"/>
                      <w:sz w:val="21"/>
                      <w:szCs w:val="21"/>
                      <w:highlight w:val="none"/>
                      <w:lang w:val="en-US" w:eastAsia="zh-CN" w:bidi="ar"/>
                      <w14:textFill>
                        <w14:solidFill>
                          <w14:schemeClr w14:val="tx1"/>
                        </w14:solidFill>
                      </w14:textFill>
                    </w:rPr>
                    <w:t>池</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，有地下水渗出时，需随时检测地下水水质情况。</w:t>
                  </w:r>
                </w:p>
                <w:p w14:paraId="7B46F12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渗滤液监测：对渗滤液收集</w:t>
                  </w:r>
                  <w:r>
                    <w:rPr>
                      <w:rFonts w:hint="eastAsia" w:cs="Times New Roman"/>
                      <w:color w:val="000000" w:themeColor="text1"/>
                      <w:kern w:val="0"/>
                      <w:sz w:val="21"/>
                      <w:szCs w:val="21"/>
                      <w:highlight w:val="none"/>
                      <w:lang w:val="en-US" w:eastAsia="zh-CN" w:bidi="ar"/>
                      <w14:textFill>
                        <w14:solidFill>
                          <w14:schemeClr w14:val="tx1"/>
                        </w14:solidFill>
                      </w14:textFill>
                    </w:rPr>
                    <w:t>池</w:t>
                  </w: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的水质、出水量等进行定期观测并记录。</w:t>
                  </w:r>
                </w:p>
                <w:p w14:paraId="01C0181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kern w:val="0"/>
                      <w:sz w:val="21"/>
                      <w:szCs w:val="21"/>
                      <w:highlight w:val="none"/>
                      <w:lang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地下水水质监测：</w:t>
                  </w:r>
                  <w:r>
                    <w:rPr>
                      <w:rFonts w:hint="default" w:ascii="Times New Roman" w:hAnsi="Times New Roman" w:cs="Times New Roman"/>
                      <w:color w:val="000000" w:themeColor="text1"/>
                      <w:sz w:val="21"/>
                      <w:szCs w:val="21"/>
                      <w:highlight w:val="none"/>
                      <w:lang w:val="en-US" w:eastAsia="zh-CN"/>
                      <w14:textFill>
                        <w14:solidFill>
                          <w14:schemeClr w14:val="tx1"/>
                        </w14:solidFill>
                      </w14:textFill>
                    </w:rPr>
                    <w:t>设置7个地下水水质监测井，其中上游1个，垂直于地下水主径流方向分别布设3个水质监测井，代表矿坑测游污染扩散井，下游布设1个水质监测井，新石桥村设置2口监控井。</w:t>
                  </w:r>
                </w:p>
              </w:tc>
              <w:tc>
                <w:tcPr>
                  <w:tcW w:w="395" w:type="pct"/>
                  <w:vAlign w:val="center"/>
                </w:tcPr>
                <w:p w14:paraId="51A938B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bidi="ar"/>
                      <w14:textFill>
                        <w14:solidFill>
                          <w14:schemeClr w14:val="tx1"/>
                        </w14:solidFill>
                      </w14:textFill>
                    </w:rPr>
                    <w:t>新建</w:t>
                  </w:r>
                </w:p>
              </w:tc>
            </w:tr>
          </w:tbl>
          <w:p w14:paraId="14F00867">
            <w:pPr>
              <w:snapToGrid w:val="0"/>
              <w:spacing w:line="360" w:lineRule="auto"/>
              <w:ind w:right="-1" w:firstLine="480" w:firstLineChars="200"/>
              <w:rPr>
                <w:rFonts w:ascii="宋体" w:hAnsi="宋体"/>
                <w:kern w:val="0"/>
                <w:sz w:val="24"/>
              </w:rPr>
            </w:pPr>
            <w:r>
              <w:rPr>
                <w:rFonts w:hint="eastAsia" w:ascii="宋体" w:hAnsi="宋体" w:cs="Arial"/>
                <w:sz w:val="24"/>
                <w:shd w:val="clear" w:color="auto" w:fill="FFFFFF"/>
              </w:rPr>
              <w:t>本次</w:t>
            </w:r>
            <w:r>
              <w:rPr>
                <w:rFonts w:hint="eastAsia" w:ascii="宋体" w:hAnsi="宋体"/>
                <w:kern w:val="0"/>
                <w:sz w:val="24"/>
              </w:rPr>
              <w:t>生态修复治理范围为</w:t>
            </w:r>
            <w:r>
              <w:rPr>
                <w:rFonts w:hint="eastAsia" w:ascii="宋体" w:hAnsi="宋体" w:cs="Arial"/>
                <w:sz w:val="24"/>
                <w:shd w:val="clear" w:color="auto" w:fill="FFFFFF"/>
              </w:rPr>
              <w:t>寻甸县鸡街镇大璇塘采石场2个露采矿坑，</w:t>
            </w:r>
            <w:r>
              <w:rPr>
                <w:rFonts w:hint="eastAsia" w:ascii="宋体" w:hAnsi="宋体"/>
                <w:kern w:val="0"/>
                <w:sz w:val="24"/>
              </w:rPr>
              <w:t>以实际采矿损毁区域为治理目标，圈定修复面积</w:t>
            </w:r>
            <w:r>
              <w:rPr>
                <w:rFonts w:hint="default" w:ascii="Times New Roman" w:hAnsi="Times New Roman" w:cs="Times New Roman"/>
                <w:kern w:val="0"/>
                <w:sz w:val="24"/>
              </w:rPr>
              <w:t>12.7097hm</w:t>
            </w:r>
            <w:r>
              <w:rPr>
                <w:rFonts w:hint="default" w:ascii="Times New Roman" w:hAnsi="Times New Roman" w:cs="Times New Roman"/>
                <w:kern w:val="0"/>
                <w:sz w:val="24"/>
                <w:vertAlign w:val="superscript"/>
              </w:rPr>
              <w:t>2</w:t>
            </w:r>
            <w:r>
              <w:rPr>
                <w:rFonts w:hint="default" w:ascii="Times New Roman" w:hAnsi="Times New Roman" w:cs="Times New Roman"/>
                <w:kern w:val="0"/>
                <w:sz w:val="24"/>
              </w:rPr>
              <w:t>。</w:t>
            </w:r>
          </w:p>
          <w:p w14:paraId="2BADE1FF">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ascii="宋体" w:hAnsi="宋体"/>
                <w:b/>
                <w:bCs/>
                <w:kern w:val="0"/>
                <w:sz w:val="24"/>
              </w:rPr>
            </w:pPr>
            <w:r>
              <w:rPr>
                <w:rFonts w:hint="default" w:ascii="Times New Roman" w:hAnsi="Times New Roman" w:cs="Times New Roman"/>
                <w:b/>
                <w:bCs/>
                <w:sz w:val="24"/>
                <w:shd w:val="clear" w:color="auto" w:fill="FFFFFF"/>
              </w:rPr>
              <w:t>表</w:t>
            </w:r>
            <w:r>
              <w:rPr>
                <w:rFonts w:hint="eastAsia" w:cs="Times New Roman"/>
                <w:b/>
                <w:bCs/>
                <w:sz w:val="24"/>
                <w:shd w:val="clear" w:color="auto" w:fill="FFFFFF"/>
                <w:lang w:val="en-US" w:eastAsia="zh-CN"/>
              </w:rPr>
              <w:t>2-2</w:t>
            </w:r>
            <w:r>
              <w:rPr>
                <w:rFonts w:hint="default" w:ascii="Times New Roman" w:hAnsi="Times New Roman" w:cs="Times New Roman"/>
                <w:b/>
                <w:bCs/>
                <w:sz w:val="24"/>
                <w:shd w:val="clear" w:color="auto" w:fill="FFFFFF"/>
              </w:rPr>
              <w:t xml:space="preserve">  </w:t>
            </w:r>
            <w:r>
              <w:rPr>
                <w:rFonts w:hint="eastAsia" w:ascii="宋体" w:hAnsi="宋体" w:cs="Arial"/>
                <w:b/>
                <w:bCs/>
                <w:sz w:val="24"/>
                <w:shd w:val="clear" w:color="auto" w:fill="FFFFFF"/>
              </w:rPr>
              <w:t>寻甸县鸡街镇大璇塘北部采石场矿山生态修复范围坐标表</w:t>
            </w:r>
          </w:p>
          <w:tbl>
            <w:tblPr>
              <w:tblStyle w:val="40"/>
              <w:tblW w:w="9266" w:type="dxa"/>
              <w:tblInd w:w="94" w:type="dxa"/>
              <w:tblLayout w:type="autofit"/>
              <w:tblCellMar>
                <w:top w:w="0" w:type="dxa"/>
                <w:left w:w="108" w:type="dxa"/>
                <w:bottom w:w="0" w:type="dxa"/>
                <w:right w:w="108" w:type="dxa"/>
              </w:tblCellMar>
            </w:tblPr>
            <w:tblGrid>
              <w:gridCol w:w="1080"/>
              <w:gridCol w:w="1536"/>
              <w:gridCol w:w="1870"/>
              <w:gridCol w:w="980"/>
              <w:gridCol w:w="1900"/>
              <w:gridCol w:w="1900"/>
            </w:tblGrid>
            <w:tr w14:paraId="41F8FCBF">
              <w:tblPrEx>
                <w:tblCellMar>
                  <w:top w:w="0" w:type="dxa"/>
                  <w:left w:w="108" w:type="dxa"/>
                  <w:bottom w:w="0" w:type="dxa"/>
                  <w:right w:w="108" w:type="dxa"/>
                </w:tblCellMar>
              </w:tblPrEx>
              <w:trPr>
                <w:trHeight w:val="375" w:hRule="atLeast"/>
              </w:trPr>
              <w:tc>
                <w:tcPr>
                  <w:tcW w:w="1080"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14:paraId="20D22CF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点号</w:t>
                  </w:r>
                </w:p>
              </w:tc>
              <w:tc>
                <w:tcPr>
                  <w:tcW w:w="3406" w:type="dxa"/>
                  <w:gridSpan w:val="2"/>
                  <w:tcBorders>
                    <w:top w:val="single" w:color="auto" w:sz="8" w:space="0"/>
                    <w:left w:val="nil"/>
                    <w:bottom w:val="single" w:color="auto" w:sz="4" w:space="0"/>
                    <w:right w:val="single" w:color="auto" w:sz="4" w:space="0"/>
                  </w:tcBorders>
                  <w:shd w:val="clear" w:color="auto" w:fill="auto"/>
                  <w:noWrap/>
                  <w:vAlign w:val="center"/>
                </w:tcPr>
                <w:p w14:paraId="0458F8E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2000坐标系</w:t>
                  </w:r>
                </w:p>
              </w:tc>
              <w:tc>
                <w:tcPr>
                  <w:tcW w:w="980" w:type="dxa"/>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14:paraId="2ACD43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点号</w:t>
                  </w:r>
                </w:p>
              </w:tc>
              <w:tc>
                <w:tcPr>
                  <w:tcW w:w="3800" w:type="dxa"/>
                  <w:gridSpan w:val="2"/>
                  <w:tcBorders>
                    <w:top w:val="single" w:color="auto" w:sz="8" w:space="0"/>
                    <w:left w:val="nil"/>
                    <w:bottom w:val="single" w:color="auto" w:sz="4" w:space="0"/>
                    <w:right w:val="single" w:color="000000" w:sz="8" w:space="0"/>
                  </w:tcBorders>
                  <w:shd w:val="clear" w:color="auto" w:fill="auto"/>
                  <w:noWrap/>
                  <w:vAlign w:val="center"/>
                </w:tcPr>
                <w:p w14:paraId="697F2F6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2000坐标系</w:t>
                  </w:r>
                </w:p>
              </w:tc>
            </w:tr>
            <w:tr w14:paraId="61F73BF8">
              <w:tblPrEx>
                <w:tblCellMar>
                  <w:top w:w="0" w:type="dxa"/>
                  <w:left w:w="108" w:type="dxa"/>
                  <w:bottom w:w="0" w:type="dxa"/>
                  <w:right w:w="108" w:type="dxa"/>
                </w:tblCellMar>
              </w:tblPrEx>
              <w:trPr>
                <w:trHeight w:val="270" w:hRule="atLeast"/>
              </w:trPr>
              <w:tc>
                <w:tcPr>
                  <w:tcW w:w="1080" w:type="dxa"/>
                  <w:vMerge w:val="continue"/>
                  <w:tcBorders>
                    <w:top w:val="single" w:color="auto" w:sz="8" w:space="0"/>
                    <w:left w:val="single" w:color="auto" w:sz="8" w:space="0"/>
                    <w:bottom w:val="single" w:color="auto" w:sz="4" w:space="0"/>
                    <w:right w:val="single" w:color="auto" w:sz="4" w:space="0"/>
                  </w:tcBorders>
                  <w:vAlign w:val="center"/>
                </w:tcPr>
                <w:p w14:paraId="70531D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kern w:val="0"/>
                      <w:sz w:val="21"/>
                      <w:szCs w:val="21"/>
                    </w:rPr>
                  </w:pPr>
                </w:p>
              </w:tc>
              <w:tc>
                <w:tcPr>
                  <w:tcW w:w="1536" w:type="dxa"/>
                  <w:tcBorders>
                    <w:top w:val="nil"/>
                    <w:left w:val="nil"/>
                    <w:bottom w:val="single" w:color="auto" w:sz="4" w:space="0"/>
                    <w:right w:val="single" w:color="auto" w:sz="4" w:space="0"/>
                  </w:tcBorders>
                  <w:shd w:val="clear" w:color="auto" w:fill="auto"/>
                  <w:noWrap/>
                  <w:vAlign w:val="center"/>
                </w:tcPr>
                <w:p w14:paraId="7FF7A6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X</w:t>
                  </w:r>
                </w:p>
              </w:tc>
              <w:tc>
                <w:tcPr>
                  <w:tcW w:w="1870" w:type="dxa"/>
                  <w:tcBorders>
                    <w:top w:val="nil"/>
                    <w:left w:val="nil"/>
                    <w:bottom w:val="single" w:color="auto" w:sz="4" w:space="0"/>
                    <w:right w:val="single" w:color="auto" w:sz="4" w:space="0"/>
                  </w:tcBorders>
                  <w:shd w:val="clear" w:color="auto" w:fill="auto"/>
                  <w:noWrap/>
                  <w:vAlign w:val="center"/>
                </w:tcPr>
                <w:p w14:paraId="5604763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Y</w:t>
                  </w:r>
                </w:p>
              </w:tc>
              <w:tc>
                <w:tcPr>
                  <w:tcW w:w="980" w:type="dxa"/>
                  <w:vMerge w:val="continue"/>
                  <w:tcBorders>
                    <w:top w:val="single" w:color="auto" w:sz="8" w:space="0"/>
                    <w:left w:val="single" w:color="auto" w:sz="4" w:space="0"/>
                    <w:bottom w:val="single" w:color="auto" w:sz="4" w:space="0"/>
                    <w:right w:val="single" w:color="auto" w:sz="4" w:space="0"/>
                  </w:tcBorders>
                  <w:vAlign w:val="center"/>
                </w:tcPr>
                <w:p w14:paraId="7CE20D3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kern w:val="0"/>
                      <w:sz w:val="21"/>
                      <w:szCs w:val="21"/>
                    </w:rPr>
                  </w:pPr>
                </w:p>
              </w:tc>
              <w:tc>
                <w:tcPr>
                  <w:tcW w:w="1900" w:type="dxa"/>
                  <w:tcBorders>
                    <w:top w:val="nil"/>
                    <w:left w:val="nil"/>
                    <w:bottom w:val="single" w:color="auto" w:sz="4" w:space="0"/>
                    <w:right w:val="single" w:color="auto" w:sz="4" w:space="0"/>
                  </w:tcBorders>
                  <w:shd w:val="clear" w:color="auto" w:fill="auto"/>
                  <w:noWrap/>
                  <w:vAlign w:val="center"/>
                </w:tcPr>
                <w:p w14:paraId="2B0722E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X</w:t>
                  </w:r>
                </w:p>
              </w:tc>
              <w:tc>
                <w:tcPr>
                  <w:tcW w:w="1900" w:type="dxa"/>
                  <w:tcBorders>
                    <w:top w:val="nil"/>
                    <w:left w:val="nil"/>
                    <w:bottom w:val="single" w:color="auto" w:sz="4" w:space="0"/>
                    <w:right w:val="single" w:color="auto" w:sz="8" w:space="0"/>
                  </w:tcBorders>
                  <w:shd w:val="clear" w:color="auto" w:fill="auto"/>
                  <w:noWrap/>
                  <w:vAlign w:val="center"/>
                </w:tcPr>
                <w:p w14:paraId="2F8481E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Y</w:t>
                  </w:r>
                </w:p>
              </w:tc>
            </w:tr>
            <w:tr w14:paraId="5CCC6A15">
              <w:tblPrEx>
                <w:tblCellMar>
                  <w:top w:w="0" w:type="dxa"/>
                  <w:left w:w="108" w:type="dxa"/>
                  <w:bottom w:w="0" w:type="dxa"/>
                  <w:right w:w="108" w:type="dxa"/>
                </w:tblCellMar>
              </w:tblPrEx>
              <w:trPr>
                <w:trHeight w:val="270"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49291FE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536" w:type="dxa"/>
                  <w:tcBorders>
                    <w:top w:val="single" w:color="auto" w:sz="4" w:space="0"/>
                    <w:left w:val="nil"/>
                    <w:bottom w:val="single" w:color="auto" w:sz="4" w:space="0"/>
                    <w:right w:val="single" w:color="auto" w:sz="4" w:space="0"/>
                  </w:tcBorders>
                  <w:shd w:val="clear" w:color="auto" w:fill="auto"/>
                  <w:noWrap/>
                  <w:vAlign w:val="center"/>
                </w:tcPr>
                <w:p w14:paraId="7318C9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2833118.531 </w:t>
                  </w:r>
                </w:p>
              </w:tc>
              <w:tc>
                <w:tcPr>
                  <w:tcW w:w="1870" w:type="dxa"/>
                  <w:tcBorders>
                    <w:top w:val="single" w:color="auto" w:sz="4" w:space="0"/>
                    <w:left w:val="nil"/>
                    <w:bottom w:val="single" w:color="auto" w:sz="4" w:space="0"/>
                    <w:right w:val="single" w:color="auto" w:sz="4" w:space="0"/>
                  </w:tcBorders>
                  <w:shd w:val="clear" w:color="auto" w:fill="auto"/>
                  <w:noWrap/>
                  <w:vAlign w:val="center"/>
                </w:tcPr>
                <w:p w14:paraId="483E5B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580880.1836 </w:t>
                  </w:r>
                </w:p>
              </w:tc>
              <w:tc>
                <w:tcPr>
                  <w:tcW w:w="980" w:type="dxa"/>
                  <w:tcBorders>
                    <w:top w:val="single" w:color="auto" w:sz="4" w:space="0"/>
                    <w:left w:val="nil"/>
                    <w:bottom w:val="single" w:color="auto" w:sz="4" w:space="0"/>
                    <w:right w:val="single" w:color="auto" w:sz="4" w:space="0"/>
                  </w:tcBorders>
                  <w:shd w:val="clear" w:color="auto" w:fill="auto"/>
                  <w:noWrap/>
                  <w:vAlign w:val="center"/>
                </w:tcPr>
                <w:p w14:paraId="3CFCD1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34</w:t>
                  </w:r>
                </w:p>
              </w:tc>
              <w:tc>
                <w:tcPr>
                  <w:tcW w:w="1900" w:type="dxa"/>
                  <w:tcBorders>
                    <w:top w:val="single" w:color="auto" w:sz="4" w:space="0"/>
                    <w:left w:val="nil"/>
                    <w:bottom w:val="single" w:color="auto" w:sz="4" w:space="0"/>
                    <w:right w:val="single" w:color="auto" w:sz="4" w:space="0"/>
                  </w:tcBorders>
                  <w:shd w:val="clear" w:color="auto" w:fill="auto"/>
                  <w:noWrap/>
                  <w:vAlign w:val="center"/>
                </w:tcPr>
                <w:p w14:paraId="1C1979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2833294.116 </w:t>
                  </w:r>
                </w:p>
              </w:tc>
              <w:tc>
                <w:tcPr>
                  <w:tcW w:w="1900" w:type="dxa"/>
                  <w:tcBorders>
                    <w:top w:val="single" w:color="auto" w:sz="4" w:space="0"/>
                    <w:left w:val="nil"/>
                    <w:bottom w:val="single" w:color="auto" w:sz="4" w:space="0"/>
                    <w:right w:val="single" w:color="auto" w:sz="4" w:space="0"/>
                  </w:tcBorders>
                  <w:shd w:val="clear" w:color="auto" w:fill="auto"/>
                  <w:noWrap/>
                  <w:vAlign w:val="center"/>
                </w:tcPr>
                <w:p w14:paraId="24D40B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580660.0840 </w:t>
                  </w:r>
                </w:p>
              </w:tc>
            </w:tr>
            <w:tr w14:paraId="3476ECC6">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3ADCB5D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536" w:type="dxa"/>
                  <w:tcBorders>
                    <w:top w:val="nil"/>
                    <w:left w:val="nil"/>
                    <w:bottom w:val="single" w:color="auto" w:sz="4" w:space="0"/>
                    <w:right w:val="single" w:color="auto" w:sz="4" w:space="0"/>
                  </w:tcBorders>
                  <w:shd w:val="clear" w:color="auto" w:fill="auto"/>
                  <w:noWrap/>
                  <w:vAlign w:val="center"/>
                </w:tcPr>
                <w:p w14:paraId="4E79BE1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2833099.425 </w:t>
                  </w:r>
                </w:p>
              </w:tc>
              <w:tc>
                <w:tcPr>
                  <w:tcW w:w="1870" w:type="dxa"/>
                  <w:tcBorders>
                    <w:top w:val="nil"/>
                    <w:left w:val="nil"/>
                    <w:bottom w:val="single" w:color="auto" w:sz="4" w:space="0"/>
                    <w:right w:val="single" w:color="auto" w:sz="4" w:space="0"/>
                  </w:tcBorders>
                  <w:shd w:val="clear" w:color="auto" w:fill="auto"/>
                  <w:noWrap/>
                  <w:vAlign w:val="center"/>
                </w:tcPr>
                <w:p w14:paraId="1C9BDB8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580868.8178 </w:t>
                  </w:r>
                </w:p>
              </w:tc>
              <w:tc>
                <w:tcPr>
                  <w:tcW w:w="980" w:type="dxa"/>
                  <w:tcBorders>
                    <w:top w:val="nil"/>
                    <w:left w:val="nil"/>
                    <w:bottom w:val="single" w:color="auto" w:sz="4" w:space="0"/>
                    <w:right w:val="single" w:color="auto" w:sz="4" w:space="0"/>
                  </w:tcBorders>
                  <w:shd w:val="clear" w:color="auto" w:fill="auto"/>
                  <w:noWrap/>
                  <w:vAlign w:val="center"/>
                </w:tcPr>
                <w:p w14:paraId="355446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35</w:t>
                  </w:r>
                </w:p>
              </w:tc>
              <w:tc>
                <w:tcPr>
                  <w:tcW w:w="1900" w:type="dxa"/>
                  <w:tcBorders>
                    <w:top w:val="nil"/>
                    <w:left w:val="nil"/>
                    <w:bottom w:val="single" w:color="auto" w:sz="4" w:space="0"/>
                    <w:right w:val="single" w:color="auto" w:sz="4" w:space="0"/>
                  </w:tcBorders>
                  <w:shd w:val="clear" w:color="auto" w:fill="auto"/>
                  <w:noWrap/>
                  <w:vAlign w:val="center"/>
                </w:tcPr>
                <w:p w14:paraId="2D694D1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2833304.649 </w:t>
                  </w:r>
                </w:p>
              </w:tc>
              <w:tc>
                <w:tcPr>
                  <w:tcW w:w="1900" w:type="dxa"/>
                  <w:tcBorders>
                    <w:top w:val="nil"/>
                    <w:left w:val="nil"/>
                    <w:bottom w:val="single" w:color="auto" w:sz="4" w:space="0"/>
                    <w:right w:val="single" w:color="auto" w:sz="4" w:space="0"/>
                  </w:tcBorders>
                  <w:shd w:val="clear" w:color="auto" w:fill="auto"/>
                  <w:noWrap/>
                  <w:vAlign w:val="center"/>
                </w:tcPr>
                <w:p w14:paraId="4B88909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580657.7592 </w:t>
                  </w:r>
                </w:p>
              </w:tc>
            </w:tr>
            <w:tr w14:paraId="26C256F1">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0159997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1536" w:type="dxa"/>
                  <w:tcBorders>
                    <w:top w:val="nil"/>
                    <w:left w:val="nil"/>
                    <w:bottom w:val="single" w:color="auto" w:sz="4" w:space="0"/>
                    <w:right w:val="single" w:color="auto" w:sz="4" w:space="0"/>
                  </w:tcBorders>
                  <w:shd w:val="clear" w:color="auto" w:fill="auto"/>
                  <w:noWrap/>
                  <w:vAlign w:val="center"/>
                </w:tcPr>
                <w:p w14:paraId="4FFA558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2833082.756 </w:t>
                  </w:r>
                </w:p>
              </w:tc>
              <w:tc>
                <w:tcPr>
                  <w:tcW w:w="1870" w:type="dxa"/>
                  <w:tcBorders>
                    <w:top w:val="nil"/>
                    <w:left w:val="nil"/>
                    <w:bottom w:val="single" w:color="auto" w:sz="4" w:space="0"/>
                    <w:right w:val="single" w:color="auto" w:sz="4" w:space="0"/>
                  </w:tcBorders>
                  <w:shd w:val="clear" w:color="auto" w:fill="auto"/>
                  <w:noWrap/>
                  <w:vAlign w:val="center"/>
                </w:tcPr>
                <w:p w14:paraId="77DFA7D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580857.7052 </w:t>
                  </w:r>
                </w:p>
              </w:tc>
              <w:tc>
                <w:tcPr>
                  <w:tcW w:w="980" w:type="dxa"/>
                  <w:tcBorders>
                    <w:top w:val="nil"/>
                    <w:left w:val="nil"/>
                    <w:bottom w:val="single" w:color="auto" w:sz="4" w:space="0"/>
                    <w:right w:val="single" w:color="auto" w:sz="4" w:space="0"/>
                  </w:tcBorders>
                  <w:shd w:val="clear" w:color="auto" w:fill="auto"/>
                  <w:noWrap/>
                  <w:vAlign w:val="center"/>
                </w:tcPr>
                <w:p w14:paraId="3C16BCD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36</w:t>
                  </w:r>
                </w:p>
              </w:tc>
              <w:tc>
                <w:tcPr>
                  <w:tcW w:w="1900" w:type="dxa"/>
                  <w:tcBorders>
                    <w:top w:val="nil"/>
                    <w:left w:val="nil"/>
                    <w:bottom w:val="single" w:color="auto" w:sz="4" w:space="0"/>
                    <w:right w:val="single" w:color="auto" w:sz="4" w:space="0"/>
                  </w:tcBorders>
                  <w:shd w:val="clear" w:color="auto" w:fill="auto"/>
                  <w:noWrap/>
                  <w:vAlign w:val="center"/>
                </w:tcPr>
                <w:p w14:paraId="093D2E5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2833312.983 </w:t>
                  </w:r>
                </w:p>
              </w:tc>
              <w:tc>
                <w:tcPr>
                  <w:tcW w:w="1900" w:type="dxa"/>
                  <w:tcBorders>
                    <w:top w:val="nil"/>
                    <w:left w:val="nil"/>
                    <w:bottom w:val="single" w:color="auto" w:sz="4" w:space="0"/>
                    <w:right w:val="single" w:color="auto" w:sz="4" w:space="0"/>
                  </w:tcBorders>
                  <w:shd w:val="clear" w:color="auto" w:fill="auto"/>
                  <w:noWrap/>
                  <w:vAlign w:val="center"/>
                </w:tcPr>
                <w:p w14:paraId="19399C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580660.1404 </w:t>
                  </w:r>
                </w:p>
              </w:tc>
            </w:tr>
            <w:tr w14:paraId="6E391A91">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256056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1536" w:type="dxa"/>
                  <w:tcBorders>
                    <w:top w:val="nil"/>
                    <w:left w:val="nil"/>
                    <w:bottom w:val="single" w:color="auto" w:sz="4" w:space="0"/>
                    <w:right w:val="single" w:color="auto" w:sz="4" w:space="0"/>
                  </w:tcBorders>
                  <w:shd w:val="clear" w:color="auto" w:fill="auto"/>
                  <w:noWrap/>
                  <w:vAlign w:val="center"/>
                </w:tcPr>
                <w:p w14:paraId="0CEDC31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2833062.118 </w:t>
                  </w:r>
                </w:p>
              </w:tc>
              <w:tc>
                <w:tcPr>
                  <w:tcW w:w="1870" w:type="dxa"/>
                  <w:tcBorders>
                    <w:top w:val="nil"/>
                    <w:left w:val="nil"/>
                    <w:bottom w:val="single" w:color="auto" w:sz="4" w:space="0"/>
                    <w:right w:val="single" w:color="auto" w:sz="4" w:space="0"/>
                  </w:tcBorders>
                  <w:shd w:val="clear" w:color="auto" w:fill="auto"/>
                  <w:noWrap/>
                  <w:vAlign w:val="center"/>
                </w:tcPr>
                <w:p w14:paraId="019393B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580836.2740 </w:t>
                  </w:r>
                </w:p>
              </w:tc>
              <w:tc>
                <w:tcPr>
                  <w:tcW w:w="980" w:type="dxa"/>
                  <w:tcBorders>
                    <w:top w:val="nil"/>
                    <w:left w:val="nil"/>
                    <w:bottom w:val="single" w:color="auto" w:sz="4" w:space="0"/>
                    <w:right w:val="single" w:color="auto" w:sz="4" w:space="0"/>
                  </w:tcBorders>
                  <w:shd w:val="clear" w:color="auto" w:fill="auto"/>
                  <w:noWrap/>
                  <w:vAlign w:val="center"/>
                </w:tcPr>
                <w:p w14:paraId="6C0230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37</w:t>
                  </w:r>
                </w:p>
              </w:tc>
              <w:tc>
                <w:tcPr>
                  <w:tcW w:w="1900" w:type="dxa"/>
                  <w:tcBorders>
                    <w:top w:val="nil"/>
                    <w:left w:val="nil"/>
                    <w:bottom w:val="single" w:color="auto" w:sz="4" w:space="0"/>
                    <w:right w:val="single" w:color="auto" w:sz="4" w:space="0"/>
                  </w:tcBorders>
                  <w:shd w:val="clear" w:color="auto" w:fill="auto"/>
                  <w:noWrap/>
                  <w:vAlign w:val="center"/>
                </w:tcPr>
                <w:p w14:paraId="23E779E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2833323.302 </w:t>
                  </w:r>
                </w:p>
              </w:tc>
              <w:tc>
                <w:tcPr>
                  <w:tcW w:w="1900" w:type="dxa"/>
                  <w:tcBorders>
                    <w:top w:val="nil"/>
                    <w:left w:val="nil"/>
                    <w:bottom w:val="single" w:color="auto" w:sz="4" w:space="0"/>
                    <w:right w:val="single" w:color="auto" w:sz="4" w:space="0"/>
                  </w:tcBorders>
                  <w:shd w:val="clear" w:color="auto" w:fill="auto"/>
                  <w:noWrap/>
                  <w:vAlign w:val="center"/>
                </w:tcPr>
                <w:p w14:paraId="47E5A7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580666.4904 </w:t>
                  </w:r>
                </w:p>
              </w:tc>
            </w:tr>
            <w:tr w14:paraId="46910BF3">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02BDB6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w:t>
                  </w:r>
                </w:p>
              </w:tc>
              <w:tc>
                <w:tcPr>
                  <w:tcW w:w="1536" w:type="dxa"/>
                  <w:tcBorders>
                    <w:top w:val="nil"/>
                    <w:left w:val="nil"/>
                    <w:bottom w:val="single" w:color="auto" w:sz="4" w:space="0"/>
                    <w:right w:val="single" w:color="auto" w:sz="4" w:space="0"/>
                  </w:tcBorders>
                  <w:shd w:val="clear" w:color="auto" w:fill="auto"/>
                  <w:noWrap/>
                  <w:vAlign w:val="center"/>
                </w:tcPr>
                <w:p w14:paraId="1F3ADDB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2833030.765 </w:t>
                  </w:r>
                </w:p>
              </w:tc>
              <w:tc>
                <w:tcPr>
                  <w:tcW w:w="1870" w:type="dxa"/>
                  <w:tcBorders>
                    <w:top w:val="nil"/>
                    <w:left w:val="nil"/>
                    <w:bottom w:val="single" w:color="auto" w:sz="4" w:space="0"/>
                    <w:right w:val="single" w:color="auto" w:sz="4" w:space="0"/>
                  </w:tcBorders>
                  <w:shd w:val="clear" w:color="auto" w:fill="auto"/>
                  <w:noWrap/>
                  <w:vAlign w:val="center"/>
                </w:tcPr>
                <w:p w14:paraId="55278C3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580813.6520 </w:t>
                  </w:r>
                </w:p>
              </w:tc>
              <w:tc>
                <w:tcPr>
                  <w:tcW w:w="980" w:type="dxa"/>
                  <w:tcBorders>
                    <w:top w:val="nil"/>
                    <w:left w:val="nil"/>
                    <w:bottom w:val="single" w:color="auto" w:sz="4" w:space="0"/>
                    <w:right w:val="single" w:color="auto" w:sz="4" w:space="0"/>
                  </w:tcBorders>
                  <w:shd w:val="clear" w:color="auto" w:fill="auto"/>
                  <w:noWrap/>
                  <w:vAlign w:val="center"/>
                </w:tcPr>
                <w:p w14:paraId="069FF1C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38</w:t>
                  </w:r>
                </w:p>
              </w:tc>
              <w:tc>
                <w:tcPr>
                  <w:tcW w:w="1900" w:type="dxa"/>
                  <w:tcBorders>
                    <w:top w:val="nil"/>
                    <w:left w:val="nil"/>
                    <w:bottom w:val="single" w:color="auto" w:sz="4" w:space="0"/>
                    <w:right w:val="single" w:color="auto" w:sz="4" w:space="0"/>
                  </w:tcBorders>
                  <w:shd w:val="clear" w:color="auto" w:fill="auto"/>
                  <w:noWrap/>
                  <w:vAlign w:val="center"/>
                </w:tcPr>
                <w:p w14:paraId="12D545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2833331.240 </w:t>
                  </w:r>
                </w:p>
              </w:tc>
              <w:tc>
                <w:tcPr>
                  <w:tcW w:w="1900" w:type="dxa"/>
                  <w:tcBorders>
                    <w:top w:val="nil"/>
                    <w:left w:val="nil"/>
                    <w:bottom w:val="single" w:color="auto" w:sz="4" w:space="0"/>
                    <w:right w:val="single" w:color="auto" w:sz="4" w:space="0"/>
                  </w:tcBorders>
                  <w:shd w:val="clear" w:color="auto" w:fill="auto"/>
                  <w:noWrap/>
                  <w:vAlign w:val="center"/>
                </w:tcPr>
                <w:p w14:paraId="1E2BEBC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580672.8404 </w:t>
                  </w:r>
                </w:p>
              </w:tc>
            </w:tr>
            <w:tr w14:paraId="0E6E72A0">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256F021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w:t>
                  </w:r>
                </w:p>
              </w:tc>
              <w:tc>
                <w:tcPr>
                  <w:tcW w:w="1536" w:type="dxa"/>
                  <w:tcBorders>
                    <w:top w:val="nil"/>
                    <w:left w:val="nil"/>
                    <w:bottom w:val="single" w:color="auto" w:sz="4" w:space="0"/>
                    <w:right w:val="single" w:color="auto" w:sz="4" w:space="0"/>
                  </w:tcBorders>
                  <w:shd w:val="clear" w:color="auto" w:fill="auto"/>
                  <w:noWrap/>
                  <w:vAlign w:val="center"/>
                </w:tcPr>
                <w:p w14:paraId="5C87075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2833027.035 </w:t>
                  </w:r>
                </w:p>
              </w:tc>
              <w:tc>
                <w:tcPr>
                  <w:tcW w:w="1870" w:type="dxa"/>
                  <w:tcBorders>
                    <w:top w:val="nil"/>
                    <w:left w:val="nil"/>
                    <w:bottom w:val="single" w:color="auto" w:sz="4" w:space="0"/>
                    <w:right w:val="single" w:color="auto" w:sz="4" w:space="0"/>
                  </w:tcBorders>
                  <w:shd w:val="clear" w:color="auto" w:fill="auto"/>
                  <w:noWrap/>
                  <w:vAlign w:val="center"/>
                </w:tcPr>
                <w:p w14:paraId="134216C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580809.9218 </w:t>
                  </w:r>
                </w:p>
              </w:tc>
              <w:tc>
                <w:tcPr>
                  <w:tcW w:w="980" w:type="dxa"/>
                  <w:tcBorders>
                    <w:top w:val="nil"/>
                    <w:left w:val="nil"/>
                    <w:bottom w:val="single" w:color="auto" w:sz="4" w:space="0"/>
                    <w:right w:val="single" w:color="auto" w:sz="4" w:space="0"/>
                  </w:tcBorders>
                  <w:shd w:val="clear" w:color="auto" w:fill="auto"/>
                  <w:noWrap/>
                  <w:vAlign w:val="center"/>
                </w:tcPr>
                <w:p w14:paraId="668738B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39</w:t>
                  </w:r>
                </w:p>
              </w:tc>
              <w:tc>
                <w:tcPr>
                  <w:tcW w:w="1900" w:type="dxa"/>
                  <w:tcBorders>
                    <w:top w:val="nil"/>
                    <w:left w:val="nil"/>
                    <w:bottom w:val="single" w:color="auto" w:sz="4" w:space="0"/>
                    <w:right w:val="single" w:color="auto" w:sz="4" w:space="0"/>
                  </w:tcBorders>
                  <w:shd w:val="clear" w:color="auto" w:fill="auto"/>
                  <w:noWrap/>
                  <w:vAlign w:val="center"/>
                </w:tcPr>
                <w:p w14:paraId="3F2FA7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2833336.796 </w:t>
                  </w:r>
                </w:p>
              </w:tc>
              <w:tc>
                <w:tcPr>
                  <w:tcW w:w="1900" w:type="dxa"/>
                  <w:tcBorders>
                    <w:top w:val="nil"/>
                    <w:left w:val="nil"/>
                    <w:bottom w:val="single" w:color="auto" w:sz="4" w:space="0"/>
                    <w:right w:val="single" w:color="auto" w:sz="4" w:space="0"/>
                  </w:tcBorders>
                  <w:shd w:val="clear" w:color="auto" w:fill="auto"/>
                  <w:noWrap/>
                  <w:vAlign w:val="center"/>
                </w:tcPr>
                <w:p w14:paraId="02303A3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580682.7624 </w:t>
                  </w:r>
                </w:p>
              </w:tc>
            </w:tr>
            <w:tr w14:paraId="5A9E3E06">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0C1CF8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w:t>
                  </w:r>
                </w:p>
              </w:tc>
              <w:tc>
                <w:tcPr>
                  <w:tcW w:w="1536" w:type="dxa"/>
                  <w:tcBorders>
                    <w:top w:val="nil"/>
                    <w:left w:val="nil"/>
                    <w:bottom w:val="single" w:color="auto" w:sz="4" w:space="0"/>
                    <w:right w:val="single" w:color="auto" w:sz="4" w:space="0"/>
                  </w:tcBorders>
                  <w:shd w:val="clear" w:color="auto" w:fill="auto"/>
                  <w:noWrap/>
                  <w:vAlign w:val="center"/>
                </w:tcPr>
                <w:p w14:paraId="0D8D9A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2833025.608 </w:t>
                  </w:r>
                </w:p>
              </w:tc>
              <w:tc>
                <w:tcPr>
                  <w:tcW w:w="1870" w:type="dxa"/>
                  <w:tcBorders>
                    <w:top w:val="nil"/>
                    <w:left w:val="nil"/>
                    <w:bottom w:val="single" w:color="auto" w:sz="4" w:space="0"/>
                    <w:right w:val="single" w:color="auto" w:sz="4" w:space="0"/>
                  </w:tcBorders>
                  <w:shd w:val="clear" w:color="auto" w:fill="auto"/>
                  <w:noWrap/>
                  <w:vAlign w:val="center"/>
                </w:tcPr>
                <w:p w14:paraId="736556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580807.3844 </w:t>
                  </w:r>
                </w:p>
              </w:tc>
              <w:tc>
                <w:tcPr>
                  <w:tcW w:w="980" w:type="dxa"/>
                  <w:tcBorders>
                    <w:top w:val="nil"/>
                    <w:left w:val="nil"/>
                    <w:bottom w:val="single" w:color="auto" w:sz="4" w:space="0"/>
                    <w:right w:val="single" w:color="auto" w:sz="4" w:space="0"/>
                  </w:tcBorders>
                  <w:shd w:val="clear" w:color="auto" w:fill="auto"/>
                  <w:noWrap/>
                  <w:vAlign w:val="center"/>
                </w:tcPr>
                <w:p w14:paraId="085E946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40</w:t>
                  </w:r>
                </w:p>
              </w:tc>
              <w:tc>
                <w:tcPr>
                  <w:tcW w:w="1900" w:type="dxa"/>
                  <w:tcBorders>
                    <w:top w:val="nil"/>
                    <w:left w:val="nil"/>
                    <w:bottom w:val="single" w:color="auto" w:sz="4" w:space="0"/>
                    <w:right w:val="single" w:color="auto" w:sz="4" w:space="0"/>
                  </w:tcBorders>
                  <w:shd w:val="clear" w:color="auto" w:fill="auto"/>
                  <w:noWrap/>
                  <w:vAlign w:val="center"/>
                </w:tcPr>
                <w:p w14:paraId="5B4C917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2833339.177 </w:t>
                  </w:r>
                </w:p>
              </w:tc>
              <w:tc>
                <w:tcPr>
                  <w:tcW w:w="1900" w:type="dxa"/>
                  <w:tcBorders>
                    <w:top w:val="nil"/>
                    <w:left w:val="nil"/>
                    <w:bottom w:val="single" w:color="auto" w:sz="4" w:space="0"/>
                    <w:right w:val="single" w:color="auto" w:sz="4" w:space="0"/>
                  </w:tcBorders>
                  <w:shd w:val="clear" w:color="auto" w:fill="auto"/>
                  <w:noWrap/>
                  <w:vAlign w:val="center"/>
                </w:tcPr>
                <w:p w14:paraId="3AFF3F4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580700.2250 </w:t>
                  </w:r>
                </w:p>
              </w:tc>
            </w:tr>
            <w:tr w14:paraId="24A98A72">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20D3D74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w:t>
                  </w:r>
                </w:p>
              </w:tc>
              <w:tc>
                <w:tcPr>
                  <w:tcW w:w="1536" w:type="dxa"/>
                  <w:tcBorders>
                    <w:top w:val="nil"/>
                    <w:left w:val="nil"/>
                    <w:bottom w:val="single" w:color="auto" w:sz="4" w:space="0"/>
                    <w:right w:val="single" w:color="auto" w:sz="4" w:space="0"/>
                  </w:tcBorders>
                  <w:shd w:val="clear" w:color="auto" w:fill="auto"/>
                  <w:noWrap/>
                  <w:vAlign w:val="center"/>
                </w:tcPr>
                <w:p w14:paraId="0BFA2EE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2833024.180 </w:t>
                  </w:r>
                </w:p>
              </w:tc>
              <w:tc>
                <w:tcPr>
                  <w:tcW w:w="1870" w:type="dxa"/>
                  <w:tcBorders>
                    <w:top w:val="nil"/>
                    <w:left w:val="nil"/>
                    <w:bottom w:val="single" w:color="auto" w:sz="4" w:space="0"/>
                    <w:right w:val="single" w:color="auto" w:sz="4" w:space="0"/>
                  </w:tcBorders>
                  <w:shd w:val="clear" w:color="auto" w:fill="auto"/>
                  <w:noWrap/>
                  <w:vAlign w:val="center"/>
                </w:tcPr>
                <w:p w14:paraId="6BE3824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580804.8472 </w:t>
                  </w:r>
                </w:p>
              </w:tc>
              <w:tc>
                <w:tcPr>
                  <w:tcW w:w="980" w:type="dxa"/>
                  <w:tcBorders>
                    <w:top w:val="nil"/>
                    <w:left w:val="nil"/>
                    <w:bottom w:val="single" w:color="auto" w:sz="4" w:space="0"/>
                    <w:right w:val="single" w:color="auto" w:sz="4" w:space="0"/>
                  </w:tcBorders>
                  <w:shd w:val="clear" w:color="auto" w:fill="auto"/>
                  <w:noWrap/>
                  <w:vAlign w:val="center"/>
                </w:tcPr>
                <w:p w14:paraId="20FD10B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41</w:t>
                  </w:r>
                </w:p>
              </w:tc>
              <w:tc>
                <w:tcPr>
                  <w:tcW w:w="1900" w:type="dxa"/>
                  <w:tcBorders>
                    <w:top w:val="nil"/>
                    <w:left w:val="nil"/>
                    <w:bottom w:val="single" w:color="auto" w:sz="4" w:space="0"/>
                    <w:right w:val="single" w:color="auto" w:sz="4" w:space="0"/>
                  </w:tcBorders>
                  <w:shd w:val="clear" w:color="auto" w:fill="auto"/>
                  <w:noWrap/>
                  <w:vAlign w:val="center"/>
                </w:tcPr>
                <w:p w14:paraId="052AAC9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2833329.652 </w:t>
                  </w:r>
                </w:p>
              </w:tc>
              <w:tc>
                <w:tcPr>
                  <w:tcW w:w="1900" w:type="dxa"/>
                  <w:tcBorders>
                    <w:top w:val="nil"/>
                    <w:left w:val="nil"/>
                    <w:bottom w:val="single" w:color="auto" w:sz="4" w:space="0"/>
                    <w:right w:val="single" w:color="auto" w:sz="4" w:space="0"/>
                  </w:tcBorders>
                  <w:shd w:val="clear" w:color="auto" w:fill="auto"/>
                  <w:noWrap/>
                  <w:vAlign w:val="center"/>
                </w:tcPr>
                <w:p w14:paraId="55CF74E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580722.4501 </w:t>
                  </w:r>
                </w:p>
              </w:tc>
            </w:tr>
            <w:tr w14:paraId="6364E95A">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03308EF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w:t>
                  </w:r>
                </w:p>
              </w:tc>
              <w:tc>
                <w:tcPr>
                  <w:tcW w:w="1536" w:type="dxa"/>
                  <w:tcBorders>
                    <w:top w:val="nil"/>
                    <w:left w:val="nil"/>
                    <w:bottom w:val="single" w:color="auto" w:sz="4" w:space="0"/>
                    <w:right w:val="single" w:color="auto" w:sz="4" w:space="0"/>
                  </w:tcBorders>
                  <w:shd w:val="clear" w:color="auto" w:fill="auto"/>
                  <w:noWrap/>
                  <w:vAlign w:val="center"/>
                </w:tcPr>
                <w:p w14:paraId="38521D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2833021.883 </w:t>
                  </w:r>
                </w:p>
              </w:tc>
              <w:tc>
                <w:tcPr>
                  <w:tcW w:w="1870" w:type="dxa"/>
                  <w:tcBorders>
                    <w:top w:val="nil"/>
                    <w:left w:val="nil"/>
                    <w:bottom w:val="single" w:color="auto" w:sz="4" w:space="0"/>
                    <w:right w:val="single" w:color="auto" w:sz="4" w:space="0"/>
                  </w:tcBorders>
                  <w:shd w:val="clear" w:color="auto" w:fill="auto"/>
                  <w:noWrap/>
                  <w:vAlign w:val="center"/>
                </w:tcPr>
                <w:p w14:paraId="5C9D06D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580795.2040 </w:t>
                  </w:r>
                </w:p>
              </w:tc>
              <w:tc>
                <w:tcPr>
                  <w:tcW w:w="980" w:type="dxa"/>
                  <w:tcBorders>
                    <w:top w:val="nil"/>
                    <w:left w:val="nil"/>
                    <w:bottom w:val="single" w:color="auto" w:sz="4" w:space="0"/>
                    <w:right w:val="single" w:color="auto" w:sz="4" w:space="0"/>
                  </w:tcBorders>
                  <w:shd w:val="clear" w:color="auto" w:fill="auto"/>
                  <w:noWrap/>
                  <w:vAlign w:val="center"/>
                </w:tcPr>
                <w:p w14:paraId="0510E95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42</w:t>
                  </w:r>
                </w:p>
              </w:tc>
              <w:tc>
                <w:tcPr>
                  <w:tcW w:w="1900" w:type="dxa"/>
                  <w:tcBorders>
                    <w:top w:val="nil"/>
                    <w:left w:val="nil"/>
                    <w:bottom w:val="single" w:color="auto" w:sz="4" w:space="0"/>
                    <w:right w:val="single" w:color="auto" w:sz="4" w:space="0"/>
                  </w:tcBorders>
                  <w:shd w:val="clear" w:color="auto" w:fill="auto"/>
                  <w:noWrap/>
                  <w:vAlign w:val="center"/>
                </w:tcPr>
                <w:p w14:paraId="7909BF8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2833316.555 </w:t>
                  </w:r>
                </w:p>
              </w:tc>
              <w:tc>
                <w:tcPr>
                  <w:tcW w:w="1900" w:type="dxa"/>
                  <w:tcBorders>
                    <w:top w:val="nil"/>
                    <w:left w:val="nil"/>
                    <w:bottom w:val="single" w:color="auto" w:sz="4" w:space="0"/>
                    <w:right w:val="single" w:color="auto" w:sz="4" w:space="0"/>
                  </w:tcBorders>
                  <w:shd w:val="clear" w:color="auto" w:fill="auto"/>
                  <w:noWrap/>
                  <w:vAlign w:val="center"/>
                </w:tcPr>
                <w:p w14:paraId="2337A2B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580728.8000 </w:t>
                  </w:r>
                </w:p>
              </w:tc>
            </w:tr>
            <w:tr w14:paraId="574278B8">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31D36D5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w:t>
                  </w:r>
                </w:p>
              </w:tc>
              <w:tc>
                <w:tcPr>
                  <w:tcW w:w="1536" w:type="dxa"/>
                  <w:tcBorders>
                    <w:top w:val="nil"/>
                    <w:left w:val="nil"/>
                    <w:bottom w:val="single" w:color="auto" w:sz="4" w:space="0"/>
                    <w:right w:val="single" w:color="auto" w:sz="4" w:space="0"/>
                  </w:tcBorders>
                  <w:shd w:val="clear" w:color="auto" w:fill="auto"/>
                  <w:noWrap/>
                  <w:vAlign w:val="center"/>
                </w:tcPr>
                <w:p w14:paraId="4A1DEE3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2833024.812 </w:t>
                  </w:r>
                </w:p>
              </w:tc>
              <w:tc>
                <w:tcPr>
                  <w:tcW w:w="1870" w:type="dxa"/>
                  <w:tcBorders>
                    <w:top w:val="nil"/>
                    <w:left w:val="nil"/>
                    <w:bottom w:val="single" w:color="auto" w:sz="4" w:space="0"/>
                    <w:right w:val="single" w:color="auto" w:sz="4" w:space="0"/>
                  </w:tcBorders>
                  <w:shd w:val="clear" w:color="auto" w:fill="auto"/>
                  <w:noWrap/>
                  <w:vAlign w:val="center"/>
                </w:tcPr>
                <w:p w14:paraId="03E5091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580771.1864 </w:t>
                  </w:r>
                </w:p>
              </w:tc>
              <w:tc>
                <w:tcPr>
                  <w:tcW w:w="980" w:type="dxa"/>
                  <w:tcBorders>
                    <w:top w:val="nil"/>
                    <w:left w:val="nil"/>
                    <w:bottom w:val="single" w:color="auto" w:sz="4" w:space="0"/>
                    <w:right w:val="single" w:color="auto" w:sz="4" w:space="0"/>
                  </w:tcBorders>
                  <w:shd w:val="clear" w:color="auto" w:fill="auto"/>
                  <w:noWrap/>
                  <w:vAlign w:val="center"/>
                </w:tcPr>
                <w:p w14:paraId="19FF716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43</w:t>
                  </w:r>
                </w:p>
              </w:tc>
              <w:tc>
                <w:tcPr>
                  <w:tcW w:w="1900" w:type="dxa"/>
                  <w:tcBorders>
                    <w:top w:val="nil"/>
                    <w:left w:val="nil"/>
                    <w:bottom w:val="single" w:color="auto" w:sz="4" w:space="0"/>
                    <w:right w:val="single" w:color="auto" w:sz="4" w:space="0"/>
                  </w:tcBorders>
                  <w:shd w:val="clear" w:color="auto" w:fill="auto"/>
                  <w:noWrap/>
                  <w:vAlign w:val="center"/>
                </w:tcPr>
                <w:p w14:paraId="0744B9E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2833315.762 </w:t>
                  </w:r>
                </w:p>
              </w:tc>
              <w:tc>
                <w:tcPr>
                  <w:tcW w:w="1900" w:type="dxa"/>
                  <w:tcBorders>
                    <w:top w:val="nil"/>
                    <w:left w:val="nil"/>
                    <w:bottom w:val="single" w:color="auto" w:sz="4" w:space="0"/>
                    <w:right w:val="single" w:color="auto" w:sz="4" w:space="0"/>
                  </w:tcBorders>
                  <w:shd w:val="clear" w:color="auto" w:fill="auto"/>
                  <w:noWrap/>
                  <w:vAlign w:val="center"/>
                </w:tcPr>
                <w:p w14:paraId="675D7F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580738.7218 </w:t>
                  </w:r>
                </w:p>
              </w:tc>
            </w:tr>
            <w:tr w14:paraId="1E5B6AAF">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70294C9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11</w:t>
                  </w:r>
                </w:p>
              </w:tc>
              <w:tc>
                <w:tcPr>
                  <w:tcW w:w="1536" w:type="dxa"/>
                  <w:tcBorders>
                    <w:top w:val="nil"/>
                    <w:left w:val="nil"/>
                    <w:bottom w:val="single" w:color="auto" w:sz="4" w:space="0"/>
                    <w:right w:val="single" w:color="auto" w:sz="4" w:space="0"/>
                  </w:tcBorders>
                  <w:shd w:val="clear" w:color="auto" w:fill="auto"/>
                  <w:noWrap/>
                  <w:vAlign w:val="center"/>
                </w:tcPr>
                <w:p w14:paraId="403491F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2833040.290 </w:t>
                  </w:r>
                </w:p>
              </w:tc>
              <w:tc>
                <w:tcPr>
                  <w:tcW w:w="1870" w:type="dxa"/>
                  <w:tcBorders>
                    <w:top w:val="nil"/>
                    <w:left w:val="nil"/>
                    <w:bottom w:val="single" w:color="auto" w:sz="4" w:space="0"/>
                    <w:right w:val="single" w:color="auto" w:sz="4" w:space="0"/>
                  </w:tcBorders>
                  <w:shd w:val="clear" w:color="auto" w:fill="auto"/>
                  <w:noWrap/>
                  <w:vAlign w:val="center"/>
                </w:tcPr>
                <w:p w14:paraId="7D3A5BC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580731.8956 </w:t>
                  </w:r>
                </w:p>
              </w:tc>
              <w:tc>
                <w:tcPr>
                  <w:tcW w:w="980" w:type="dxa"/>
                  <w:tcBorders>
                    <w:top w:val="nil"/>
                    <w:left w:val="nil"/>
                    <w:bottom w:val="single" w:color="auto" w:sz="4" w:space="0"/>
                    <w:right w:val="single" w:color="auto" w:sz="4" w:space="0"/>
                  </w:tcBorders>
                  <w:shd w:val="clear" w:color="auto" w:fill="auto"/>
                  <w:noWrap/>
                  <w:vAlign w:val="center"/>
                </w:tcPr>
                <w:p w14:paraId="17A85DF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44</w:t>
                  </w:r>
                </w:p>
              </w:tc>
              <w:tc>
                <w:tcPr>
                  <w:tcW w:w="1900" w:type="dxa"/>
                  <w:tcBorders>
                    <w:top w:val="nil"/>
                    <w:left w:val="nil"/>
                    <w:bottom w:val="single" w:color="auto" w:sz="4" w:space="0"/>
                    <w:right w:val="single" w:color="auto" w:sz="4" w:space="0"/>
                  </w:tcBorders>
                  <w:shd w:val="clear" w:color="auto" w:fill="auto"/>
                  <w:noWrap/>
                  <w:vAlign w:val="center"/>
                </w:tcPr>
                <w:p w14:paraId="1190D09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2833320.127 </w:t>
                  </w:r>
                </w:p>
              </w:tc>
              <w:tc>
                <w:tcPr>
                  <w:tcW w:w="1900" w:type="dxa"/>
                  <w:tcBorders>
                    <w:top w:val="nil"/>
                    <w:left w:val="nil"/>
                    <w:bottom w:val="single" w:color="auto" w:sz="4" w:space="0"/>
                    <w:right w:val="single" w:color="auto" w:sz="4" w:space="0"/>
                  </w:tcBorders>
                  <w:shd w:val="clear" w:color="auto" w:fill="auto"/>
                  <w:noWrap/>
                  <w:vAlign w:val="center"/>
                </w:tcPr>
                <w:p w14:paraId="25C96D1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580749.4376 </w:t>
                  </w:r>
                </w:p>
              </w:tc>
            </w:tr>
            <w:tr w14:paraId="0100DB78">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1638AD7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536" w:type="dxa"/>
                  <w:tcBorders>
                    <w:top w:val="nil"/>
                    <w:left w:val="nil"/>
                    <w:bottom w:val="single" w:color="auto" w:sz="4" w:space="0"/>
                    <w:right w:val="single" w:color="auto" w:sz="4" w:space="0"/>
                  </w:tcBorders>
                  <w:shd w:val="clear" w:color="auto" w:fill="auto"/>
                  <w:noWrap/>
                  <w:vAlign w:val="center"/>
                </w:tcPr>
                <w:p w14:paraId="1F6F6F5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2833053.345 </w:t>
                  </w:r>
                </w:p>
              </w:tc>
              <w:tc>
                <w:tcPr>
                  <w:tcW w:w="1870" w:type="dxa"/>
                  <w:tcBorders>
                    <w:top w:val="nil"/>
                    <w:left w:val="nil"/>
                    <w:bottom w:val="single" w:color="auto" w:sz="4" w:space="0"/>
                    <w:right w:val="single" w:color="auto" w:sz="4" w:space="0"/>
                  </w:tcBorders>
                  <w:shd w:val="clear" w:color="auto" w:fill="auto"/>
                  <w:noWrap/>
                  <w:vAlign w:val="center"/>
                </w:tcPr>
                <w:p w14:paraId="344E0C0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580702.6774 </w:t>
                  </w:r>
                </w:p>
              </w:tc>
              <w:tc>
                <w:tcPr>
                  <w:tcW w:w="980" w:type="dxa"/>
                  <w:tcBorders>
                    <w:top w:val="nil"/>
                    <w:left w:val="nil"/>
                    <w:bottom w:val="single" w:color="auto" w:sz="4" w:space="0"/>
                    <w:right w:val="single" w:color="auto" w:sz="4" w:space="0"/>
                  </w:tcBorders>
                  <w:shd w:val="clear" w:color="auto" w:fill="auto"/>
                  <w:noWrap/>
                  <w:vAlign w:val="center"/>
                </w:tcPr>
                <w:p w14:paraId="1748674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45</w:t>
                  </w:r>
                </w:p>
              </w:tc>
              <w:tc>
                <w:tcPr>
                  <w:tcW w:w="1900" w:type="dxa"/>
                  <w:tcBorders>
                    <w:top w:val="nil"/>
                    <w:left w:val="nil"/>
                    <w:bottom w:val="single" w:color="auto" w:sz="4" w:space="0"/>
                    <w:right w:val="single" w:color="auto" w:sz="4" w:space="0"/>
                  </w:tcBorders>
                  <w:shd w:val="clear" w:color="auto" w:fill="auto"/>
                  <w:noWrap/>
                  <w:vAlign w:val="center"/>
                </w:tcPr>
                <w:p w14:paraId="357C2FA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2833332.033 </w:t>
                  </w:r>
                </w:p>
              </w:tc>
              <w:tc>
                <w:tcPr>
                  <w:tcW w:w="1900" w:type="dxa"/>
                  <w:tcBorders>
                    <w:top w:val="nil"/>
                    <w:left w:val="nil"/>
                    <w:bottom w:val="single" w:color="auto" w:sz="4" w:space="0"/>
                    <w:right w:val="single" w:color="auto" w:sz="4" w:space="0"/>
                  </w:tcBorders>
                  <w:shd w:val="clear" w:color="auto" w:fill="auto"/>
                  <w:noWrap/>
                  <w:vAlign w:val="center"/>
                </w:tcPr>
                <w:p w14:paraId="28C5BC5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580760.1532 </w:t>
                  </w:r>
                </w:p>
              </w:tc>
            </w:tr>
            <w:tr w14:paraId="5F2256C9">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04EEE77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13</w:t>
                  </w:r>
                </w:p>
              </w:tc>
              <w:tc>
                <w:tcPr>
                  <w:tcW w:w="1536" w:type="dxa"/>
                  <w:tcBorders>
                    <w:top w:val="nil"/>
                    <w:left w:val="nil"/>
                    <w:bottom w:val="single" w:color="auto" w:sz="4" w:space="0"/>
                    <w:right w:val="single" w:color="auto" w:sz="4" w:space="0"/>
                  </w:tcBorders>
                  <w:shd w:val="clear" w:color="auto" w:fill="auto"/>
                  <w:noWrap/>
                  <w:vAlign w:val="center"/>
                </w:tcPr>
                <w:p w14:paraId="267E6C8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2833060.552 </w:t>
                  </w:r>
                </w:p>
              </w:tc>
              <w:tc>
                <w:tcPr>
                  <w:tcW w:w="1870" w:type="dxa"/>
                  <w:tcBorders>
                    <w:top w:val="nil"/>
                    <w:left w:val="nil"/>
                    <w:bottom w:val="single" w:color="auto" w:sz="4" w:space="0"/>
                    <w:right w:val="single" w:color="auto" w:sz="4" w:space="0"/>
                  </w:tcBorders>
                  <w:shd w:val="clear" w:color="auto" w:fill="auto"/>
                  <w:noWrap/>
                  <w:vAlign w:val="center"/>
                </w:tcPr>
                <w:p w14:paraId="571336F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580692.0392 </w:t>
                  </w:r>
                </w:p>
              </w:tc>
              <w:tc>
                <w:tcPr>
                  <w:tcW w:w="980" w:type="dxa"/>
                  <w:tcBorders>
                    <w:top w:val="nil"/>
                    <w:left w:val="nil"/>
                    <w:bottom w:val="single" w:color="auto" w:sz="4" w:space="0"/>
                    <w:right w:val="single" w:color="auto" w:sz="4" w:space="0"/>
                  </w:tcBorders>
                  <w:shd w:val="clear" w:color="auto" w:fill="auto"/>
                  <w:noWrap/>
                  <w:vAlign w:val="center"/>
                </w:tcPr>
                <w:p w14:paraId="3850DD7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46</w:t>
                  </w:r>
                </w:p>
              </w:tc>
              <w:tc>
                <w:tcPr>
                  <w:tcW w:w="1900" w:type="dxa"/>
                  <w:tcBorders>
                    <w:top w:val="nil"/>
                    <w:left w:val="nil"/>
                    <w:bottom w:val="single" w:color="auto" w:sz="4" w:space="0"/>
                    <w:right w:val="single" w:color="auto" w:sz="4" w:space="0"/>
                  </w:tcBorders>
                  <w:shd w:val="clear" w:color="auto" w:fill="auto"/>
                  <w:noWrap/>
                  <w:vAlign w:val="center"/>
                </w:tcPr>
                <w:p w14:paraId="5D9E141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2833342.749 </w:t>
                  </w:r>
                </w:p>
              </w:tc>
              <w:tc>
                <w:tcPr>
                  <w:tcW w:w="1900" w:type="dxa"/>
                  <w:tcBorders>
                    <w:top w:val="nil"/>
                    <w:left w:val="nil"/>
                    <w:bottom w:val="single" w:color="auto" w:sz="4" w:space="0"/>
                    <w:right w:val="single" w:color="auto" w:sz="4" w:space="0"/>
                  </w:tcBorders>
                  <w:shd w:val="clear" w:color="auto" w:fill="auto"/>
                  <w:noWrap/>
                  <w:vAlign w:val="center"/>
                </w:tcPr>
                <w:p w14:paraId="7F4956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580770.8688 </w:t>
                  </w:r>
                </w:p>
              </w:tc>
            </w:tr>
            <w:tr w14:paraId="71499C6B">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54C64AC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14</w:t>
                  </w:r>
                </w:p>
              </w:tc>
              <w:tc>
                <w:tcPr>
                  <w:tcW w:w="1536" w:type="dxa"/>
                  <w:tcBorders>
                    <w:top w:val="nil"/>
                    <w:left w:val="nil"/>
                    <w:bottom w:val="single" w:color="auto" w:sz="4" w:space="0"/>
                    <w:right w:val="single" w:color="auto" w:sz="4" w:space="0"/>
                  </w:tcBorders>
                  <w:shd w:val="clear" w:color="auto" w:fill="auto"/>
                  <w:noWrap/>
                  <w:vAlign w:val="center"/>
                </w:tcPr>
                <w:p w14:paraId="3C3C0C5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2833061.795 </w:t>
                  </w:r>
                </w:p>
              </w:tc>
              <w:tc>
                <w:tcPr>
                  <w:tcW w:w="1870" w:type="dxa"/>
                  <w:tcBorders>
                    <w:top w:val="nil"/>
                    <w:left w:val="nil"/>
                    <w:bottom w:val="single" w:color="auto" w:sz="4" w:space="0"/>
                    <w:right w:val="single" w:color="auto" w:sz="4" w:space="0"/>
                  </w:tcBorders>
                  <w:shd w:val="clear" w:color="auto" w:fill="auto"/>
                  <w:noWrap/>
                  <w:vAlign w:val="center"/>
                </w:tcPr>
                <w:p w14:paraId="423051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580689.5773 </w:t>
                  </w:r>
                </w:p>
              </w:tc>
              <w:tc>
                <w:tcPr>
                  <w:tcW w:w="980" w:type="dxa"/>
                  <w:tcBorders>
                    <w:top w:val="nil"/>
                    <w:left w:val="nil"/>
                    <w:bottom w:val="single" w:color="auto" w:sz="4" w:space="0"/>
                    <w:right w:val="single" w:color="auto" w:sz="4" w:space="0"/>
                  </w:tcBorders>
                  <w:shd w:val="clear" w:color="auto" w:fill="auto"/>
                  <w:noWrap/>
                  <w:vAlign w:val="center"/>
                </w:tcPr>
                <w:p w14:paraId="2AFDC35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47</w:t>
                  </w:r>
                </w:p>
              </w:tc>
              <w:tc>
                <w:tcPr>
                  <w:tcW w:w="1900" w:type="dxa"/>
                  <w:tcBorders>
                    <w:top w:val="nil"/>
                    <w:left w:val="nil"/>
                    <w:bottom w:val="single" w:color="auto" w:sz="4" w:space="0"/>
                    <w:right w:val="single" w:color="auto" w:sz="4" w:space="0"/>
                  </w:tcBorders>
                  <w:shd w:val="clear" w:color="auto" w:fill="auto"/>
                  <w:noWrap/>
                  <w:vAlign w:val="center"/>
                </w:tcPr>
                <w:p w14:paraId="0E3EFA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2833349.893 </w:t>
                  </w:r>
                </w:p>
              </w:tc>
              <w:tc>
                <w:tcPr>
                  <w:tcW w:w="1900" w:type="dxa"/>
                  <w:tcBorders>
                    <w:top w:val="nil"/>
                    <w:left w:val="nil"/>
                    <w:bottom w:val="single" w:color="auto" w:sz="4" w:space="0"/>
                    <w:right w:val="single" w:color="auto" w:sz="4" w:space="0"/>
                  </w:tcBorders>
                  <w:shd w:val="clear" w:color="auto" w:fill="auto"/>
                  <w:noWrap/>
                  <w:vAlign w:val="center"/>
                </w:tcPr>
                <w:p w14:paraId="57BEDCE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580780.7908 </w:t>
                  </w:r>
                </w:p>
              </w:tc>
            </w:tr>
            <w:tr w14:paraId="56FF3FFA">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2F037C2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w:t>
                  </w:r>
                </w:p>
              </w:tc>
              <w:tc>
                <w:tcPr>
                  <w:tcW w:w="1536" w:type="dxa"/>
                  <w:tcBorders>
                    <w:top w:val="nil"/>
                    <w:left w:val="nil"/>
                    <w:bottom w:val="single" w:color="auto" w:sz="4" w:space="0"/>
                    <w:right w:val="single" w:color="auto" w:sz="4" w:space="0"/>
                  </w:tcBorders>
                  <w:shd w:val="clear" w:color="auto" w:fill="auto"/>
                  <w:noWrap/>
                  <w:vAlign w:val="center"/>
                </w:tcPr>
                <w:p w14:paraId="6515548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2833066.779 </w:t>
                  </w:r>
                </w:p>
              </w:tc>
              <w:tc>
                <w:tcPr>
                  <w:tcW w:w="1870" w:type="dxa"/>
                  <w:tcBorders>
                    <w:top w:val="nil"/>
                    <w:left w:val="nil"/>
                    <w:bottom w:val="single" w:color="auto" w:sz="4" w:space="0"/>
                    <w:right w:val="single" w:color="auto" w:sz="4" w:space="0"/>
                  </w:tcBorders>
                  <w:shd w:val="clear" w:color="auto" w:fill="auto"/>
                  <w:noWrap/>
                  <w:vAlign w:val="center"/>
                </w:tcPr>
                <w:p w14:paraId="2BE109E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580676.2858 </w:t>
                  </w:r>
                </w:p>
              </w:tc>
              <w:tc>
                <w:tcPr>
                  <w:tcW w:w="980" w:type="dxa"/>
                  <w:tcBorders>
                    <w:top w:val="nil"/>
                    <w:left w:val="nil"/>
                    <w:bottom w:val="single" w:color="auto" w:sz="4" w:space="0"/>
                    <w:right w:val="single" w:color="auto" w:sz="4" w:space="0"/>
                  </w:tcBorders>
                  <w:shd w:val="clear" w:color="auto" w:fill="auto"/>
                  <w:noWrap/>
                  <w:vAlign w:val="center"/>
                </w:tcPr>
                <w:p w14:paraId="3C9D077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48</w:t>
                  </w:r>
                </w:p>
              </w:tc>
              <w:tc>
                <w:tcPr>
                  <w:tcW w:w="1900" w:type="dxa"/>
                  <w:tcBorders>
                    <w:top w:val="nil"/>
                    <w:left w:val="nil"/>
                    <w:bottom w:val="single" w:color="auto" w:sz="4" w:space="0"/>
                    <w:right w:val="single" w:color="auto" w:sz="4" w:space="0"/>
                  </w:tcBorders>
                  <w:shd w:val="clear" w:color="auto" w:fill="auto"/>
                  <w:noWrap/>
                  <w:vAlign w:val="center"/>
                </w:tcPr>
                <w:p w14:paraId="09E0E95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2833346.321 </w:t>
                  </w:r>
                </w:p>
              </w:tc>
              <w:tc>
                <w:tcPr>
                  <w:tcW w:w="1900" w:type="dxa"/>
                  <w:tcBorders>
                    <w:top w:val="nil"/>
                    <w:left w:val="nil"/>
                    <w:bottom w:val="single" w:color="auto" w:sz="4" w:space="0"/>
                    <w:right w:val="single" w:color="auto" w:sz="4" w:space="0"/>
                  </w:tcBorders>
                  <w:shd w:val="clear" w:color="auto" w:fill="auto"/>
                  <w:noWrap/>
                  <w:vAlign w:val="center"/>
                </w:tcPr>
                <w:p w14:paraId="7CBA76C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580791.9032 </w:t>
                  </w:r>
                </w:p>
              </w:tc>
            </w:tr>
            <w:tr w14:paraId="1ED35DA3">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2F357F6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w:t>
                  </w:r>
                </w:p>
              </w:tc>
              <w:tc>
                <w:tcPr>
                  <w:tcW w:w="1536" w:type="dxa"/>
                  <w:tcBorders>
                    <w:top w:val="nil"/>
                    <w:left w:val="nil"/>
                    <w:bottom w:val="single" w:color="auto" w:sz="4" w:space="0"/>
                    <w:right w:val="single" w:color="auto" w:sz="4" w:space="0"/>
                  </w:tcBorders>
                  <w:shd w:val="clear" w:color="auto" w:fill="auto"/>
                  <w:noWrap/>
                  <w:vAlign w:val="center"/>
                </w:tcPr>
                <w:p w14:paraId="087D6C4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2833068.606 </w:t>
                  </w:r>
                </w:p>
              </w:tc>
              <w:tc>
                <w:tcPr>
                  <w:tcW w:w="1870" w:type="dxa"/>
                  <w:tcBorders>
                    <w:top w:val="nil"/>
                    <w:left w:val="nil"/>
                    <w:bottom w:val="single" w:color="auto" w:sz="4" w:space="0"/>
                    <w:right w:val="single" w:color="auto" w:sz="4" w:space="0"/>
                  </w:tcBorders>
                  <w:shd w:val="clear" w:color="auto" w:fill="auto"/>
                  <w:noWrap/>
                  <w:vAlign w:val="center"/>
                </w:tcPr>
                <w:p w14:paraId="073502D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580672.8526 </w:t>
                  </w:r>
                </w:p>
              </w:tc>
              <w:tc>
                <w:tcPr>
                  <w:tcW w:w="980" w:type="dxa"/>
                  <w:tcBorders>
                    <w:top w:val="nil"/>
                    <w:left w:val="nil"/>
                    <w:bottom w:val="single" w:color="auto" w:sz="4" w:space="0"/>
                    <w:right w:val="single" w:color="auto" w:sz="4" w:space="0"/>
                  </w:tcBorders>
                  <w:shd w:val="clear" w:color="auto" w:fill="auto"/>
                  <w:noWrap/>
                  <w:vAlign w:val="center"/>
                </w:tcPr>
                <w:p w14:paraId="1058BD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49</w:t>
                  </w:r>
                </w:p>
              </w:tc>
              <w:tc>
                <w:tcPr>
                  <w:tcW w:w="1900" w:type="dxa"/>
                  <w:tcBorders>
                    <w:top w:val="nil"/>
                    <w:left w:val="nil"/>
                    <w:bottom w:val="single" w:color="auto" w:sz="4" w:space="0"/>
                    <w:right w:val="single" w:color="auto" w:sz="4" w:space="0"/>
                  </w:tcBorders>
                  <w:shd w:val="clear" w:color="auto" w:fill="auto"/>
                  <w:noWrap/>
                  <w:vAlign w:val="center"/>
                </w:tcPr>
                <w:p w14:paraId="5835415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2833337.590 </w:t>
                  </w:r>
                </w:p>
              </w:tc>
              <w:tc>
                <w:tcPr>
                  <w:tcW w:w="1900" w:type="dxa"/>
                  <w:tcBorders>
                    <w:top w:val="nil"/>
                    <w:left w:val="nil"/>
                    <w:bottom w:val="single" w:color="auto" w:sz="4" w:space="0"/>
                    <w:right w:val="single" w:color="auto" w:sz="4" w:space="0"/>
                  </w:tcBorders>
                  <w:shd w:val="clear" w:color="auto" w:fill="auto"/>
                  <w:noWrap/>
                  <w:vAlign w:val="center"/>
                </w:tcPr>
                <w:p w14:paraId="4C4117A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580798.6502 </w:t>
                  </w:r>
                </w:p>
              </w:tc>
            </w:tr>
            <w:tr w14:paraId="1DB79D63">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750A41B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w:t>
                  </w:r>
                </w:p>
              </w:tc>
              <w:tc>
                <w:tcPr>
                  <w:tcW w:w="1536" w:type="dxa"/>
                  <w:tcBorders>
                    <w:top w:val="nil"/>
                    <w:left w:val="nil"/>
                    <w:bottom w:val="single" w:color="auto" w:sz="4" w:space="0"/>
                    <w:right w:val="single" w:color="auto" w:sz="4" w:space="0"/>
                  </w:tcBorders>
                  <w:shd w:val="clear" w:color="auto" w:fill="auto"/>
                  <w:noWrap/>
                  <w:vAlign w:val="center"/>
                </w:tcPr>
                <w:p w14:paraId="6EBF219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2833075.647 </w:t>
                  </w:r>
                </w:p>
              </w:tc>
              <w:tc>
                <w:tcPr>
                  <w:tcW w:w="1870" w:type="dxa"/>
                  <w:tcBorders>
                    <w:top w:val="nil"/>
                    <w:left w:val="nil"/>
                    <w:bottom w:val="single" w:color="auto" w:sz="4" w:space="0"/>
                    <w:right w:val="single" w:color="auto" w:sz="4" w:space="0"/>
                  </w:tcBorders>
                  <w:shd w:val="clear" w:color="auto" w:fill="auto"/>
                  <w:noWrap/>
                  <w:vAlign w:val="center"/>
                </w:tcPr>
                <w:p w14:paraId="423063D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580661.5868 </w:t>
                  </w:r>
                </w:p>
              </w:tc>
              <w:tc>
                <w:tcPr>
                  <w:tcW w:w="980" w:type="dxa"/>
                  <w:tcBorders>
                    <w:top w:val="nil"/>
                    <w:left w:val="nil"/>
                    <w:bottom w:val="single" w:color="auto" w:sz="4" w:space="0"/>
                    <w:right w:val="single" w:color="auto" w:sz="4" w:space="0"/>
                  </w:tcBorders>
                  <w:shd w:val="clear" w:color="auto" w:fill="auto"/>
                  <w:noWrap/>
                  <w:vAlign w:val="center"/>
                </w:tcPr>
                <w:p w14:paraId="4683A61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50</w:t>
                  </w:r>
                </w:p>
              </w:tc>
              <w:tc>
                <w:tcPr>
                  <w:tcW w:w="1900" w:type="dxa"/>
                  <w:tcBorders>
                    <w:top w:val="nil"/>
                    <w:left w:val="nil"/>
                    <w:bottom w:val="single" w:color="auto" w:sz="4" w:space="0"/>
                    <w:right w:val="single" w:color="auto" w:sz="4" w:space="0"/>
                  </w:tcBorders>
                  <w:shd w:val="clear" w:color="auto" w:fill="auto"/>
                  <w:noWrap/>
                  <w:vAlign w:val="center"/>
                </w:tcPr>
                <w:p w14:paraId="33DE1A2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2833320.921 </w:t>
                  </w:r>
                </w:p>
              </w:tc>
              <w:tc>
                <w:tcPr>
                  <w:tcW w:w="1900" w:type="dxa"/>
                  <w:tcBorders>
                    <w:top w:val="nil"/>
                    <w:left w:val="nil"/>
                    <w:bottom w:val="single" w:color="auto" w:sz="4" w:space="0"/>
                    <w:right w:val="single" w:color="auto" w:sz="4" w:space="0"/>
                  </w:tcBorders>
                  <w:shd w:val="clear" w:color="auto" w:fill="auto"/>
                  <w:noWrap/>
                  <w:vAlign w:val="center"/>
                </w:tcPr>
                <w:p w14:paraId="5799ECD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580805.3970 </w:t>
                  </w:r>
                </w:p>
              </w:tc>
            </w:tr>
            <w:tr w14:paraId="59575C34">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28D002D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18</w:t>
                  </w:r>
                </w:p>
              </w:tc>
              <w:tc>
                <w:tcPr>
                  <w:tcW w:w="1536" w:type="dxa"/>
                  <w:tcBorders>
                    <w:top w:val="nil"/>
                    <w:left w:val="nil"/>
                    <w:bottom w:val="single" w:color="auto" w:sz="4" w:space="0"/>
                    <w:right w:val="single" w:color="auto" w:sz="4" w:space="0"/>
                  </w:tcBorders>
                  <w:shd w:val="clear" w:color="auto" w:fill="auto"/>
                  <w:noWrap/>
                  <w:vAlign w:val="center"/>
                </w:tcPr>
                <w:p w14:paraId="2F63D99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2833077.842 </w:t>
                  </w:r>
                </w:p>
              </w:tc>
              <w:tc>
                <w:tcPr>
                  <w:tcW w:w="1870" w:type="dxa"/>
                  <w:tcBorders>
                    <w:top w:val="nil"/>
                    <w:left w:val="nil"/>
                    <w:bottom w:val="single" w:color="auto" w:sz="4" w:space="0"/>
                    <w:right w:val="single" w:color="auto" w:sz="4" w:space="0"/>
                  </w:tcBorders>
                  <w:shd w:val="clear" w:color="auto" w:fill="auto"/>
                  <w:noWrap/>
                  <w:vAlign w:val="center"/>
                </w:tcPr>
                <w:p w14:paraId="6F636B9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580659.0021 </w:t>
                  </w:r>
                </w:p>
              </w:tc>
              <w:tc>
                <w:tcPr>
                  <w:tcW w:w="980" w:type="dxa"/>
                  <w:tcBorders>
                    <w:top w:val="nil"/>
                    <w:left w:val="nil"/>
                    <w:bottom w:val="single" w:color="auto" w:sz="4" w:space="0"/>
                    <w:right w:val="single" w:color="auto" w:sz="4" w:space="0"/>
                  </w:tcBorders>
                  <w:shd w:val="clear" w:color="auto" w:fill="auto"/>
                  <w:noWrap/>
                  <w:vAlign w:val="center"/>
                </w:tcPr>
                <w:p w14:paraId="09B7ADF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51</w:t>
                  </w:r>
                </w:p>
              </w:tc>
              <w:tc>
                <w:tcPr>
                  <w:tcW w:w="1900" w:type="dxa"/>
                  <w:tcBorders>
                    <w:top w:val="nil"/>
                    <w:left w:val="nil"/>
                    <w:bottom w:val="single" w:color="auto" w:sz="4" w:space="0"/>
                    <w:right w:val="single" w:color="auto" w:sz="4" w:space="0"/>
                  </w:tcBorders>
                  <w:shd w:val="clear" w:color="auto" w:fill="auto"/>
                  <w:noWrap/>
                  <w:vAlign w:val="center"/>
                </w:tcPr>
                <w:p w14:paraId="25735F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2833282.821 </w:t>
                  </w:r>
                </w:p>
              </w:tc>
              <w:tc>
                <w:tcPr>
                  <w:tcW w:w="1900" w:type="dxa"/>
                  <w:tcBorders>
                    <w:top w:val="nil"/>
                    <w:left w:val="nil"/>
                    <w:bottom w:val="single" w:color="auto" w:sz="4" w:space="0"/>
                    <w:right w:val="single" w:color="auto" w:sz="4" w:space="0"/>
                  </w:tcBorders>
                  <w:shd w:val="clear" w:color="auto" w:fill="auto"/>
                  <w:noWrap/>
                  <w:vAlign w:val="center"/>
                </w:tcPr>
                <w:p w14:paraId="62EC32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580820.4783 </w:t>
                  </w:r>
                </w:p>
              </w:tc>
            </w:tr>
            <w:tr w14:paraId="1D2AF9CE">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7AEC4A2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19</w:t>
                  </w:r>
                </w:p>
              </w:tc>
              <w:tc>
                <w:tcPr>
                  <w:tcW w:w="1536" w:type="dxa"/>
                  <w:tcBorders>
                    <w:top w:val="nil"/>
                    <w:left w:val="nil"/>
                    <w:bottom w:val="single" w:color="auto" w:sz="4" w:space="0"/>
                    <w:right w:val="single" w:color="auto" w:sz="4" w:space="0"/>
                  </w:tcBorders>
                  <w:shd w:val="clear" w:color="auto" w:fill="auto"/>
                  <w:noWrap/>
                  <w:vAlign w:val="center"/>
                </w:tcPr>
                <w:p w14:paraId="63774C5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2833088.207 </w:t>
                  </w:r>
                </w:p>
              </w:tc>
              <w:tc>
                <w:tcPr>
                  <w:tcW w:w="1870" w:type="dxa"/>
                  <w:tcBorders>
                    <w:top w:val="nil"/>
                    <w:left w:val="nil"/>
                    <w:bottom w:val="single" w:color="auto" w:sz="4" w:space="0"/>
                    <w:right w:val="single" w:color="auto" w:sz="4" w:space="0"/>
                  </w:tcBorders>
                  <w:shd w:val="clear" w:color="auto" w:fill="auto"/>
                  <w:noWrap/>
                  <w:vAlign w:val="center"/>
                </w:tcPr>
                <w:p w14:paraId="113A794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580649.4767 </w:t>
                  </w:r>
                </w:p>
              </w:tc>
              <w:tc>
                <w:tcPr>
                  <w:tcW w:w="980" w:type="dxa"/>
                  <w:tcBorders>
                    <w:top w:val="nil"/>
                    <w:left w:val="nil"/>
                    <w:bottom w:val="single" w:color="auto" w:sz="4" w:space="0"/>
                    <w:right w:val="single" w:color="auto" w:sz="4" w:space="0"/>
                  </w:tcBorders>
                  <w:shd w:val="clear" w:color="auto" w:fill="auto"/>
                  <w:noWrap/>
                  <w:vAlign w:val="center"/>
                </w:tcPr>
                <w:p w14:paraId="661AF9B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52</w:t>
                  </w:r>
                </w:p>
              </w:tc>
              <w:tc>
                <w:tcPr>
                  <w:tcW w:w="1900" w:type="dxa"/>
                  <w:tcBorders>
                    <w:top w:val="nil"/>
                    <w:left w:val="nil"/>
                    <w:bottom w:val="single" w:color="auto" w:sz="4" w:space="0"/>
                    <w:right w:val="single" w:color="auto" w:sz="4" w:space="0"/>
                  </w:tcBorders>
                  <w:shd w:val="clear" w:color="auto" w:fill="auto"/>
                  <w:noWrap/>
                  <w:vAlign w:val="center"/>
                </w:tcPr>
                <w:p w14:paraId="4E9D0D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2833254.643 </w:t>
                  </w:r>
                </w:p>
              </w:tc>
              <w:tc>
                <w:tcPr>
                  <w:tcW w:w="1900" w:type="dxa"/>
                  <w:tcBorders>
                    <w:top w:val="nil"/>
                    <w:left w:val="nil"/>
                    <w:bottom w:val="single" w:color="auto" w:sz="4" w:space="0"/>
                    <w:right w:val="single" w:color="auto" w:sz="4" w:space="0"/>
                  </w:tcBorders>
                  <w:shd w:val="clear" w:color="auto" w:fill="auto"/>
                  <w:noWrap/>
                  <w:vAlign w:val="center"/>
                </w:tcPr>
                <w:p w14:paraId="5C1D8B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580837.5440 </w:t>
                  </w:r>
                </w:p>
              </w:tc>
            </w:tr>
            <w:tr w14:paraId="7A58398E">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59B72C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w:t>
                  </w:r>
                </w:p>
              </w:tc>
              <w:tc>
                <w:tcPr>
                  <w:tcW w:w="1536" w:type="dxa"/>
                  <w:tcBorders>
                    <w:top w:val="nil"/>
                    <w:left w:val="nil"/>
                    <w:bottom w:val="single" w:color="auto" w:sz="4" w:space="0"/>
                    <w:right w:val="single" w:color="auto" w:sz="4" w:space="0"/>
                  </w:tcBorders>
                  <w:shd w:val="clear" w:color="auto" w:fill="auto"/>
                  <w:noWrap/>
                  <w:vAlign w:val="center"/>
                </w:tcPr>
                <w:p w14:paraId="6965D5A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2833097.985 </w:t>
                  </w:r>
                </w:p>
              </w:tc>
              <w:tc>
                <w:tcPr>
                  <w:tcW w:w="1870" w:type="dxa"/>
                  <w:tcBorders>
                    <w:top w:val="nil"/>
                    <w:left w:val="nil"/>
                    <w:bottom w:val="single" w:color="auto" w:sz="4" w:space="0"/>
                    <w:right w:val="single" w:color="auto" w:sz="4" w:space="0"/>
                  </w:tcBorders>
                  <w:shd w:val="clear" w:color="auto" w:fill="auto"/>
                  <w:noWrap/>
                  <w:vAlign w:val="center"/>
                </w:tcPr>
                <w:p w14:paraId="2D64DDF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580640.0614 </w:t>
                  </w:r>
                </w:p>
              </w:tc>
              <w:tc>
                <w:tcPr>
                  <w:tcW w:w="980" w:type="dxa"/>
                  <w:tcBorders>
                    <w:top w:val="nil"/>
                    <w:left w:val="nil"/>
                    <w:bottom w:val="single" w:color="auto" w:sz="4" w:space="0"/>
                    <w:right w:val="single" w:color="auto" w:sz="4" w:space="0"/>
                  </w:tcBorders>
                  <w:shd w:val="clear" w:color="auto" w:fill="auto"/>
                  <w:noWrap/>
                  <w:vAlign w:val="center"/>
                </w:tcPr>
                <w:p w14:paraId="1C7AA07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53</w:t>
                  </w:r>
                </w:p>
              </w:tc>
              <w:tc>
                <w:tcPr>
                  <w:tcW w:w="1900" w:type="dxa"/>
                  <w:tcBorders>
                    <w:top w:val="nil"/>
                    <w:left w:val="nil"/>
                    <w:bottom w:val="single" w:color="auto" w:sz="4" w:space="0"/>
                    <w:right w:val="single" w:color="auto" w:sz="4" w:space="0"/>
                  </w:tcBorders>
                  <w:shd w:val="clear" w:color="auto" w:fill="auto"/>
                  <w:noWrap/>
                  <w:vAlign w:val="center"/>
                </w:tcPr>
                <w:p w14:paraId="76B51E9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2833239.165 </w:t>
                  </w:r>
                </w:p>
              </w:tc>
              <w:tc>
                <w:tcPr>
                  <w:tcW w:w="1900" w:type="dxa"/>
                  <w:tcBorders>
                    <w:top w:val="nil"/>
                    <w:left w:val="nil"/>
                    <w:bottom w:val="single" w:color="auto" w:sz="4" w:space="0"/>
                    <w:right w:val="single" w:color="auto" w:sz="4" w:space="0"/>
                  </w:tcBorders>
                  <w:shd w:val="clear" w:color="auto" w:fill="auto"/>
                  <w:noWrap/>
                  <w:vAlign w:val="center"/>
                </w:tcPr>
                <w:p w14:paraId="7832736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580861.3564 </w:t>
                  </w:r>
                </w:p>
              </w:tc>
            </w:tr>
            <w:tr w14:paraId="0B874A4D">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55A8730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21</w:t>
                  </w:r>
                </w:p>
              </w:tc>
              <w:tc>
                <w:tcPr>
                  <w:tcW w:w="1536" w:type="dxa"/>
                  <w:tcBorders>
                    <w:top w:val="nil"/>
                    <w:left w:val="nil"/>
                    <w:bottom w:val="single" w:color="auto" w:sz="4" w:space="0"/>
                    <w:right w:val="single" w:color="auto" w:sz="4" w:space="0"/>
                  </w:tcBorders>
                  <w:shd w:val="clear" w:color="auto" w:fill="auto"/>
                  <w:noWrap/>
                  <w:vAlign w:val="center"/>
                </w:tcPr>
                <w:p w14:paraId="3FED1B0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2833101.972 </w:t>
                  </w:r>
                </w:p>
              </w:tc>
              <w:tc>
                <w:tcPr>
                  <w:tcW w:w="1870" w:type="dxa"/>
                  <w:tcBorders>
                    <w:top w:val="nil"/>
                    <w:left w:val="nil"/>
                    <w:bottom w:val="single" w:color="auto" w:sz="4" w:space="0"/>
                    <w:right w:val="single" w:color="auto" w:sz="4" w:space="0"/>
                  </w:tcBorders>
                  <w:shd w:val="clear" w:color="auto" w:fill="auto"/>
                  <w:noWrap/>
                  <w:vAlign w:val="center"/>
                </w:tcPr>
                <w:p w14:paraId="78757E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580630.9482 </w:t>
                  </w:r>
                </w:p>
              </w:tc>
              <w:tc>
                <w:tcPr>
                  <w:tcW w:w="980" w:type="dxa"/>
                  <w:tcBorders>
                    <w:top w:val="nil"/>
                    <w:left w:val="nil"/>
                    <w:bottom w:val="single" w:color="auto" w:sz="4" w:space="0"/>
                    <w:right w:val="single" w:color="auto" w:sz="4" w:space="0"/>
                  </w:tcBorders>
                  <w:shd w:val="clear" w:color="auto" w:fill="auto"/>
                  <w:noWrap/>
                  <w:vAlign w:val="center"/>
                </w:tcPr>
                <w:p w14:paraId="3CFC9C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54</w:t>
                  </w:r>
                </w:p>
              </w:tc>
              <w:tc>
                <w:tcPr>
                  <w:tcW w:w="1900" w:type="dxa"/>
                  <w:tcBorders>
                    <w:top w:val="nil"/>
                    <w:left w:val="nil"/>
                    <w:bottom w:val="single" w:color="auto" w:sz="4" w:space="0"/>
                    <w:right w:val="single" w:color="auto" w:sz="4" w:space="0"/>
                  </w:tcBorders>
                  <w:shd w:val="clear" w:color="auto" w:fill="auto"/>
                  <w:noWrap/>
                  <w:vAlign w:val="center"/>
                </w:tcPr>
                <w:p w14:paraId="38F6C6E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2833237.974 </w:t>
                  </w:r>
                </w:p>
              </w:tc>
              <w:tc>
                <w:tcPr>
                  <w:tcW w:w="1900" w:type="dxa"/>
                  <w:tcBorders>
                    <w:top w:val="nil"/>
                    <w:left w:val="nil"/>
                    <w:bottom w:val="single" w:color="auto" w:sz="4" w:space="0"/>
                    <w:right w:val="single" w:color="auto" w:sz="4" w:space="0"/>
                  </w:tcBorders>
                  <w:shd w:val="clear" w:color="auto" w:fill="auto"/>
                  <w:noWrap/>
                  <w:vAlign w:val="center"/>
                </w:tcPr>
                <w:p w14:paraId="61E8357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580876.8346 </w:t>
                  </w:r>
                </w:p>
              </w:tc>
            </w:tr>
            <w:tr w14:paraId="4FE7DEAA">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65D2B7D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22</w:t>
                  </w:r>
                </w:p>
              </w:tc>
              <w:tc>
                <w:tcPr>
                  <w:tcW w:w="1536" w:type="dxa"/>
                  <w:tcBorders>
                    <w:top w:val="nil"/>
                    <w:left w:val="nil"/>
                    <w:bottom w:val="single" w:color="auto" w:sz="4" w:space="0"/>
                    <w:right w:val="single" w:color="auto" w:sz="4" w:space="0"/>
                  </w:tcBorders>
                  <w:shd w:val="clear" w:color="auto" w:fill="auto"/>
                  <w:noWrap/>
                  <w:vAlign w:val="center"/>
                </w:tcPr>
                <w:p w14:paraId="1F64A53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2833111.368 </w:t>
                  </w:r>
                </w:p>
              </w:tc>
              <w:tc>
                <w:tcPr>
                  <w:tcW w:w="1870" w:type="dxa"/>
                  <w:tcBorders>
                    <w:top w:val="nil"/>
                    <w:left w:val="nil"/>
                    <w:bottom w:val="single" w:color="auto" w:sz="4" w:space="0"/>
                    <w:right w:val="single" w:color="auto" w:sz="4" w:space="0"/>
                  </w:tcBorders>
                  <w:shd w:val="clear" w:color="auto" w:fill="auto"/>
                  <w:noWrap/>
                  <w:vAlign w:val="center"/>
                </w:tcPr>
                <w:p w14:paraId="3A00B2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580624.6606 </w:t>
                  </w:r>
                </w:p>
              </w:tc>
              <w:tc>
                <w:tcPr>
                  <w:tcW w:w="980" w:type="dxa"/>
                  <w:tcBorders>
                    <w:top w:val="nil"/>
                    <w:left w:val="nil"/>
                    <w:bottom w:val="single" w:color="auto" w:sz="4" w:space="0"/>
                    <w:right w:val="single" w:color="auto" w:sz="4" w:space="0"/>
                  </w:tcBorders>
                  <w:shd w:val="clear" w:color="auto" w:fill="auto"/>
                  <w:noWrap/>
                  <w:vAlign w:val="center"/>
                </w:tcPr>
                <w:p w14:paraId="295027F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55</w:t>
                  </w:r>
                </w:p>
              </w:tc>
              <w:tc>
                <w:tcPr>
                  <w:tcW w:w="1900" w:type="dxa"/>
                  <w:tcBorders>
                    <w:top w:val="nil"/>
                    <w:left w:val="nil"/>
                    <w:bottom w:val="single" w:color="auto" w:sz="4" w:space="0"/>
                    <w:right w:val="single" w:color="auto" w:sz="4" w:space="0"/>
                  </w:tcBorders>
                  <w:shd w:val="clear" w:color="auto" w:fill="auto"/>
                  <w:noWrap/>
                  <w:vAlign w:val="center"/>
                </w:tcPr>
                <w:p w14:paraId="5C0320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2833239.165 </w:t>
                  </w:r>
                </w:p>
              </w:tc>
              <w:tc>
                <w:tcPr>
                  <w:tcW w:w="1900" w:type="dxa"/>
                  <w:tcBorders>
                    <w:top w:val="nil"/>
                    <w:left w:val="nil"/>
                    <w:bottom w:val="single" w:color="auto" w:sz="4" w:space="0"/>
                    <w:right w:val="single" w:color="auto" w:sz="4" w:space="0"/>
                  </w:tcBorders>
                  <w:shd w:val="clear" w:color="auto" w:fill="auto"/>
                  <w:noWrap/>
                  <w:vAlign w:val="center"/>
                </w:tcPr>
                <w:p w14:paraId="1CB718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580883.1846 </w:t>
                  </w:r>
                </w:p>
              </w:tc>
            </w:tr>
            <w:tr w14:paraId="4F4198C5">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391A09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23</w:t>
                  </w:r>
                </w:p>
              </w:tc>
              <w:tc>
                <w:tcPr>
                  <w:tcW w:w="1536" w:type="dxa"/>
                  <w:tcBorders>
                    <w:top w:val="nil"/>
                    <w:left w:val="nil"/>
                    <w:bottom w:val="single" w:color="auto" w:sz="4" w:space="0"/>
                    <w:right w:val="single" w:color="auto" w:sz="4" w:space="0"/>
                  </w:tcBorders>
                  <w:shd w:val="clear" w:color="auto" w:fill="auto"/>
                  <w:noWrap/>
                  <w:vAlign w:val="center"/>
                </w:tcPr>
                <w:p w14:paraId="4FD3308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2833119.782 </w:t>
                  </w:r>
                </w:p>
              </w:tc>
              <w:tc>
                <w:tcPr>
                  <w:tcW w:w="1870" w:type="dxa"/>
                  <w:tcBorders>
                    <w:top w:val="nil"/>
                    <w:left w:val="nil"/>
                    <w:bottom w:val="single" w:color="auto" w:sz="4" w:space="0"/>
                    <w:right w:val="single" w:color="auto" w:sz="4" w:space="0"/>
                  </w:tcBorders>
                  <w:shd w:val="clear" w:color="auto" w:fill="auto"/>
                  <w:noWrap/>
                  <w:vAlign w:val="center"/>
                </w:tcPr>
                <w:p w14:paraId="114DD73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580621.1682 </w:t>
                  </w:r>
                </w:p>
              </w:tc>
              <w:tc>
                <w:tcPr>
                  <w:tcW w:w="980" w:type="dxa"/>
                  <w:tcBorders>
                    <w:top w:val="nil"/>
                    <w:left w:val="nil"/>
                    <w:bottom w:val="single" w:color="auto" w:sz="4" w:space="0"/>
                    <w:right w:val="single" w:color="auto" w:sz="4" w:space="0"/>
                  </w:tcBorders>
                  <w:shd w:val="clear" w:color="auto" w:fill="auto"/>
                  <w:noWrap/>
                  <w:vAlign w:val="center"/>
                </w:tcPr>
                <w:p w14:paraId="4ACDF49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56</w:t>
                  </w:r>
                </w:p>
              </w:tc>
              <w:tc>
                <w:tcPr>
                  <w:tcW w:w="1900" w:type="dxa"/>
                  <w:tcBorders>
                    <w:top w:val="nil"/>
                    <w:left w:val="nil"/>
                    <w:bottom w:val="single" w:color="auto" w:sz="4" w:space="0"/>
                    <w:right w:val="single" w:color="auto" w:sz="4" w:space="0"/>
                  </w:tcBorders>
                  <w:shd w:val="clear" w:color="auto" w:fill="auto"/>
                  <w:noWrap/>
                  <w:vAlign w:val="center"/>
                </w:tcPr>
                <w:p w14:paraId="38E2B9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2833240.752 </w:t>
                  </w:r>
                </w:p>
              </w:tc>
              <w:tc>
                <w:tcPr>
                  <w:tcW w:w="1900" w:type="dxa"/>
                  <w:tcBorders>
                    <w:top w:val="nil"/>
                    <w:left w:val="nil"/>
                    <w:bottom w:val="single" w:color="auto" w:sz="4" w:space="0"/>
                    <w:right w:val="single" w:color="auto" w:sz="4" w:space="0"/>
                  </w:tcBorders>
                  <w:shd w:val="clear" w:color="auto" w:fill="auto"/>
                  <w:noWrap/>
                  <w:vAlign w:val="center"/>
                </w:tcPr>
                <w:p w14:paraId="07E27B9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580891.1222 </w:t>
                  </w:r>
                </w:p>
              </w:tc>
            </w:tr>
            <w:tr w14:paraId="6285D045">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2DADC2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24</w:t>
                  </w:r>
                </w:p>
              </w:tc>
              <w:tc>
                <w:tcPr>
                  <w:tcW w:w="1536" w:type="dxa"/>
                  <w:tcBorders>
                    <w:top w:val="nil"/>
                    <w:left w:val="nil"/>
                    <w:bottom w:val="single" w:color="auto" w:sz="4" w:space="0"/>
                    <w:right w:val="single" w:color="auto" w:sz="4" w:space="0"/>
                  </w:tcBorders>
                  <w:shd w:val="clear" w:color="auto" w:fill="auto"/>
                  <w:noWrap/>
                  <w:vAlign w:val="center"/>
                </w:tcPr>
                <w:p w14:paraId="7416E0B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2833127.536 </w:t>
                  </w:r>
                </w:p>
              </w:tc>
              <w:tc>
                <w:tcPr>
                  <w:tcW w:w="1870" w:type="dxa"/>
                  <w:tcBorders>
                    <w:top w:val="nil"/>
                    <w:left w:val="nil"/>
                    <w:bottom w:val="single" w:color="auto" w:sz="4" w:space="0"/>
                    <w:right w:val="single" w:color="auto" w:sz="4" w:space="0"/>
                  </w:tcBorders>
                  <w:shd w:val="clear" w:color="auto" w:fill="auto"/>
                  <w:noWrap/>
                  <w:vAlign w:val="center"/>
                </w:tcPr>
                <w:p w14:paraId="7C5F261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580617.1854 </w:t>
                  </w:r>
                </w:p>
              </w:tc>
              <w:tc>
                <w:tcPr>
                  <w:tcW w:w="980" w:type="dxa"/>
                  <w:tcBorders>
                    <w:top w:val="nil"/>
                    <w:left w:val="nil"/>
                    <w:bottom w:val="single" w:color="auto" w:sz="4" w:space="0"/>
                    <w:right w:val="single" w:color="auto" w:sz="4" w:space="0"/>
                  </w:tcBorders>
                  <w:shd w:val="clear" w:color="auto" w:fill="auto"/>
                  <w:noWrap/>
                  <w:vAlign w:val="center"/>
                </w:tcPr>
                <w:p w14:paraId="28467A0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57</w:t>
                  </w:r>
                </w:p>
              </w:tc>
              <w:tc>
                <w:tcPr>
                  <w:tcW w:w="1900" w:type="dxa"/>
                  <w:tcBorders>
                    <w:top w:val="nil"/>
                    <w:left w:val="nil"/>
                    <w:bottom w:val="single" w:color="auto" w:sz="4" w:space="0"/>
                    <w:right w:val="single" w:color="auto" w:sz="4" w:space="0"/>
                  </w:tcBorders>
                  <w:shd w:val="clear" w:color="auto" w:fill="auto"/>
                  <w:noWrap/>
                  <w:vAlign w:val="center"/>
                </w:tcPr>
                <w:p w14:paraId="0C27122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2833239.165 </w:t>
                  </w:r>
                </w:p>
              </w:tc>
              <w:tc>
                <w:tcPr>
                  <w:tcW w:w="1900" w:type="dxa"/>
                  <w:tcBorders>
                    <w:top w:val="nil"/>
                    <w:left w:val="nil"/>
                    <w:bottom w:val="single" w:color="auto" w:sz="4" w:space="0"/>
                    <w:right w:val="single" w:color="auto" w:sz="4" w:space="0"/>
                  </w:tcBorders>
                  <w:shd w:val="clear" w:color="auto" w:fill="auto"/>
                  <w:noWrap/>
                  <w:vAlign w:val="center"/>
                </w:tcPr>
                <w:p w14:paraId="38DE449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580899.0596 </w:t>
                  </w:r>
                </w:p>
              </w:tc>
            </w:tr>
            <w:tr w14:paraId="2BE099F1">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37DF85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25</w:t>
                  </w:r>
                </w:p>
              </w:tc>
              <w:tc>
                <w:tcPr>
                  <w:tcW w:w="1536" w:type="dxa"/>
                  <w:tcBorders>
                    <w:top w:val="nil"/>
                    <w:left w:val="nil"/>
                    <w:bottom w:val="single" w:color="auto" w:sz="4" w:space="0"/>
                    <w:right w:val="single" w:color="auto" w:sz="4" w:space="0"/>
                  </w:tcBorders>
                  <w:shd w:val="clear" w:color="auto" w:fill="auto"/>
                  <w:noWrap/>
                  <w:vAlign w:val="center"/>
                </w:tcPr>
                <w:p w14:paraId="78E0EA7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2833133.594 </w:t>
                  </w:r>
                </w:p>
              </w:tc>
              <w:tc>
                <w:tcPr>
                  <w:tcW w:w="1870" w:type="dxa"/>
                  <w:tcBorders>
                    <w:top w:val="nil"/>
                    <w:left w:val="nil"/>
                    <w:bottom w:val="single" w:color="auto" w:sz="4" w:space="0"/>
                    <w:right w:val="single" w:color="auto" w:sz="4" w:space="0"/>
                  </w:tcBorders>
                  <w:shd w:val="clear" w:color="auto" w:fill="auto"/>
                  <w:noWrap/>
                  <w:vAlign w:val="center"/>
                </w:tcPr>
                <w:p w14:paraId="1D883B4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580615.4460 </w:t>
                  </w:r>
                </w:p>
              </w:tc>
              <w:tc>
                <w:tcPr>
                  <w:tcW w:w="980" w:type="dxa"/>
                  <w:tcBorders>
                    <w:top w:val="nil"/>
                    <w:left w:val="nil"/>
                    <w:bottom w:val="single" w:color="auto" w:sz="4" w:space="0"/>
                    <w:right w:val="single" w:color="auto" w:sz="4" w:space="0"/>
                  </w:tcBorders>
                  <w:shd w:val="clear" w:color="auto" w:fill="auto"/>
                  <w:noWrap/>
                  <w:vAlign w:val="center"/>
                </w:tcPr>
                <w:p w14:paraId="109CC4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58</w:t>
                  </w:r>
                </w:p>
              </w:tc>
              <w:tc>
                <w:tcPr>
                  <w:tcW w:w="1900" w:type="dxa"/>
                  <w:tcBorders>
                    <w:top w:val="nil"/>
                    <w:left w:val="nil"/>
                    <w:bottom w:val="single" w:color="auto" w:sz="4" w:space="0"/>
                    <w:right w:val="single" w:color="auto" w:sz="4" w:space="0"/>
                  </w:tcBorders>
                  <w:shd w:val="clear" w:color="auto" w:fill="auto"/>
                  <w:noWrap/>
                  <w:vAlign w:val="center"/>
                </w:tcPr>
                <w:p w14:paraId="003FA44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2833228.052 </w:t>
                  </w:r>
                </w:p>
              </w:tc>
              <w:tc>
                <w:tcPr>
                  <w:tcW w:w="1900" w:type="dxa"/>
                  <w:tcBorders>
                    <w:top w:val="nil"/>
                    <w:left w:val="nil"/>
                    <w:bottom w:val="single" w:color="auto" w:sz="4" w:space="0"/>
                    <w:right w:val="single" w:color="auto" w:sz="4" w:space="0"/>
                  </w:tcBorders>
                  <w:shd w:val="clear" w:color="auto" w:fill="auto"/>
                  <w:noWrap/>
                  <w:vAlign w:val="center"/>
                </w:tcPr>
                <w:p w14:paraId="341A3E5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580909.3785 </w:t>
                  </w:r>
                </w:p>
              </w:tc>
            </w:tr>
            <w:tr w14:paraId="6DD6AD6F">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2B09B20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26</w:t>
                  </w:r>
                </w:p>
              </w:tc>
              <w:tc>
                <w:tcPr>
                  <w:tcW w:w="1536" w:type="dxa"/>
                  <w:tcBorders>
                    <w:top w:val="nil"/>
                    <w:left w:val="nil"/>
                    <w:bottom w:val="single" w:color="auto" w:sz="4" w:space="0"/>
                    <w:right w:val="single" w:color="auto" w:sz="4" w:space="0"/>
                  </w:tcBorders>
                  <w:shd w:val="clear" w:color="auto" w:fill="auto"/>
                  <w:noWrap/>
                  <w:vAlign w:val="center"/>
                </w:tcPr>
                <w:p w14:paraId="515041B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2833146.008 </w:t>
                  </w:r>
                </w:p>
              </w:tc>
              <w:tc>
                <w:tcPr>
                  <w:tcW w:w="1870" w:type="dxa"/>
                  <w:tcBorders>
                    <w:top w:val="nil"/>
                    <w:left w:val="nil"/>
                    <w:bottom w:val="single" w:color="auto" w:sz="4" w:space="0"/>
                    <w:right w:val="single" w:color="auto" w:sz="4" w:space="0"/>
                  </w:tcBorders>
                  <w:shd w:val="clear" w:color="auto" w:fill="auto"/>
                  <w:noWrap/>
                  <w:vAlign w:val="center"/>
                </w:tcPr>
                <w:p w14:paraId="569E50E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580615.6848 </w:t>
                  </w:r>
                </w:p>
              </w:tc>
              <w:tc>
                <w:tcPr>
                  <w:tcW w:w="980" w:type="dxa"/>
                  <w:tcBorders>
                    <w:top w:val="nil"/>
                    <w:left w:val="nil"/>
                    <w:bottom w:val="single" w:color="auto" w:sz="4" w:space="0"/>
                    <w:right w:val="single" w:color="auto" w:sz="4" w:space="0"/>
                  </w:tcBorders>
                  <w:shd w:val="clear" w:color="auto" w:fill="auto"/>
                  <w:noWrap/>
                  <w:vAlign w:val="center"/>
                </w:tcPr>
                <w:p w14:paraId="3FB7291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59</w:t>
                  </w:r>
                </w:p>
              </w:tc>
              <w:tc>
                <w:tcPr>
                  <w:tcW w:w="1900" w:type="dxa"/>
                  <w:tcBorders>
                    <w:top w:val="nil"/>
                    <w:left w:val="nil"/>
                    <w:bottom w:val="single" w:color="auto" w:sz="4" w:space="0"/>
                    <w:right w:val="single" w:color="auto" w:sz="4" w:space="0"/>
                  </w:tcBorders>
                  <w:shd w:val="clear" w:color="auto" w:fill="auto"/>
                  <w:noWrap/>
                  <w:vAlign w:val="center"/>
                </w:tcPr>
                <w:p w14:paraId="647C21C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2833228.028 </w:t>
                  </w:r>
                </w:p>
              </w:tc>
              <w:tc>
                <w:tcPr>
                  <w:tcW w:w="1900" w:type="dxa"/>
                  <w:tcBorders>
                    <w:top w:val="nil"/>
                    <w:left w:val="nil"/>
                    <w:bottom w:val="single" w:color="auto" w:sz="4" w:space="0"/>
                    <w:right w:val="single" w:color="auto" w:sz="4" w:space="0"/>
                  </w:tcBorders>
                  <w:shd w:val="clear" w:color="auto" w:fill="auto"/>
                  <w:noWrap/>
                  <w:vAlign w:val="center"/>
                </w:tcPr>
                <w:p w14:paraId="18F3252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580909.3991 </w:t>
                  </w:r>
                </w:p>
              </w:tc>
            </w:tr>
            <w:tr w14:paraId="584868B6">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4505EB4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27</w:t>
                  </w:r>
                </w:p>
              </w:tc>
              <w:tc>
                <w:tcPr>
                  <w:tcW w:w="1536" w:type="dxa"/>
                  <w:tcBorders>
                    <w:top w:val="nil"/>
                    <w:left w:val="nil"/>
                    <w:bottom w:val="single" w:color="auto" w:sz="4" w:space="0"/>
                    <w:right w:val="single" w:color="auto" w:sz="4" w:space="0"/>
                  </w:tcBorders>
                  <w:shd w:val="clear" w:color="auto" w:fill="auto"/>
                  <w:noWrap/>
                  <w:vAlign w:val="center"/>
                </w:tcPr>
                <w:p w14:paraId="240E4B6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2833150.560 </w:t>
                  </w:r>
                </w:p>
              </w:tc>
              <w:tc>
                <w:tcPr>
                  <w:tcW w:w="1870" w:type="dxa"/>
                  <w:tcBorders>
                    <w:top w:val="nil"/>
                    <w:left w:val="nil"/>
                    <w:bottom w:val="single" w:color="auto" w:sz="4" w:space="0"/>
                    <w:right w:val="single" w:color="auto" w:sz="4" w:space="0"/>
                  </w:tcBorders>
                  <w:shd w:val="clear" w:color="auto" w:fill="auto"/>
                  <w:noWrap/>
                  <w:vAlign w:val="center"/>
                </w:tcPr>
                <w:p w14:paraId="2ABE78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580615.2140 </w:t>
                  </w:r>
                </w:p>
              </w:tc>
              <w:tc>
                <w:tcPr>
                  <w:tcW w:w="980" w:type="dxa"/>
                  <w:tcBorders>
                    <w:top w:val="nil"/>
                    <w:left w:val="nil"/>
                    <w:bottom w:val="single" w:color="auto" w:sz="4" w:space="0"/>
                    <w:right w:val="single" w:color="auto" w:sz="4" w:space="0"/>
                  </w:tcBorders>
                  <w:shd w:val="clear" w:color="auto" w:fill="auto"/>
                  <w:noWrap/>
                  <w:vAlign w:val="center"/>
                </w:tcPr>
                <w:p w14:paraId="17D5894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60</w:t>
                  </w:r>
                </w:p>
              </w:tc>
              <w:tc>
                <w:tcPr>
                  <w:tcW w:w="1900" w:type="dxa"/>
                  <w:tcBorders>
                    <w:top w:val="nil"/>
                    <w:left w:val="nil"/>
                    <w:bottom w:val="single" w:color="auto" w:sz="4" w:space="0"/>
                    <w:right w:val="single" w:color="auto" w:sz="4" w:space="0"/>
                  </w:tcBorders>
                  <w:shd w:val="clear" w:color="auto" w:fill="auto"/>
                  <w:noWrap/>
                  <w:vAlign w:val="center"/>
                </w:tcPr>
                <w:p w14:paraId="3419BBA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2833212.971 </w:t>
                  </w:r>
                </w:p>
              </w:tc>
              <w:tc>
                <w:tcPr>
                  <w:tcW w:w="1900" w:type="dxa"/>
                  <w:tcBorders>
                    <w:top w:val="nil"/>
                    <w:left w:val="nil"/>
                    <w:bottom w:val="single" w:color="auto" w:sz="4" w:space="0"/>
                    <w:right w:val="single" w:color="auto" w:sz="4" w:space="0"/>
                  </w:tcBorders>
                  <w:shd w:val="clear" w:color="auto" w:fill="auto"/>
                  <w:noWrap/>
                  <w:vAlign w:val="center"/>
                </w:tcPr>
                <w:p w14:paraId="244F9B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580922.0784 </w:t>
                  </w:r>
                </w:p>
              </w:tc>
            </w:tr>
            <w:tr w14:paraId="49B458B4">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4AC3043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28</w:t>
                  </w:r>
                </w:p>
              </w:tc>
              <w:tc>
                <w:tcPr>
                  <w:tcW w:w="1536" w:type="dxa"/>
                  <w:tcBorders>
                    <w:top w:val="nil"/>
                    <w:left w:val="nil"/>
                    <w:bottom w:val="single" w:color="auto" w:sz="4" w:space="0"/>
                    <w:right w:val="single" w:color="auto" w:sz="4" w:space="0"/>
                  </w:tcBorders>
                  <w:shd w:val="clear" w:color="auto" w:fill="auto"/>
                  <w:noWrap/>
                  <w:vAlign w:val="center"/>
                </w:tcPr>
                <w:p w14:paraId="1B99D1A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2833152.545 </w:t>
                  </w:r>
                </w:p>
              </w:tc>
              <w:tc>
                <w:tcPr>
                  <w:tcW w:w="1870" w:type="dxa"/>
                  <w:tcBorders>
                    <w:top w:val="nil"/>
                    <w:left w:val="nil"/>
                    <w:bottom w:val="single" w:color="auto" w:sz="4" w:space="0"/>
                    <w:right w:val="single" w:color="auto" w:sz="4" w:space="0"/>
                  </w:tcBorders>
                  <w:shd w:val="clear" w:color="auto" w:fill="auto"/>
                  <w:noWrap/>
                  <w:vAlign w:val="center"/>
                </w:tcPr>
                <w:p w14:paraId="54F9354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580614.7180 </w:t>
                  </w:r>
                </w:p>
              </w:tc>
              <w:tc>
                <w:tcPr>
                  <w:tcW w:w="980" w:type="dxa"/>
                  <w:tcBorders>
                    <w:top w:val="nil"/>
                    <w:left w:val="nil"/>
                    <w:bottom w:val="single" w:color="auto" w:sz="4" w:space="0"/>
                    <w:right w:val="single" w:color="auto" w:sz="4" w:space="0"/>
                  </w:tcBorders>
                  <w:shd w:val="clear" w:color="auto" w:fill="auto"/>
                  <w:noWrap/>
                  <w:vAlign w:val="center"/>
                </w:tcPr>
                <w:p w14:paraId="47A00AF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61</w:t>
                  </w:r>
                </w:p>
              </w:tc>
              <w:tc>
                <w:tcPr>
                  <w:tcW w:w="1900" w:type="dxa"/>
                  <w:tcBorders>
                    <w:top w:val="nil"/>
                    <w:left w:val="nil"/>
                    <w:bottom w:val="single" w:color="auto" w:sz="4" w:space="0"/>
                    <w:right w:val="single" w:color="auto" w:sz="4" w:space="0"/>
                  </w:tcBorders>
                  <w:shd w:val="clear" w:color="auto" w:fill="auto"/>
                  <w:noWrap/>
                  <w:vAlign w:val="center"/>
                </w:tcPr>
                <w:p w14:paraId="64E3172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2833195.905 </w:t>
                  </w:r>
                </w:p>
              </w:tc>
              <w:tc>
                <w:tcPr>
                  <w:tcW w:w="1900" w:type="dxa"/>
                  <w:tcBorders>
                    <w:top w:val="nil"/>
                    <w:left w:val="nil"/>
                    <w:bottom w:val="single" w:color="auto" w:sz="4" w:space="0"/>
                    <w:right w:val="single" w:color="auto" w:sz="4" w:space="0"/>
                  </w:tcBorders>
                  <w:shd w:val="clear" w:color="auto" w:fill="auto"/>
                  <w:noWrap/>
                  <w:vAlign w:val="center"/>
                </w:tcPr>
                <w:p w14:paraId="408E43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580928.4286 </w:t>
                  </w:r>
                </w:p>
              </w:tc>
            </w:tr>
            <w:tr w14:paraId="34721DA1">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771E9E3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29</w:t>
                  </w:r>
                </w:p>
              </w:tc>
              <w:tc>
                <w:tcPr>
                  <w:tcW w:w="1536" w:type="dxa"/>
                  <w:tcBorders>
                    <w:top w:val="nil"/>
                    <w:left w:val="nil"/>
                    <w:bottom w:val="single" w:color="auto" w:sz="4" w:space="0"/>
                    <w:right w:val="single" w:color="auto" w:sz="4" w:space="0"/>
                  </w:tcBorders>
                  <w:shd w:val="clear" w:color="auto" w:fill="auto"/>
                  <w:noWrap/>
                  <w:vAlign w:val="center"/>
                </w:tcPr>
                <w:p w14:paraId="722CBC5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2833156.608 </w:t>
                  </w:r>
                </w:p>
              </w:tc>
              <w:tc>
                <w:tcPr>
                  <w:tcW w:w="1870" w:type="dxa"/>
                  <w:tcBorders>
                    <w:top w:val="nil"/>
                    <w:left w:val="nil"/>
                    <w:bottom w:val="single" w:color="auto" w:sz="4" w:space="0"/>
                    <w:right w:val="single" w:color="auto" w:sz="4" w:space="0"/>
                  </w:tcBorders>
                  <w:shd w:val="clear" w:color="auto" w:fill="auto"/>
                  <w:noWrap/>
                  <w:vAlign w:val="center"/>
                </w:tcPr>
                <w:p w14:paraId="0F0C69E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580613.2102 </w:t>
                  </w:r>
                </w:p>
              </w:tc>
              <w:tc>
                <w:tcPr>
                  <w:tcW w:w="980" w:type="dxa"/>
                  <w:tcBorders>
                    <w:top w:val="nil"/>
                    <w:left w:val="nil"/>
                    <w:bottom w:val="single" w:color="auto" w:sz="4" w:space="0"/>
                    <w:right w:val="single" w:color="auto" w:sz="4" w:space="0"/>
                  </w:tcBorders>
                  <w:shd w:val="clear" w:color="auto" w:fill="auto"/>
                  <w:noWrap/>
                  <w:vAlign w:val="center"/>
                </w:tcPr>
                <w:p w14:paraId="5AF18D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62</w:t>
                  </w:r>
                </w:p>
              </w:tc>
              <w:tc>
                <w:tcPr>
                  <w:tcW w:w="1900" w:type="dxa"/>
                  <w:tcBorders>
                    <w:top w:val="nil"/>
                    <w:left w:val="nil"/>
                    <w:bottom w:val="single" w:color="auto" w:sz="4" w:space="0"/>
                    <w:right w:val="single" w:color="auto" w:sz="4" w:space="0"/>
                  </w:tcBorders>
                  <w:shd w:val="clear" w:color="auto" w:fill="auto"/>
                  <w:noWrap/>
                  <w:vAlign w:val="center"/>
                </w:tcPr>
                <w:p w14:paraId="02B76D3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2833183.602 </w:t>
                  </w:r>
                </w:p>
              </w:tc>
              <w:tc>
                <w:tcPr>
                  <w:tcW w:w="1900" w:type="dxa"/>
                  <w:tcBorders>
                    <w:top w:val="nil"/>
                    <w:left w:val="nil"/>
                    <w:bottom w:val="single" w:color="auto" w:sz="4" w:space="0"/>
                    <w:right w:val="single" w:color="auto" w:sz="4" w:space="0"/>
                  </w:tcBorders>
                  <w:shd w:val="clear" w:color="auto" w:fill="auto"/>
                  <w:noWrap/>
                  <w:vAlign w:val="center"/>
                </w:tcPr>
                <w:p w14:paraId="5B2F4FD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580929.2222 </w:t>
                  </w:r>
                </w:p>
              </w:tc>
            </w:tr>
            <w:tr w14:paraId="259103EB">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0AF5743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30</w:t>
                  </w:r>
                </w:p>
              </w:tc>
              <w:tc>
                <w:tcPr>
                  <w:tcW w:w="1536" w:type="dxa"/>
                  <w:tcBorders>
                    <w:top w:val="nil"/>
                    <w:left w:val="nil"/>
                    <w:bottom w:val="single" w:color="auto" w:sz="4" w:space="0"/>
                    <w:right w:val="single" w:color="auto" w:sz="4" w:space="0"/>
                  </w:tcBorders>
                  <w:shd w:val="clear" w:color="auto" w:fill="auto"/>
                  <w:noWrap/>
                  <w:vAlign w:val="center"/>
                </w:tcPr>
                <w:p w14:paraId="24C9AA6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2833189.141 </w:t>
                  </w:r>
                </w:p>
              </w:tc>
              <w:tc>
                <w:tcPr>
                  <w:tcW w:w="1870" w:type="dxa"/>
                  <w:tcBorders>
                    <w:top w:val="nil"/>
                    <w:left w:val="nil"/>
                    <w:bottom w:val="single" w:color="auto" w:sz="4" w:space="0"/>
                    <w:right w:val="single" w:color="auto" w:sz="4" w:space="0"/>
                  </w:tcBorders>
                  <w:shd w:val="clear" w:color="auto" w:fill="auto"/>
                  <w:noWrap/>
                  <w:vAlign w:val="center"/>
                </w:tcPr>
                <w:p w14:paraId="21E02AB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580625.2499 </w:t>
                  </w:r>
                </w:p>
              </w:tc>
              <w:tc>
                <w:tcPr>
                  <w:tcW w:w="980" w:type="dxa"/>
                  <w:tcBorders>
                    <w:top w:val="nil"/>
                    <w:left w:val="nil"/>
                    <w:bottom w:val="single" w:color="auto" w:sz="4" w:space="0"/>
                    <w:right w:val="single" w:color="auto" w:sz="4" w:space="0"/>
                  </w:tcBorders>
                  <w:shd w:val="clear" w:color="auto" w:fill="auto"/>
                  <w:noWrap/>
                  <w:vAlign w:val="center"/>
                </w:tcPr>
                <w:p w14:paraId="2C07B7A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63</w:t>
                  </w:r>
                </w:p>
              </w:tc>
              <w:tc>
                <w:tcPr>
                  <w:tcW w:w="1900" w:type="dxa"/>
                  <w:tcBorders>
                    <w:top w:val="nil"/>
                    <w:left w:val="nil"/>
                    <w:bottom w:val="single" w:color="auto" w:sz="4" w:space="0"/>
                    <w:right w:val="single" w:color="auto" w:sz="4" w:space="0"/>
                  </w:tcBorders>
                  <w:shd w:val="clear" w:color="auto" w:fill="auto"/>
                  <w:noWrap/>
                  <w:vAlign w:val="center"/>
                </w:tcPr>
                <w:p w14:paraId="0F86BAD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2833170.902 </w:t>
                  </w:r>
                </w:p>
              </w:tc>
              <w:tc>
                <w:tcPr>
                  <w:tcW w:w="1900" w:type="dxa"/>
                  <w:tcBorders>
                    <w:top w:val="nil"/>
                    <w:left w:val="nil"/>
                    <w:bottom w:val="single" w:color="auto" w:sz="4" w:space="0"/>
                    <w:right w:val="single" w:color="auto" w:sz="4" w:space="0"/>
                  </w:tcBorders>
                  <w:shd w:val="clear" w:color="auto" w:fill="auto"/>
                  <w:noWrap/>
                  <w:vAlign w:val="center"/>
                </w:tcPr>
                <w:p w14:paraId="4251500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580910.9660 </w:t>
                  </w:r>
                </w:p>
              </w:tc>
            </w:tr>
            <w:tr w14:paraId="71706765">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684553C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31</w:t>
                  </w:r>
                </w:p>
              </w:tc>
              <w:tc>
                <w:tcPr>
                  <w:tcW w:w="1536" w:type="dxa"/>
                  <w:tcBorders>
                    <w:top w:val="nil"/>
                    <w:left w:val="nil"/>
                    <w:bottom w:val="single" w:color="auto" w:sz="4" w:space="0"/>
                    <w:right w:val="single" w:color="auto" w:sz="4" w:space="0"/>
                  </w:tcBorders>
                  <w:shd w:val="clear" w:color="auto" w:fill="auto"/>
                  <w:noWrap/>
                  <w:vAlign w:val="center"/>
                </w:tcPr>
                <w:p w14:paraId="59DC3E1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2833226.391 </w:t>
                  </w:r>
                </w:p>
              </w:tc>
              <w:tc>
                <w:tcPr>
                  <w:tcW w:w="1870" w:type="dxa"/>
                  <w:tcBorders>
                    <w:top w:val="nil"/>
                    <w:left w:val="nil"/>
                    <w:bottom w:val="single" w:color="auto" w:sz="4" w:space="0"/>
                    <w:right w:val="single" w:color="auto" w:sz="4" w:space="0"/>
                  </w:tcBorders>
                  <w:shd w:val="clear" w:color="auto" w:fill="auto"/>
                  <w:noWrap/>
                  <w:vAlign w:val="center"/>
                </w:tcPr>
                <w:p w14:paraId="66AAFFD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580637.1576 </w:t>
                  </w:r>
                </w:p>
              </w:tc>
              <w:tc>
                <w:tcPr>
                  <w:tcW w:w="980" w:type="dxa"/>
                  <w:tcBorders>
                    <w:top w:val="nil"/>
                    <w:left w:val="nil"/>
                    <w:bottom w:val="single" w:color="auto" w:sz="4" w:space="0"/>
                    <w:right w:val="single" w:color="auto" w:sz="4" w:space="0"/>
                  </w:tcBorders>
                  <w:shd w:val="clear" w:color="auto" w:fill="auto"/>
                  <w:noWrap/>
                  <w:vAlign w:val="center"/>
                </w:tcPr>
                <w:p w14:paraId="166D71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64</w:t>
                  </w:r>
                </w:p>
              </w:tc>
              <w:tc>
                <w:tcPr>
                  <w:tcW w:w="1900" w:type="dxa"/>
                  <w:tcBorders>
                    <w:top w:val="nil"/>
                    <w:left w:val="nil"/>
                    <w:bottom w:val="single" w:color="auto" w:sz="4" w:space="0"/>
                    <w:right w:val="single" w:color="auto" w:sz="4" w:space="0"/>
                  </w:tcBorders>
                  <w:shd w:val="clear" w:color="auto" w:fill="auto"/>
                  <w:noWrap/>
                  <w:vAlign w:val="center"/>
                </w:tcPr>
                <w:p w14:paraId="5A6AE07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2833153.439 </w:t>
                  </w:r>
                </w:p>
              </w:tc>
              <w:tc>
                <w:tcPr>
                  <w:tcW w:w="1900" w:type="dxa"/>
                  <w:tcBorders>
                    <w:top w:val="nil"/>
                    <w:left w:val="nil"/>
                    <w:bottom w:val="single" w:color="auto" w:sz="4" w:space="0"/>
                    <w:right w:val="single" w:color="auto" w:sz="4" w:space="0"/>
                  </w:tcBorders>
                  <w:shd w:val="clear" w:color="auto" w:fill="auto"/>
                  <w:noWrap/>
                  <w:vAlign w:val="center"/>
                </w:tcPr>
                <w:p w14:paraId="6E88048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580898.6628 </w:t>
                  </w:r>
                </w:p>
              </w:tc>
            </w:tr>
            <w:tr w14:paraId="5CBEEB72">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566D510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32</w:t>
                  </w:r>
                </w:p>
              </w:tc>
              <w:tc>
                <w:tcPr>
                  <w:tcW w:w="1536" w:type="dxa"/>
                  <w:tcBorders>
                    <w:top w:val="nil"/>
                    <w:left w:val="nil"/>
                    <w:bottom w:val="single" w:color="auto" w:sz="4" w:space="0"/>
                    <w:right w:val="single" w:color="auto" w:sz="4" w:space="0"/>
                  </w:tcBorders>
                  <w:shd w:val="clear" w:color="auto" w:fill="auto"/>
                  <w:noWrap/>
                  <w:vAlign w:val="center"/>
                </w:tcPr>
                <w:p w14:paraId="09FC90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2833229.490 </w:t>
                  </w:r>
                </w:p>
              </w:tc>
              <w:tc>
                <w:tcPr>
                  <w:tcW w:w="1870" w:type="dxa"/>
                  <w:tcBorders>
                    <w:top w:val="nil"/>
                    <w:left w:val="nil"/>
                    <w:bottom w:val="single" w:color="auto" w:sz="4" w:space="0"/>
                    <w:right w:val="single" w:color="auto" w:sz="4" w:space="0"/>
                  </w:tcBorders>
                  <w:shd w:val="clear" w:color="auto" w:fill="auto"/>
                  <w:noWrap/>
                  <w:vAlign w:val="center"/>
                </w:tcPr>
                <w:p w14:paraId="162709F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580638.1482 </w:t>
                  </w:r>
                </w:p>
              </w:tc>
              <w:tc>
                <w:tcPr>
                  <w:tcW w:w="980" w:type="dxa"/>
                  <w:tcBorders>
                    <w:top w:val="nil"/>
                    <w:left w:val="nil"/>
                    <w:bottom w:val="single" w:color="auto" w:sz="4" w:space="0"/>
                    <w:right w:val="single" w:color="auto" w:sz="4" w:space="0"/>
                  </w:tcBorders>
                  <w:shd w:val="clear" w:color="auto" w:fill="auto"/>
                  <w:noWrap/>
                  <w:vAlign w:val="center"/>
                </w:tcPr>
                <w:p w14:paraId="09B70FD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65</w:t>
                  </w:r>
                </w:p>
              </w:tc>
              <w:tc>
                <w:tcPr>
                  <w:tcW w:w="1900" w:type="dxa"/>
                  <w:tcBorders>
                    <w:top w:val="nil"/>
                    <w:left w:val="nil"/>
                    <w:bottom w:val="single" w:color="auto" w:sz="4" w:space="0"/>
                    <w:right w:val="single" w:color="auto" w:sz="4" w:space="0"/>
                  </w:tcBorders>
                  <w:shd w:val="clear" w:color="auto" w:fill="auto"/>
                  <w:noWrap/>
                  <w:vAlign w:val="center"/>
                </w:tcPr>
                <w:p w14:paraId="35384A7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2833136.771 </w:t>
                  </w:r>
                </w:p>
              </w:tc>
              <w:tc>
                <w:tcPr>
                  <w:tcW w:w="1900" w:type="dxa"/>
                  <w:tcBorders>
                    <w:top w:val="nil"/>
                    <w:left w:val="nil"/>
                    <w:bottom w:val="single" w:color="auto" w:sz="4" w:space="0"/>
                    <w:right w:val="single" w:color="auto" w:sz="4" w:space="0"/>
                  </w:tcBorders>
                  <w:shd w:val="clear" w:color="auto" w:fill="auto"/>
                  <w:noWrap/>
                  <w:vAlign w:val="center"/>
                </w:tcPr>
                <w:p w14:paraId="58349AD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580883.5816 </w:t>
                  </w:r>
                </w:p>
              </w:tc>
            </w:tr>
            <w:tr w14:paraId="73942B22">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3DEBB3B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33</w:t>
                  </w:r>
                </w:p>
              </w:tc>
              <w:tc>
                <w:tcPr>
                  <w:tcW w:w="1536" w:type="dxa"/>
                  <w:tcBorders>
                    <w:top w:val="nil"/>
                    <w:left w:val="nil"/>
                    <w:bottom w:val="single" w:color="auto" w:sz="4" w:space="0"/>
                    <w:right w:val="single" w:color="auto" w:sz="4" w:space="0"/>
                  </w:tcBorders>
                  <w:shd w:val="clear" w:color="auto" w:fill="auto"/>
                  <w:noWrap/>
                  <w:vAlign w:val="center"/>
                </w:tcPr>
                <w:p w14:paraId="7BCFAB3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2833285.053 </w:t>
                  </w:r>
                </w:p>
              </w:tc>
              <w:tc>
                <w:tcPr>
                  <w:tcW w:w="1870" w:type="dxa"/>
                  <w:tcBorders>
                    <w:top w:val="nil"/>
                    <w:left w:val="nil"/>
                    <w:bottom w:val="single" w:color="auto" w:sz="4" w:space="0"/>
                    <w:right w:val="single" w:color="auto" w:sz="4" w:space="0"/>
                  </w:tcBorders>
                  <w:shd w:val="clear" w:color="auto" w:fill="auto"/>
                  <w:noWrap/>
                  <w:vAlign w:val="center"/>
                </w:tcPr>
                <w:p w14:paraId="348380E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580655.3462 </w:t>
                  </w:r>
                </w:p>
              </w:tc>
              <w:tc>
                <w:tcPr>
                  <w:tcW w:w="980" w:type="dxa"/>
                  <w:tcBorders>
                    <w:top w:val="nil"/>
                    <w:left w:val="nil"/>
                    <w:bottom w:val="single" w:color="auto" w:sz="4" w:space="0"/>
                    <w:right w:val="single" w:color="auto" w:sz="4" w:space="0"/>
                  </w:tcBorders>
                  <w:shd w:val="clear" w:color="auto" w:fill="auto"/>
                  <w:noWrap/>
                  <w:vAlign w:val="center"/>
                </w:tcPr>
                <w:p w14:paraId="2FC3D1E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66</w:t>
                  </w:r>
                </w:p>
              </w:tc>
              <w:tc>
                <w:tcPr>
                  <w:tcW w:w="1900" w:type="dxa"/>
                  <w:tcBorders>
                    <w:top w:val="nil"/>
                    <w:left w:val="nil"/>
                    <w:bottom w:val="single" w:color="auto" w:sz="4" w:space="0"/>
                    <w:right w:val="single" w:color="auto" w:sz="4" w:space="0"/>
                  </w:tcBorders>
                  <w:shd w:val="clear" w:color="auto" w:fill="auto"/>
                  <w:noWrap/>
                  <w:vAlign w:val="center"/>
                </w:tcPr>
                <w:p w14:paraId="440BBCD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2833126.452 </w:t>
                  </w:r>
                </w:p>
              </w:tc>
              <w:tc>
                <w:tcPr>
                  <w:tcW w:w="1900" w:type="dxa"/>
                  <w:tcBorders>
                    <w:top w:val="nil"/>
                    <w:left w:val="nil"/>
                    <w:bottom w:val="single" w:color="auto" w:sz="4" w:space="0"/>
                    <w:right w:val="single" w:color="auto" w:sz="4" w:space="0"/>
                  </w:tcBorders>
                  <w:shd w:val="clear" w:color="auto" w:fill="auto"/>
                  <w:noWrap/>
                  <w:vAlign w:val="center"/>
                </w:tcPr>
                <w:p w14:paraId="26871D0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 xml:space="preserve">580877.6285 </w:t>
                  </w:r>
                </w:p>
              </w:tc>
            </w:tr>
            <w:tr w14:paraId="7B7A5E09">
              <w:tblPrEx>
                <w:tblCellMar>
                  <w:top w:w="0" w:type="dxa"/>
                  <w:left w:w="108" w:type="dxa"/>
                  <w:bottom w:w="0" w:type="dxa"/>
                  <w:right w:w="108" w:type="dxa"/>
                </w:tblCellMar>
              </w:tblPrEx>
              <w:trPr>
                <w:trHeight w:val="285" w:hRule="atLeast"/>
              </w:trPr>
              <w:tc>
                <w:tcPr>
                  <w:tcW w:w="926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780569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sz w:val="21"/>
                      <w:szCs w:val="21"/>
                    </w:rPr>
                    <w:t>修复面积：6.5614hm</w:t>
                  </w:r>
                  <w:r>
                    <w:rPr>
                      <w:rFonts w:hint="default" w:ascii="Times New Roman" w:hAnsi="Times New Roman" w:cs="Times New Roman"/>
                      <w:sz w:val="21"/>
                      <w:szCs w:val="21"/>
                      <w:vertAlign w:val="superscript"/>
                    </w:rPr>
                    <w:t>2</w:t>
                  </w:r>
                </w:p>
              </w:tc>
            </w:tr>
          </w:tbl>
          <w:p w14:paraId="12E66997">
            <w:pPr>
              <w:keepNext w:val="0"/>
              <w:keepLines w:val="0"/>
              <w:pageBreakBefore w:val="0"/>
              <w:widowControl w:val="0"/>
              <w:kinsoku/>
              <w:wordWrap/>
              <w:overflowPunct/>
              <w:topLinePunct w:val="0"/>
              <w:autoSpaceDE/>
              <w:autoSpaceDN/>
              <w:bidi w:val="0"/>
              <w:adjustRightInd w:val="0"/>
              <w:snapToGrid w:val="0"/>
              <w:spacing w:line="240" w:lineRule="auto"/>
              <w:ind w:right="0"/>
              <w:jc w:val="center"/>
              <w:textAlignment w:val="auto"/>
              <w:rPr>
                <w:rFonts w:hint="eastAsia" w:ascii="宋体" w:hAnsi="宋体" w:cs="Arial"/>
                <w:b/>
                <w:bCs/>
                <w:sz w:val="24"/>
                <w:shd w:val="clear" w:color="auto" w:fill="FFFFFF"/>
              </w:rPr>
            </w:pPr>
            <w:r>
              <w:rPr>
                <w:rFonts w:hint="eastAsia" w:ascii="宋体" w:hAnsi="宋体" w:cs="Arial"/>
                <w:b/>
                <w:bCs/>
                <w:sz w:val="24"/>
                <w:shd w:val="clear" w:color="auto" w:fill="FFFFFF"/>
              </w:rPr>
              <w:t>表</w:t>
            </w:r>
            <w:r>
              <w:rPr>
                <w:rFonts w:hint="eastAsia" w:ascii="宋体" w:hAnsi="宋体" w:cs="Arial"/>
                <w:b/>
                <w:bCs/>
                <w:sz w:val="24"/>
                <w:shd w:val="clear" w:color="auto" w:fill="FFFFFF"/>
                <w:lang w:val="en-US" w:eastAsia="zh-CN"/>
              </w:rPr>
              <w:t>2-3</w:t>
            </w:r>
            <w:r>
              <w:rPr>
                <w:rFonts w:hint="eastAsia" w:ascii="宋体" w:hAnsi="宋体" w:cs="Arial"/>
                <w:b/>
                <w:bCs/>
                <w:sz w:val="24"/>
                <w:shd w:val="clear" w:color="auto" w:fill="FFFFFF"/>
              </w:rPr>
              <w:t xml:space="preserve">  寻甸县鸡街镇大璇塘南部采石场矿山生态修复范围坐标表</w:t>
            </w:r>
          </w:p>
          <w:tbl>
            <w:tblPr>
              <w:tblStyle w:val="40"/>
              <w:tblW w:w="9266" w:type="dxa"/>
              <w:tblInd w:w="94" w:type="dxa"/>
              <w:tblLayout w:type="autofit"/>
              <w:tblCellMar>
                <w:top w:w="0" w:type="dxa"/>
                <w:left w:w="108" w:type="dxa"/>
                <w:bottom w:w="0" w:type="dxa"/>
                <w:right w:w="108" w:type="dxa"/>
              </w:tblCellMar>
            </w:tblPr>
            <w:tblGrid>
              <w:gridCol w:w="1080"/>
              <w:gridCol w:w="1536"/>
              <w:gridCol w:w="1870"/>
              <w:gridCol w:w="980"/>
              <w:gridCol w:w="1900"/>
              <w:gridCol w:w="1900"/>
            </w:tblGrid>
            <w:tr w14:paraId="2811D638">
              <w:tblPrEx>
                <w:tblCellMar>
                  <w:top w:w="0" w:type="dxa"/>
                  <w:left w:w="108" w:type="dxa"/>
                  <w:bottom w:w="0" w:type="dxa"/>
                  <w:right w:w="108" w:type="dxa"/>
                </w:tblCellMar>
              </w:tblPrEx>
              <w:trPr>
                <w:trHeight w:val="375" w:hRule="atLeast"/>
              </w:trPr>
              <w:tc>
                <w:tcPr>
                  <w:tcW w:w="1080" w:type="dxa"/>
                  <w:vMerge w:val="restart"/>
                  <w:tcBorders>
                    <w:top w:val="single" w:color="auto" w:sz="8" w:space="0"/>
                    <w:left w:val="single" w:color="auto" w:sz="8" w:space="0"/>
                    <w:bottom w:val="single" w:color="auto" w:sz="4" w:space="0"/>
                    <w:right w:val="single" w:color="auto" w:sz="4" w:space="0"/>
                  </w:tcBorders>
                  <w:shd w:val="clear" w:color="auto" w:fill="auto"/>
                  <w:noWrap/>
                  <w:vAlign w:val="center"/>
                </w:tcPr>
                <w:p w14:paraId="54920D9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点号</w:t>
                  </w:r>
                </w:p>
              </w:tc>
              <w:tc>
                <w:tcPr>
                  <w:tcW w:w="3406" w:type="dxa"/>
                  <w:gridSpan w:val="2"/>
                  <w:tcBorders>
                    <w:top w:val="single" w:color="auto" w:sz="8" w:space="0"/>
                    <w:left w:val="nil"/>
                    <w:bottom w:val="single" w:color="auto" w:sz="4" w:space="0"/>
                    <w:right w:val="single" w:color="auto" w:sz="4" w:space="0"/>
                  </w:tcBorders>
                  <w:shd w:val="clear" w:color="auto" w:fill="auto"/>
                  <w:noWrap/>
                  <w:vAlign w:val="center"/>
                </w:tcPr>
                <w:p w14:paraId="1B71536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2000坐标系</w:t>
                  </w:r>
                </w:p>
              </w:tc>
              <w:tc>
                <w:tcPr>
                  <w:tcW w:w="980" w:type="dxa"/>
                  <w:vMerge w:val="restart"/>
                  <w:tcBorders>
                    <w:top w:val="single" w:color="auto" w:sz="8" w:space="0"/>
                    <w:left w:val="single" w:color="auto" w:sz="4" w:space="0"/>
                    <w:bottom w:val="single" w:color="auto" w:sz="4" w:space="0"/>
                    <w:right w:val="single" w:color="auto" w:sz="4" w:space="0"/>
                  </w:tcBorders>
                  <w:shd w:val="clear" w:color="auto" w:fill="auto"/>
                  <w:noWrap/>
                  <w:vAlign w:val="center"/>
                </w:tcPr>
                <w:p w14:paraId="78A6D36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点号</w:t>
                  </w:r>
                </w:p>
              </w:tc>
              <w:tc>
                <w:tcPr>
                  <w:tcW w:w="3800" w:type="dxa"/>
                  <w:gridSpan w:val="2"/>
                  <w:tcBorders>
                    <w:top w:val="single" w:color="auto" w:sz="8" w:space="0"/>
                    <w:left w:val="nil"/>
                    <w:bottom w:val="single" w:color="auto" w:sz="4" w:space="0"/>
                    <w:right w:val="single" w:color="000000" w:sz="8" w:space="0"/>
                  </w:tcBorders>
                  <w:shd w:val="clear" w:color="auto" w:fill="auto"/>
                  <w:noWrap/>
                  <w:vAlign w:val="center"/>
                </w:tcPr>
                <w:p w14:paraId="5733F679">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2000坐标系</w:t>
                  </w:r>
                </w:p>
              </w:tc>
            </w:tr>
            <w:tr w14:paraId="0CC00797">
              <w:tblPrEx>
                <w:tblCellMar>
                  <w:top w:w="0" w:type="dxa"/>
                  <w:left w:w="108" w:type="dxa"/>
                  <w:bottom w:w="0" w:type="dxa"/>
                  <w:right w:w="108" w:type="dxa"/>
                </w:tblCellMar>
              </w:tblPrEx>
              <w:trPr>
                <w:trHeight w:val="270" w:hRule="atLeast"/>
              </w:trPr>
              <w:tc>
                <w:tcPr>
                  <w:tcW w:w="1080" w:type="dxa"/>
                  <w:vMerge w:val="continue"/>
                  <w:tcBorders>
                    <w:top w:val="single" w:color="auto" w:sz="8" w:space="0"/>
                    <w:left w:val="single" w:color="auto" w:sz="8" w:space="0"/>
                    <w:bottom w:val="single" w:color="auto" w:sz="4" w:space="0"/>
                    <w:right w:val="single" w:color="auto" w:sz="4" w:space="0"/>
                  </w:tcBorders>
                  <w:vAlign w:val="center"/>
                </w:tcPr>
                <w:p w14:paraId="05CA8F0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kern w:val="0"/>
                      <w:sz w:val="21"/>
                      <w:szCs w:val="21"/>
                    </w:rPr>
                  </w:pPr>
                </w:p>
              </w:tc>
              <w:tc>
                <w:tcPr>
                  <w:tcW w:w="1536" w:type="dxa"/>
                  <w:tcBorders>
                    <w:top w:val="nil"/>
                    <w:left w:val="nil"/>
                    <w:bottom w:val="single" w:color="auto" w:sz="4" w:space="0"/>
                    <w:right w:val="single" w:color="auto" w:sz="4" w:space="0"/>
                  </w:tcBorders>
                  <w:shd w:val="clear" w:color="auto" w:fill="auto"/>
                  <w:noWrap/>
                  <w:vAlign w:val="center"/>
                </w:tcPr>
                <w:p w14:paraId="483D2C9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X</w:t>
                  </w:r>
                </w:p>
              </w:tc>
              <w:tc>
                <w:tcPr>
                  <w:tcW w:w="1870" w:type="dxa"/>
                  <w:tcBorders>
                    <w:top w:val="nil"/>
                    <w:left w:val="nil"/>
                    <w:bottom w:val="single" w:color="auto" w:sz="4" w:space="0"/>
                    <w:right w:val="single" w:color="auto" w:sz="4" w:space="0"/>
                  </w:tcBorders>
                  <w:shd w:val="clear" w:color="auto" w:fill="auto"/>
                  <w:noWrap/>
                  <w:vAlign w:val="center"/>
                </w:tcPr>
                <w:p w14:paraId="278B0A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Y</w:t>
                  </w:r>
                </w:p>
              </w:tc>
              <w:tc>
                <w:tcPr>
                  <w:tcW w:w="980" w:type="dxa"/>
                  <w:vMerge w:val="continue"/>
                  <w:tcBorders>
                    <w:top w:val="single" w:color="auto" w:sz="8" w:space="0"/>
                    <w:left w:val="single" w:color="auto" w:sz="4" w:space="0"/>
                    <w:bottom w:val="single" w:color="auto" w:sz="4" w:space="0"/>
                    <w:right w:val="single" w:color="auto" w:sz="4" w:space="0"/>
                  </w:tcBorders>
                  <w:vAlign w:val="center"/>
                </w:tcPr>
                <w:p w14:paraId="4A95B20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left"/>
                    <w:textAlignment w:val="auto"/>
                    <w:rPr>
                      <w:rFonts w:hint="default" w:ascii="Times New Roman" w:hAnsi="Times New Roman" w:cs="Times New Roman"/>
                      <w:kern w:val="0"/>
                      <w:sz w:val="21"/>
                      <w:szCs w:val="21"/>
                    </w:rPr>
                  </w:pPr>
                </w:p>
              </w:tc>
              <w:tc>
                <w:tcPr>
                  <w:tcW w:w="1900" w:type="dxa"/>
                  <w:tcBorders>
                    <w:top w:val="nil"/>
                    <w:left w:val="nil"/>
                    <w:bottom w:val="single" w:color="auto" w:sz="4" w:space="0"/>
                    <w:right w:val="single" w:color="auto" w:sz="4" w:space="0"/>
                  </w:tcBorders>
                  <w:shd w:val="clear" w:color="auto" w:fill="auto"/>
                  <w:noWrap/>
                  <w:vAlign w:val="center"/>
                </w:tcPr>
                <w:p w14:paraId="1FDEFD3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X</w:t>
                  </w:r>
                </w:p>
              </w:tc>
              <w:tc>
                <w:tcPr>
                  <w:tcW w:w="1900" w:type="dxa"/>
                  <w:tcBorders>
                    <w:top w:val="nil"/>
                    <w:left w:val="nil"/>
                    <w:bottom w:val="single" w:color="auto" w:sz="4" w:space="0"/>
                    <w:right w:val="single" w:color="auto" w:sz="8" w:space="0"/>
                  </w:tcBorders>
                  <w:shd w:val="clear" w:color="auto" w:fill="auto"/>
                  <w:noWrap/>
                  <w:vAlign w:val="center"/>
                </w:tcPr>
                <w:p w14:paraId="6CE25D5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Y</w:t>
                  </w:r>
                </w:p>
              </w:tc>
            </w:tr>
            <w:tr w14:paraId="63AD6819">
              <w:tblPrEx>
                <w:tblCellMar>
                  <w:top w:w="0" w:type="dxa"/>
                  <w:left w:w="108" w:type="dxa"/>
                  <w:bottom w:w="0" w:type="dxa"/>
                  <w:right w:w="108" w:type="dxa"/>
                </w:tblCellMar>
              </w:tblPrEx>
              <w:trPr>
                <w:trHeight w:val="270" w:hRule="atLeast"/>
              </w:trPr>
              <w:tc>
                <w:tcPr>
                  <w:tcW w:w="1080" w:type="dxa"/>
                  <w:tcBorders>
                    <w:top w:val="single" w:color="auto" w:sz="4" w:space="0"/>
                    <w:left w:val="single" w:color="auto" w:sz="4" w:space="0"/>
                    <w:bottom w:val="single" w:color="auto" w:sz="4" w:space="0"/>
                    <w:right w:val="single" w:color="auto" w:sz="4" w:space="0"/>
                  </w:tcBorders>
                  <w:shd w:val="clear" w:color="auto" w:fill="auto"/>
                  <w:noWrap/>
                  <w:vAlign w:val="center"/>
                </w:tcPr>
                <w:p w14:paraId="30FE46A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w:t>
                  </w:r>
                </w:p>
              </w:tc>
              <w:tc>
                <w:tcPr>
                  <w:tcW w:w="1536" w:type="dxa"/>
                  <w:tcBorders>
                    <w:top w:val="single" w:color="auto" w:sz="4" w:space="0"/>
                    <w:left w:val="nil"/>
                    <w:bottom w:val="single" w:color="auto" w:sz="4" w:space="0"/>
                    <w:right w:val="single" w:color="auto" w:sz="4" w:space="0"/>
                  </w:tcBorders>
                  <w:shd w:val="clear" w:color="auto" w:fill="auto"/>
                  <w:noWrap/>
                  <w:vAlign w:val="center"/>
                </w:tcPr>
                <w:p w14:paraId="3319E06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2832953.665 </w:t>
                  </w:r>
                </w:p>
              </w:tc>
              <w:tc>
                <w:tcPr>
                  <w:tcW w:w="1870" w:type="dxa"/>
                  <w:tcBorders>
                    <w:top w:val="single" w:color="auto" w:sz="4" w:space="0"/>
                    <w:left w:val="nil"/>
                    <w:bottom w:val="single" w:color="auto" w:sz="4" w:space="0"/>
                    <w:right w:val="single" w:color="auto" w:sz="4" w:space="0"/>
                  </w:tcBorders>
                  <w:shd w:val="clear" w:color="auto" w:fill="auto"/>
                  <w:noWrap/>
                  <w:vAlign w:val="center"/>
                </w:tcPr>
                <w:p w14:paraId="6D0008F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580621.7364 </w:t>
                  </w:r>
                </w:p>
              </w:tc>
              <w:tc>
                <w:tcPr>
                  <w:tcW w:w="980" w:type="dxa"/>
                  <w:tcBorders>
                    <w:top w:val="single" w:color="auto" w:sz="4" w:space="0"/>
                    <w:left w:val="nil"/>
                    <w:bottom w:val="single" w:color="auto" w:sz="4" w:space="0"/>
                    <w:right w:val="single" w:color="auto" w:sz="4" w:space="0"/>
                  </w:tcBorders>
                  <w:shd w:val="clear" w:color="auto" w:fill="auto"/>
                  <w:noWrap/>
                  <w:vAlign w:val="center"/>
                </w:tcPr>
                <w:p w14:paraId="0563909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22</w:t>
                  </w:r>
                </w:p>
              </w:tc>
              <w:tc>
                <w:tcPr>
                  <w:tcW w:w="1900" w:type="dxa"/>
                  <w:tcBorders>
                    <w:top w:val="single" w:color="auto" w:sz="4" w:space="0"/>
                    <w:left w:val="nil"/>
                    <w:bottom w:val="single" w:color="auto" w:sz="4" w:space="0"/>
                    <w:right w:val="single" w:color="auto" w:sz="4" w:space="0"/>
                  </w:tcBorders>
                  <w:shd w:val="clear" w:color="auto" w:fill="auto"/>
                  <w:noWrap/>
                  <w:vAlign w:val="center"/>
                </w:tcPr>
                <w:p w14:paraId="4F854C1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2832905.635 </w:t>
                  </w:r>
                </w:p>
              </w:tc>
              <w:tc>
                <w:tcPr>
                  <w:tcW w:w="1900" w:type="dxa"/>
                  <w:tcBorders>
                    <w:top w:val="single" w:color="auto" w:sz="4" w:space="0"/>
                    <w:left w:val="nil"/>
                    <w:bottom w:val="single" w:color="auto" w:sz="4" w:space="0"/>
                    <w:right w:val="single" w:color="auto" w:sz="4" w:space="0"/>
                  </w:tcBorders>
                  <w:shd w:val="clear" w:color="auto" w:fill="auto"/>
                  <w:noWrap/>
                  <w:vAlign w:val="center"/>
                </w:tcPr>
                <w:p w14:paraId="39FA4E1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580807.2125 </w:t>
                  </w:r>
                </w:p>
              </w:tc>
            </w:tr>
            <w:tr w14:paraId="1D384FEF">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1ABCA0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w:t>
                  </w:r>
                </w:p>
              </w:tc>
              <w:tc>
                <w:tcPr>
                  <w:tcW w:w="1536" w:type="dxa"/>
                  <w:tcBorders>
                    <w:top w:val="nil"/>
                    <w:left w:val="nil"/>
                    <w:bottom w:val="single" w:color="auto" w:sz="4" w:space="0"/>
                    <w:right w:val="single" w:color="auto" w:sz="4" w:space="0"/>
                  </w:tcBorders>
                  <w:shd w:val="clear" w:color="auto" w:fill="auto"/>
                  <w:noWrap/>
                  <w:vAlign w:val="center"/>
                </w:tcPr>
                <w:p w14:paraId="19AD9C4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2832934.228 </w:t>
                  </w:r>
                </w:p>
              </w:tc>
              <w:tc>
                <w:tcPr>
                  <w:tcW w:w="1870" w:type="dxa"/>
                  <w:tcBorders>
                    <w:top w:val="nil"/>
                    <w:left w:val="nil"/>
                    <w:bottom w:val="single" w:color="auto" w:sz="4" w:space="0"/>
                    <w:right w:val="single" w:color="auto" w:sz="4" w:space="0"/>
                  </w:tcBorders>
                  <w:shd w:val="clear" w:color="auto" w:fill="auto"/>
                  <w:noWrap/>
                  <w:vAlign w:val="center"/>
                </w:tcPr>
                <w:p w14:paraId="06DEFB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580584.3662 </w:t>
                  </w:r>
                </w:p>
              </w:tc>
              <w:tc>
                <w:tcPr>
                  <w:tcW w:w="980" w:type="dxa"/>
                  <w:tcBorders>
                    <w:top w:val="nil"/>
                    <w:left w:val="nil"/>
                    <w:bottom w:val="single" w:color="auto" w:sz="4" w:space="0"/>
                    <w:right w:val="single" w:color="auto" w:sz="4" w:space="0"/>
                  </w:tcBorders>
                  <w:shd w:val="clear" w:color="auto" w:fill="auto"/>
                  <w:noWrap/>
                  <w:vAlign w:val="center"/>
                </w:tcPr>
                <w:p w14:paraId="1C0B696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23</w:t>
                  </w:r>
                </w:p>
              </w:tc>
              <w:tc>
                <w:tcPr>
                  <w:tcW w:w="1900" w:type="dxa"/>
                  <w:tcBorders>
                    <w:top w:val="nil"/>
                    <w:left w:val="nil"/>
                    <w:bottom w:val="single" w:color="auto" w:sz="4" w:space="0"/>
                    <w:right w:val="single" w:color="auto" w:sz="4" w:space="0"/>
                  </w:tcBorders>
                  <w:shd w:val="clear" w:color="auto" w:fill="auto"/>
                  <w:noWrap/>
                  <w:vAlign w:val="center"/>
                </w:tcPr>
                <w:p w14:paraId="39B93BA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2832919.813 </w:t>
                  </w:r>
                </w:p>
              </w:tc>
              <w:tc>
                <w:tcPr>
                  <w:tcW w:w="1900" w:type="dxa"/>
                  <w:tcBorders>
                    <w:top w:val="nil"/>
                    <w:left w:val="nil"/>
                    <w:bottom w:val="single" w:color="auto" w:sz="4" w:space="0"/>
                    <w:right w:val="single" w:color="auto" w:sz="4" w:space="0"/>
                  </w:tcBorders>
                  <w:shd w:val="clear" w:color="auto" w:fill="auto"/>
                  <w:noWrap/>
                  <w:vAlign w:val="center"/>
                </w:tcPr>
                <w:p w14:paraId="5167694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580807.3584 </w:t>
                  </w:r>
                </w:p>
              </w:tc>
            </w:tr>
            <w:tr w14:paraId="6B5D8A15">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757C646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3</w:t>
                  </w:r>
                </w:p>
              </w:tc>
              <w:tc>
                <w:tcPr>
                  <w:tcW w:w="1536" w:type="dxa"/>
                  <w:tcBorders>
                    <w:top w:val="nil"/>
                    <w:left w:val="nil"/>
                    <w:bottom w:val="single" w:color="auto" w:sz="4" w:space="0"/>
                    <w:right w:val="single" w:color="auto" w:sz="4" w:space="0"/>
                  </w:tcBorders>
                  <w:shd w:val="clear" w:color="auto" w:fill="auto"/>
                  <w:noWrap/>
                  <w:vAlign w:val="center"/>
                </w:tcPr>
                <w:p w14:paraId="57C66B8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2832865.846 </w:t>
                  </w:r>
                </w:p>
              </w:tc>
              <w:tc>
                <w:tcPr>
                  <w:tcW w:w="1870" w:type="dxa"/>
                  <w:tcBorders>
                    <w:top w:val="nil"/>
                    <w:left w:val="nil"/>
                    <w:bottom w:val="single" w:color="auto" w:sz="4" w:space="0"/>
                    <w:right w:val="single" w:color="auto" w:sz="4" w:space="0"/>
                  </w:tcBorders>
                  <w:shd w:val="clear" w:color="auto" w:fill="auto"/>
                  <w:noWrap/>
                  <w:vAlign w:val="center"/>
                </w:tcPr>
                <w:p w14:paraId="2595804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580546.0822 </w:t>
                  </w:r>
                </w:p>
              </w:tc>
              <w:tc>
                <w:tcPr>
                  <w:tcW w:w="980" w:type="dxa"/>
                  <w:tcBorders>
                    <w:top w:val="nil"/>
                    <w:left w:val="nil"/>
                    <w:bottom w:val="single" w:color="auto" w:sz="4" w:space="0"/>
                    <w:right w:val="single" w:color="auto" w:sz="4" w:space="0"/>
                  </w:tcBorders>
                  <w:shd w:val="clear" w:color="auto" w:fill="auto"/>
                  <w:noWrap/>
                  <w:vAlign w:val="center"/>
                </w:tcPr>
                <w:p w14:paraId="0D26BDE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24</w:t>
                  </w:r>
                </w:p>
              </w:tc>
              <w:tc>
                <w:tcPr>
                  <w:tcW w:w="1900" w:type="dxa"/>
                  <w:tcBorders>
                    <w:top w:val="nil"/>
                    <w:left w:val="nil"/>
                    <w:bottom w:val="single" w:color="auto" w:sz="4" w:space="0"/>
                    <w:right w:val="single" w:color="auto" w:sz="4" w:space="0"/>
                  </w:tcBorders>
                  <w:shd w:val="clear" w:color="auto" w:fill="auto"/>
                  <w:noWrap/>
                  <w:vAlign w:val="center"/>
                </w:tcPr>
                <w:p w14:paraId="3E4C469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2832920.436 </w:t>
                  </w:r>
                </w:p>
              </w:tc>
              <w:tc>
                <w:tcPr>
                  <w:tcW w:w="1900" w:type="dxa"/>
                  <w:tcBorders>
                    <w:top w:val="nil"/>
                    <w:left w:val="nil"/>
                    <w:bottom w:val="single" w:color="auto" w:sz="4" w:space="0"/>
                    <w:right w:val="single" w:color="auto" w:sz="4" w:space="0"/>
                  </w:tcBorders>
                  <w:shd w:val="clear" w:color="auto" w:fill="auto"/>
                  <w:noWrap/>
                  <w:vAlign w:val="center"/>
                </w:tcPr>
                <w:p w14:paraId="719B179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580796.7518 </w:t>
                  </w:r>
                </w:p>
              </w:tc>
            </w:tr>
            <w:tr w14:paraId="11DB0DD9">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5767DFC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4</w:t>
                  </w:r>
                </w:p>
              </w:tc>
              <w:tc>
                <w:tcPr>
                  <w:tcW w:w="1536" w:type="dxa"/>
                  <w:tcBorders>
                    <w:top w:val="nil"/>
                    <w:left w:val="nil"/>
                    <w:bottom w:val="single" w:color="auto" w:sz="4" w:space="0"/>
                    <w:right w:val="single" w:color="auto" w:sz="4" w:space="0"/>
                  </w:tcBorders>
                  <w:shd w:val="clear" w:color="auto" w:fill="auto"/>
                  <w:noWrap/>
                  <w:vAlign w:val="center"/>
                </w:tcPr>
                <w:p w14:paraId="1AA56CF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2832806.531 </w:t>
                  </w:r>
                </w:p>
              </w:tc>
              <w:tc>
                <w:tcPr>
                  <w:tcW w:w="1870" w:type="dxa"/>
                  <w:tcBorders>
                    <w:top w:val="nil"/>
                    <w:left w:val="nil"/>
                    <w:bottom w:val="single" w:color="auto" w:sz="4" w:space="0"/>
                    <w:right w:val="single" w:color="auto" w:sz="4" w:space="0"/>
                  </w:tcBorders>
                  <w:shd w:val="clear" w:color="auto" w:fill="auto"/>
                  <w:noWrap/>
                  <w:vAlign w:val="center"/>
                </w:tcPr>
                <w:p w14:paraId="5DF69CE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580544.0789 </w:t>
                  </w:r>
                </w:p>
              </w:tc>
              <w:tc>
                <w:tcPr>
                  <w:tcW w:w="980" w:type="dxa"/>
                  <w:tcBorders>
                    <w:top w:val="nil"/>
                    <w:left w:val="nil"/>
                    <w:bottom w:val="single" w:color="auto" w:sz="4" w:space="0"/>
                    <w:right w:val="single" w:color="auto" w:sz="4" w:space="0"/>
                  </w:tcBorders>
                  <w:shd w:val="clear" w:color="auto" w:fill="auto"/>
                  <w:noWrap/>
                  <w:vAlign w:val="center"/>
                </w:tcPr>
                <w:p w14:paraId="717152C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25</w:t>
                  </w:r>
                </w:p>
              </w:tc>
              <w:tc>
                <w:tcPr>
                  <w:tcW w:w="1900" w:type="dxa"/>
                  <w:tcBorders>
                    <w:top w:val="nil"/>
                    <w:left w:val="nil"/>
                    <w:bottom w:val="single" w:color="auto" w:sz="4" w:space="0"/>
                    <w:right w:val="single" w:color="auto" w:sz="4" w:space="0"/>
                  </w:tcBorders>
                  <w:shd w:val="clear" w:color="auto" w:fill="auto"/>
                  <w:noWrap/>
                  <w:vAlign w:val="center"/>
                </w:tcPr>
                <w:p w14:paraId="4B1C2D1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2832936.484 </w:t>
                  </w:r>
                </w:p>
              </w:tc>
              <w:tc>
                <w:tcPr>
                  <w:tcW w:w="1900" w:type="dxa"/>
                  <w:tcBorders>
                    <w:top w:val="nil"/>
                    <w:left w:val="nil"/>
                    <w:bottom w:val="single" w:color="auto" w:sz="4" w:space="0"/>
                    <w:right w:val="single" w:color="auto" w:sz="4" w:space="0"/>
                  </w:tcBorders>
                  <w:shd w:val="clear" w:color="auto" w:fill="auto"/>
                  <w:noWrap/>
                  <w:vAlign w:val="center"/>
                </w:tcPr>
                <w:p w14:paraId="069CC5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580795.0231 </w:t>
                  </w:r>
                </w:p>
              </w:tc>
            </w:tr>
            <w:tr w14:paraId="0DCDC99C">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17F5F0E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5</w:t>
                  </w:r>
                </w:p>
              </w:tc>
              <w:tc>
                <w:tcPr>
                  <w:tcW w:w="1536" w:type="dxa"/>
                  <w:tcBorders>
                    <w:top w:val="nil"/>
                    <w:left w:val="nil"/>
                    <w:bottom w:val="single" w:color="auto" w:sz="4" w:space="0"/>
                    <w:right w:val="single" w:color="auto" w:sz="4" w:space="0"/>
                  </w:tcBorders>
                  <w:shd w:val="clear" w:color="auto" w:fill="auto"/>
                  <w:noWrap/>
                  <w:vAlign w:val="center"/>
                </w:tcPr>
                <w:p w14:paraId="3A2E214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2832769.781 </w:t>
                  </w:r>
                </w:p>
              </w:tc>
              <w:tc>
                <w:tcPr>
                  <w:tcW w:w="1870" w:type="dxa"/>
                  <w:tcBorders>
                    <w:top w:val="nil"/>
                    <w:left w:val="nil"/>
                    <w:bottom w:val="single" w:color="auto" w:sz="4" w:space="0"/>
                    <w:right w:val="single" w:color="auto" w:sz="4" w:space="0"/>
                  </w:tcBorders>
                  <w:shd w:val="clear" w:color="auto" w:fill="auto"/>
                  <w:noWrap/>
                  <w:vAlign w:val="center"/>
                </w:tcPr>
                <w:p w14:paraId="20F30A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580581.3992 </w:t>
                  </w:r>
                </w:p>
              </w:tc>
              <w:tc>
                <w:tcPr>
                  <w:tcW w:w="980" w:type="dxa"/>
                  <w:tcBorders>
                    <w:top w:val="nil"/>
                    <w:left w:val="nil"/>
                    <w:bottom w:val="single" w:color="auto" w:sz="4" w:space="0"/>
                    <w:right w:val="single" w:color="auto" w:sz="4" w:space="0"/>
                  </w:tcBorders>
                  <w:shd w:val="clear" w:color="auto" w:fill="auto"/>
                  <w:noWrap/>
                  <w:vAlign w:val="center"/>
                </w:tcPr>
                <w:p w14:paraId="3EF980E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26</w:t>
                  </w:r>
                </w:p>
              </w:tc>
              <w:tc>
                <w:tcPr>
                  <w:tcW w:w="1900" w:type="dxa"/>
                  <w:tcBorders>
                    <w:top w:val="nil"/>
                    <w:left w:val="nil"/>
                    <w:bottom w:val="single" w:color="auto" w:sz="4" w:space="0"/>
                    <w:right w:val="single" w:color="auto" w:sz="4" w:space="0"/>
                  </w:tcBorders>
                  <w:shd w:val="clear" w:color="auto" w:fill="auto"/>
                  <w:noWrap/>
                  <w:vAlign w:val="center"/>
                </w:tcPr>
                <w:p w14:paraId="52061B0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2832956.210 </w:t>
                  </w:r>
                </w:p>
              </w:tc>
              <w:tc>
                <w:tcPr>
                  <w:tcW w:w="1900" w:type="dxa"/>
                  <w:tcBorders>
                    <w:top w:val="nil"/>
                    <w:left w:val="nil"/>
                    <w:bottom w:val="single" w:color="auto" w:sz="4" w:space="0"/>
                    <w:right w:val="single" w:color="auto" w:sz="4" w:space="0"/>
                  </w:tcBorders>
                  <w:shd w:val="clear" w:color="auto" w:fill="auto"/>
                  <w:noWrap/>
                  <w:vAlign w:val="center"/>
                </w:tcPr>
                <w:p w14:paraId="072B59A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580792.6496 </w:t>
                  </w:r>
                </w:p>
              </w:tc>
            </w:tr>
            <w:tr w14:paraId="3C11C2A1">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0C6138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6</w:t>
                  </w:r>
                </w:p>
              </w:tc>
              <w:tc>
                <w:tcPr>
                  <w:tcW w:w="1536" w:type="dxa"/>
                  <w:tcBorders>
                    <w:top w:val="nil"/>
                    <w:left w:val="nil"/>
                    <w:bottom w:val="single" w:color="auto" w:sz="4" w:space="0"/>
                    <w:right w:val="single" w:color="auto" w:sz="4" w:space="0"/>
                  </w:tcBorders>
                  <w:shd w:val="clear" w:color="auto" w:fill="auto"/>
                  <w:noWrap/>
                  <w:vAlign w:val="center"/>
                </w:tcPr>
                <w:p w14:paraId="4C06296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2832773.606 </w:t>
                  </w:r>
                </w:p>
              </w:tc>
              <w:tc>
                <w:tcPr>
                  <w:tcW w:w="1870" w:type="dxa"/>
                  <w:tcBorders>
                    <w:top w:val="nil"/>
                    <w:left w:val="nil"/>
                    <w:bottom w:val="single" w:color="auto" w:sz="4" w:space="0"/>
                    <w:right w:val="single" w:color="auto" w:sz="4" w:space="0"/>
                  </w:tcBorders>
                  <w:shd w:val="clear" w:color="auto" w:fill="auto"/>
                  <w:noWrap/>
                  <w:vAlign w:val="center"/>
                </w:tcPr>
                <w:p w14:paraId="729D2C9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580599.5430 </w:t>
                  </w:r>
                </w:p>
              </w:tc>
              <w:tc>
                <w:tcPr>
                  <w:tcW w:w="980" w:type="dxa"/>
                  <w:tcBorders>
                    <w:top w:val="nil"/>
                    <w:left w:val="nil"/>
                    <w:bottom w:val="single" w:color="auto" w:sz="4" w:space="0"/>
                    <w:right w:val="single" w:color="auto" w:sz="4" w:space="0"/>
                  </w:tcBorders>
                  <w:shd w:val="clear" w:color="auto" w:fill="auto"/>
                  <w:noWrap/>
                  <w:vAlign w:val="center"/>
                </w:tcPr>
                <w:p w14:paraId="29E458B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27</w:t>
                  </w:r>
                </w:p>
              </w:tc>
              <w:tc>
                <w:tcPr>
                  <w:tcW w:w="1900" w:type="dxa"/>
                  <w:tcBorders>
                    <w:top w:val="nil"/>
                    <w:left w:val="nil"/>
                    <w:bottom w:val="single" w:color="auto" w:sz="4" w:space="0"/>
                    <w:right w:val="single" w:color="auto" w:sz="4" w:space="0"/>
                  </w:tcBorders>
                  <w:shd w:val="clear" w:color="auto" w:fill="auto"/>
                  <w:noWrap/>
                  <w:vAlign w:val="center"/>
                </w:tcPr>
                <w:p w14:paraId="1FBE4F6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2832966.200 </w:t>
                  </w:r>
                </w:p>
              </w:tc>
              <w:tc>
                <w:tcPr>
                  <w:tcW w:w="1900" w:type="dxa"/>
                  <w:tcBorders>
                    <w:top w:val="nil"/>
                    <w:left w:val="nil"/>
                    <w:bottom w:val="single" w:color="auto" w:sz="4" w:space="0"/>
                    <w:right w:val="single" w:color="auto" w:sz="4" w:space="0"/>
                  </w:tcBorders>
                  <w:shd w:val="clear" w:color="auto" w:fill="auto"/>
                  <w:noWrap/>
                  <w:vAlign w:val="center"/>
                </w:tcPr>
                <w:p w14:paraId="2824D3E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580793.7574 </w:t>
                  </w:r>
                </w:p>
              </w:tc>
            </w:tr>
            <w:tr w14:paraId="3B92382B">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3CCFA4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7</w:t>
                  </w:r>
                </w:p>
              </w:tc>
              <w:tc>
                <w:tcPr>
                  <w:tcW w:w="1536" w:type="dxa"/>
                  <w:tcBorders>
                    <w:top w:val="nil"/>
                    <w:left w:val="nil"/>
                    <w:bottom w:val="single" w:color="auto" w:sz="4" w:space="0"/>
                    <w:right w:val="single" w:color="auto" w:sz="4" w:space="0"/>
                  </w:tcBorders>
                  <w:shd w:val="clear" w:color="auto" w:fill="auto"/>
                  <w:noWrap/>
                  <w:vAlign w:val="center"/>
                </w:tcPr>
                <w:p w14:paraId="7D73285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2832757.346 </w:t>
                  </w:r>
                </w:p>
              </w:tc>
              <w:tc>
                <w:tcPr>
                  <w:tcW w:w="1870" w:type="dxa"/>
                  <w:tcBorders>
                    <w:top w:val="nil"/>
                    <w:left w:val="nil"/>
                    <w:bottom w:val="single" w:color="auto" w:sz="4" w:space="0"/>
                    <w:right w:val="single" w:color="auto" w:sz="4" w:space="0"/>
                  </w:tcBorders>
                  <w:shd w:val="clear" w:color="auto" w:fill="auto"/>
                  <w:noWrap/>
                  <w:vAlign w:val="center"/>
                </w:tcPr>
                <w:p w14:paraId="4A429E3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580631.5490 </w:t>
                  </w:r>
                </w:p>
              </w:tc>
              <w:tc>
                <w:tcPr>
                  <w:tcW w:w="980" w:type="dxa"/>
                  <w:tcBorders>
                    <w:top w:val="nil"/>
                    <w:left w:val="nil"/>
                    <w:bottom w:val="single" w:color="auto" w:sz="4" w:space="0"/>
                    <w:right w:val="single" w:color="auto" w:sz="4" w:space="0"/>
                  </w:tcBorders>
                  <w:shd w:val="clear" w:color="auto" w:fill="auto"/>
                  <w:noWrap/>
                  <w:vAlign w:val="center"/>
                </w:tcPr>
                <w:p w14:paraId="1FB590B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28</w:t>
                  </w:r>
                </w:p>
              </w:tc>
              <w:tc>
                <w:tcPr>
                  <w:tcW w:w="1900" w:type="dxa"/>
                  <w:tcBorders>
                    <w:top w:val="nil"/>
                    <w:left w:val="nil"/>
                    <w:bottom w:val="single" w:color="auto" w:sz="4" w:space="0"/>
                    <w:right w:val="single" w:color="auto" w:sz="4" w:space="0"/>
                  </w:tcBorders>
                  <w:shd w:val="clear" w:color="auto" w:fill="auto"/>
                  <w:noWrap/>
                  <w:vAlign w:val="center"/>
                </w:tcPr>
                <w:p w14:paraId="10787CF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2832977.157 </w:t>
                  </w:r>
                </w:p>
              </w:tc>
              <w:tc>
                <w:tcPr>
                  <w:tcW w:w="1900" w:type="dxa"/>
                  <w:tcBorders>
                    <w:top w:val="nil"/>
                    <w:left w:val="nil"/>
                    <w:bottom w:val="single" w:color="auto" w:sz="4" w:space="0"/>
                    <w:right w:val="single" w:color="auto" w:sz="4" w:space="0"/>
                  </w:tcBorders>
                  <w:shd w:val="clear" w:color="auto" w:fill="auto"/>
                  <w:noWrap/>
                  <w:vAlign w:val="center"/>
                </w:tcPr>
                <w:p w14:paraId="692CBA8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580789.0261 </w:t>
                  </w:r>
                </w:p>
              </w:tc>
            </w:tr>
            <w:tr w14:paraId="40928AEB">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3AA84C8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8</w:t>
                  </w:r>
                </w:p>
              </w:tc>
              <w:tc>
                <w:tcPr>
                  <w:tcW w:w="1536" w:type="dxa"/>
                  <w:tcBorders>
                    <w:top w:val="nil"/>
                    <w:left w:val="nil"/>
                    <w:bottom w:val="single" w:color="auto" w:sz="4" w:space="0"/>
                    <w:right w:val="single" w:color="auto" w:sz="4" w:space="0"/>
                  </w:tcBorders>
                  <w:shd w:val="clear" w:color="auto" w:fill="auto"/>
                  <w:noWrap/>
                  <w:vAlign w:val="center"/>
                </w:tcPr>
                <w:p w14:paraId="5E49A70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2832758.943 </w:t>
                  </w:r>
                </w:p>
              </w:tc>
              <w:tc>
                <w:tcPr>
                  <w:tcW w:w="1870" w:type="dxa"/>
                  <w:tcBorders>
                    <w:top w:val="nil"/>
                    <w:left w:val="nil"/>
                    <w:bottom w:val="single" w:color="auto" w:sz="4" w:space="0"/>
                    <w:right w:val="single" w:color="auto" w:sz="4" w:space="0"/>
                  </w:tcBorders>
                  <w:shd w:val="clear" w:color="auto" w:fill="auto"/>
                  <w:noWrap/>
                  <w:vAlign w:val="center"/>
                </w:tcPr>
                <w:p w14:paraId="7D5C6DA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580667.2376 </w:t>
                  </w:r>
                </w:p>
              </w:tc>
              <w:tc>
                <w:tcPr>
                  <w:tcW w:w="980" w:type="dxa"/>
                  <w:tcBorders>
                    <w:top w:val="nil"/>
                    <w:left w:val="nil"/>
                    <w:bottom w:val="single" w:color="auto" w:sz="4" w:space="0"/>
                    <w:right w:val="single" w:color="auto" w:sz="4" w:space="0"/>
                  </w:tcBorders>
                  <w:shd w:val="clear" w:color="auto" w:fill="auto"/>
                  <w:noWrap/>
                  <w:vAlign w:val="center"/>
                </w:tcPr>
                <w:p w14:paraId="02B4A86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29</w:t>
                  </w:r>
                </w:p>
              </w:tc>
              <w:tc>
                <w:tcPr>
                  <w:tcW w:w="1900" w:type="dxa"/>
                  <w:tcBorders>
                    <w:top w:val="nil"/>
                    <w:left w:val="nil"/>
                    <w:bottom w:val="single" w:color="auto" w:sz="4" w:space="0"/>
                    <w:right w:val="single" w:color="auto" w:sz="4" w:space="0"/>
                  </w:tcBorders>
                  <w:shd w:val="clear" w:color="auto" w:fill="auto"/>
                  <w:noWrap/>
                  <w:vAlign w:val="center"/>
                </w:tcPr>
                <w:p w14:paraId="6C63E90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2832982.330 </w:t>
                  </w:r>
                </w:p>
              </w:tc>
              <w:tc>
                <w:tcPr>
                  <w:tcW w:w="1900" w:type="dxa"/>
                  <w:tcBorders>
                    <w:top w:val="nil"/>
                    <w:left w:val="nil"/>
                    <w:bottom w:val="single" w:color="auto" w:sz="4" w:space="0"/>
                    <w:right w:val="single" w:color="auto" w:sz="4" w:space="0"/>
                  </w:tcBorders>
                  <w:shd w:val="clear" w:color="auto" w:fill="auto"/>
                  <w:noWrap/>
                  <w:vAlign w:val="center"/>
                </w:tcPr>
                <w:p w14:paraId="1438D32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580768.6304 </w:t>
                  </w:r>
                </w:p>
              </w:tc>
            </w:tr>
            <w:tr w14:paraId="0260539E">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5E0CF55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9</w:t>
                  </w:r>
                </w:p>
              </w:tc>
              <w:tc>
                <w:tcPr>
                  <w:tcW w:w="1536" w:type="dxa"/>
                  <w:tcBorders>
                    <w:top w:val="nil"/>
                    <w:left w:val="nil"/>
                    <w:bottom w:val="single" w:color="auto" w:sz="4" w:space="0"/>
                    <w:right w:val="single" w:color="auto" w:sz="4" w:space="0"/>
                  </w:tcBorders>
                  <w:shd w:val="clear" w:color="auto" w:fill="auto"/>
                  <w:noWrap/>
                  <w:vAlign w:val="center"/>
                </w:tcPr>
                <w:p w14:paraId="6982647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2832724.579 </w:t>
                  </w:r>
                </w:p>
              </w:tc>
              <w:tc>
                <w:tcPr>
                  <w:tcW w:w="1870" w:type="dxa"/>
                  <w:tcBorders>
                    <w:top w:val="nil"/>
                    <w:left w:val="nil"/>
                    <w:bottom w:val="single" w:color="auto" w:sz="4" w:space="0"/>
                    <w:right w:val="single" w:color="auto" w:sz="4" w:space="0"/>
                  </w:tcBorders>
                  <w:shd w:val="clear" w:color="auto" w:fill="auto"/>
                  <w:noWrap/>
                  <w:vAlign w:val="center"/>
                </w:tcPr>
                <w:p w14:paraId="0DCA93C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580710.1961 </w:t>
                  </w:r>
                </w:p>
              </w:tc>
              <w:tc>
                <w:tcPr>
                  <w:tcW w:w="980" w:type="dxa"/>
                  <w:tcBorders>
                    <w:top w:val="nil"/>
                    <w:left w:val="nil"/>
                    <w:bottom w:val="single" w:color="auto" w:sz="4" w:space="0"/>
                    <w:right w:val="single" w:color="auto" w:sz="4" w:space="0"/>
                  </w:tcBorders>
                  <w:shd w:val="clear" w:color="auto" w:fill="auto"/>
                  <w:noWrap/>
                  <w:vAlign w:val="center"/>
                </w:tcPr>
                <w:p w14:paraId="4527FB3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30</w:t>
                  </w:r>
                </w:p>
              </w:tc>
              <w:tc>
                <w:tcPr>
                  <w:tcW w:w="1900" w:type="dxa"/>
                  <w:tcBorders>
                    <w:top w:val="nil"/>
                    <w:left w:val="nil"/>
                    <w:bottom w:val="single" w:color="auto" w:sz="4" w:space="0"/>
                    <w:right w:val="single" w:color="auto" w:sz="4" w:space="0"/>
                  </w:tcBorders>
                  <w:shd w:val="clear" w:color="auto" w:fill="auto"/>
                  <w:noWrap/>
                  <w:vAlign w:val="center"/>
                </w:tcPr>
                <w:p w14:paraId="3C99D6A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2832991.020 </w:t>
                  </w:r>
                </w:p>
              </w:tc>
              <w:tc>
                <w:tcPr>
                  <w:tcW w:w="1900" w:type="dxa"/>
                  <w:tcBorders>
                    <w:top w:val="nil"/>
                    <w:left w:val="nil"/>
                    <w:bottom w:val="single" w:color="auto" w:sz="4" w:space="0"/>
                    <w:right w:val="single" w:color="auto" w:sz="4" w:space="0"/>
                  </w:tcBorders>
                  <w:shd w:val="clear" w:color="auto" w:fill="auto"/>
                  <w:noWrap/>
                  <w:vAlign w:val="center"/>
                </w:tcPr>
                <w:p w14:paraId="57F3D1F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580745.5176 </w:t>
                  </w:r>
                </w:p>
              </w:tc>
            </w:tr>
            <w:tr w14:paraId="7E4DB4DE">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039F601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10</w:t>
                  </w:r>
                </w:p>
              </w:tc>
              <w:tc>
                <w:tcPr>
                  <w:tcW w:w="1536" w:type="dxa"/>
                  <w:tcBorders>
                    <w:top w:val="nil"/>
                    <w:left w:val="nil"/>
                    <w:bottom w:val="single" w:color="auto" w:sz="4" w:space="0"/>
                    <w:right w:val="single" w:color="auto" w:sz="4" w:space="0"/>
                  </w:tcBorders>
                  <w:shd w:val="clear" w:color="auto" w:fill="auto"/>
                  <w:noWrap/>
                  <w:vAlign w:val="center"/>
                </w:tcPr>
                <w:p w14:paraId="62DC60A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2832695.438 </w:t>
                  </w:r>
                </w:p>
              </w:tc>
              <w:tc>
                <w:tcPr>
                  <w:tcW w:w="1870" w:type="dxa"/>
                  <w:tcBorders>
                    <w:top w:val="nil"/>
                    <w:left w:val="nil"/>
                    <w:bottom w:val="single" w:color="auto" w:sz="4" w:space="0"/>
                    <w:right w:val="single" w:color="auto" w:sz="4" w:space="0"/>
                  </w:tcBorders>
                  <w:shd w:val="clear" w:color="auto" w:fill="auto"/>
                  <w:noWrap/>
                  <w:vAlign w:val="center"/>
                </w:tcPr>
                <w:p w14:paraId="167C7D1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580750.1973 </w:t>
                  </w:r>
                </w:p>
              </w:tc>
              <w:tc>
                <w:tcPr>
                  <w:tcW w:w="980" w:type="dxa"/>
                  <w:tcBorders>
                    <w:top w:val="nil"/>
                    <w:left w:val="nil"/>
                    <w:bottom w:val="single" w:color="auto" w:sz="4" w:space="0"/>
                    <w:right w:val="single" w:color="auto" w:sz="4" w:space="0"/>
                  </w:tcBorders>
                  <w:shd w:val="clear" w:color="auto" w:fill="auto"/>
                  <w:noWrap/>
                  <w:vAlign w:val="center"/>
                </w:tcPr>
                <w:p w14:paraId="6BC0B34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31</w:t>
                  </w:r>
                </w:p>
              </w:tc>
              <w:tc>
                <w:tcPr>
                  <w:tcW w:w="1900" w:type="dxa"/>
                  <w:tcBorders>
                    <w:top w:val="nil"/>
                    <w:left w:val="nil"/>
                    <w:bottom w:val="single" w:color="auto" w:sz="4" w:space="0"/>
                    <w:right w:val="single" w:color="auto" w:sz="4" w:space="0"/>
                  </w:tcBorders>
                  <w:shd w:val="clear" w:color="auto" w:fill="auto"/>
                  <w:noWrap/>
                  <w:vAlign w:val="center"/>
                </w:tcPr>
                <w:p w14:paraId="480C5D0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2833013.872 </w:t>
                  </w:r>
                </w:p>
              </w:tc>
              <w:tc>
                <w:tcPr>
                  <w:tcW w:w="1900" w:type="dxa"/>
                  <w:tcBorders>
                    <w:top w:val="nil"/>
                    <w:left w:val="nil"/>
                    <w:bottom w:val="single" w:color="auto" w:sz="4" w:space="0"/>
                    <w:right w:val="single" w:color="auto" w:sz="4" w:space="0"/>
                  </w:tcBorders>
                  <w:shd w:val="clear" w:color="auto" w:fill="auto"/>
                  <w:noWrap/>
                  <w:vAlign w:val="center"/>
                </w:tcPr>
                <w:p w14:paraId="19738FF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580731.4329 </w:t>
                  </w:r>
                </w:p>
              </w:tc>
            </w:tr>
            <w:tr w14:paraId="43D205A0">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7C5E1F2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11</w:t>
                  </w:r>
                </w:p>
              </w:tc>
              <w:tc>
                <w:tcPr>
                  <w:tcW w:w="1536" w:type="dxa"/>
                  <w:tcBorders>
                    <w:top w:val="nil"/>
                    <w:left w:val="nil"/>
                    <w:bottom w:val="single" w:color="auto" w:sz="4" w:space="0"/>
                    <w:right w:val="single" w:color="auto" w:sz="4" w:space="0"/>
                  </w:tcBorders>
                  <w:shd w:val="clear" w:color="auto" w:fill="auto"/>
                  <w:noWrap/>
                  <w:vAlign w:val="center"/>
                </w:tcPr>
                <w:p w14:paraId="6685B13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2832697.438 </w:t>
                  </w:r>
                </w:p>
              </w:tc>
              <w:tc>
                <w:tcPr>
                  <w:tcW w:w="1870" w:type="dxa"/>
                  <w:tcBorders>
                    <w:top w:val="nil"/>
                    <w:left w:val="nil"/>
                    <w:bottom w:val="single" w:color="auto" w:sz="4" w:space="0"/>
                    <w:right w:val="single" w:color="auto" w:sz="4" w:space="0"/>
                  </w:tcBorders>
                  <w:shd w:val="clear" w:color="auto" w:fill="auto"/>
                  <w:noWrap/>
                  <w:vAlign w:val="center"/>
                </w:tcPr>
                <w:p w14:paraId="5247A8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580769.9510 </w:t>
                  </w:r>
                </w:p>
              </w:tc>
              <w:tc>
                <w:tcPr>
                  <w:tcW w:w="980" w:type="dxa"/>
                  <w:tcBorders>
                    <w:top w:val="nil"/>
                    <w:left w:val="nil"/>
                    <w:bottom w:val="single" w:color="auto" w:sz="4" w:space="0"/>
                    <w:right w:val="single" w:color="auto" w:sz="4" w:space="0"/>
                  </w:tcBorders>
                  <w:shd w:val="clear" w:color="auto" w:fill="auto"/>
                  <w:noWrap/>
                  <w:vAlign w:val="center"/>
                </w:tcPr>
                <w:p w14:paraId="6ED2F40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32</w:t>
                  </w:r>
                </w:p>
              </w:tc>
              <w:tc>
                <w:tcPr>
                  <w:tcW w:w="1900" w:type="dxa"/>
                  <w:tcBorders>
                    <w:top w:val="nil"/>
                    <w:left w:val="nil"/>
                    <w:bottom w:val="single" w:color="auto" w:sz="4" w:space="0"/>
                    <w:right w:val="single" w:color="auto" w:sz="4" w:space="0"/>
                  </w:tcBorders>
                  <w:shd w:val="clear" w:color="auto" w:fill="auto"/>
                  <w:noWrap/>
                  <w:vAlign w:val="center"/>
                </w:tcPr>
                <w:p w14:paraId="5C1F4DA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2833023.920 </w:t>
                  </w:r>
                </w:p>
              </w:tc>
              <w:tc>
                <w:tcPr>
                  <w:tcW w:w="1900" w:type="dxa"/>
                  <w:tcBorders>
                    <w:top w:val="nil"/>
                    <w:left w:val="nil"/>
                    <w:bottom w:val="single" w:color="auto" w:sz="4" w:space="0"/>
                    <w:right w:val="single" w:color="auto" w:sz="4" w:space="0"/>
                  </w:tcBorders>
                  <w:shd w:val="clear" w:color="auto" w:fill="auto"/>
                  <w:noWrap/>
                  <w:vAlign w:val="center"/>
                </w:tcPr>
                <w:p w14:paraId="2FCFA0C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580724.8273 </w:t>
                  </w:r>
                </w:p>
              </w:tc>
            </w:tr>
            <w:tr w14:paraId="50AC3787">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697F794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12</w:t>
                  </w:r>
                </w:p>
              </w:tc>
              <w:tc>
                <w:tcPr>
                  <w:tcW w:w="1536" w:type="dxa"/>
                  <w:tcBorders>
                    <w:top w:val="nil"/>
                    <w:left w:val="nil"/>
                    <w:bottom w:val="single" w:color="auto" w:sz="4" w:space="0"/>
                    <w:right w:val="single" w:color="auto" w:sz="4" w:space="0"/>
                  </w:tcBorders>
                  <w:shd w:val="clear" w:color="auto" w:fill="auto"/>
                  <w:noWrap/>
                  <w:vAlign w:val="center"/>
                </w:tcPr>
                <w:p w14:paraId="6921C0F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2832707.631 </w:t>
                  </w:r>
                </w:p>
              </w:tc>
              <w:tc>
                <w:tcPr>
                  <w:tcW w:w="1870" w:type="dxa"/>
                  <w:tcBorders>
                    <w:top w:val="nil"/>
                    <w:left w:val="nil"/>
                    <w:bottom w:val="single" w:color="auto" w:sz="4" w:space="0"/>
                    <w:right w:val="single" w:color="auto" w:sz="4" w:space="0"/>
                  </w:tcBorders>
                  <w:shd w:val="clear" w:color="auto" w:fill="auto"/>
                  <w:noWrap/>
                  <w:vAlign w:val="center"/>
                </w:tcPr>
                <w:p w14:paraId="48A404D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580804.1761 </w:t>
                  </w:r>
                </w:p>
              </w:tc>
              <w:tc>
                <w:tcPr>
                  <w:tcW w:w="980" w:type="dxa"/>
                  <w:tcBorders>
                    <w:top w:val="nil"/>
                    <w:left w:val="nil"/>
                    <w:bottom w:val="single" w:color="auto" w:sz="4" w:space="0"/>
                    <w:right w:val="single" w:color="auto" w:sz="4" w:space="0"/>
                  </w:tcBorders>
                  <w:shd w:val="clear" w:color="auto" w:fill="auto"/>
                  <w:noWrap/>
                  <w:vAlign w:val="center"/>
                </w:tcPr>
                <w:p w14:paraId="7F0F982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33</w:t>
                  </w:r>
                </w:p>
              </w:tc>
              <w:tc>
                <w:tcPr>
                  <w:tcW w:w="1900" w:type="dxa"/>
                  <w:tcBorders>
                    <w:top w:val="nil"/>
                    <w:left w:val="nil"/>
                    <w:bottom w:val="single" w:color="auto" w:sz="4" w:space="0"/>
                    <w:right w:val="single" w:color="auto" w:sz="4" w:space="0"/>
                  </w:tcBorders>
                  <w:shd w:val="clear" w:color="auto" w:fill="auto"/>
                  <w:noWrap/>
                  <w:vAlign w:val="center"/>
                </w:tcPr>
                <w:p w14:paraId="4E5C817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2833013.798 </w:t>
                  </w:r>
                </w:p>
              </w:tc>
              <w:tc>
                <w:tcPr>
                  <w:tcW w:w="1900" w:type="dxa"/>
                  <w:tcBorders>
                    <w:top w:val="nil"/>
                    <w:left w:val="nil"/>
                    <w:bottom w:val="single" w:color="auto" w:sz="4" w:space="0"/>
                    <w:right w:val="single" w:color="auto" w:sz="4" w:space="0"/>
                  </w:tcBorders>
                  <w:shd w:val="clear" w:color="auto" w:fill="auto"/>
                  <w:noWrap/>
                  <w:vAlign w:val="center"/>
                </w:tcPr>
                <w:p w14:paraId="1E80DC2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580720.1842 </w:t>
                  </w:r>
                </w:p>
              </w:tc>
            </w:tr>
            <w:tr w14:paraId="58B8F7A0">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16BB40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13</w:t>
                  </w:r>
                </w:p>
              </w:tc>
              <w:tc>
                <w:tcPr>
                  <w:tcW w:w="1536" w:type="dxa"/>
                  <w:tcBorders>
                    <w:top w:val="nil"/>
                    <w:left w:val="nil"/>
                    <w:bottom w:val="single" w:color="auto" w:sz="4" w:space="0"/>
                    <w:right w:val="single" w:color="auto" w:sz="4" w:space="0"/>
                  </w:tcBorders>
                  <w:shd w:val="clear" w:color="auto" w:fill="auto"/>
                  <w:noWrap/>
                  <w:vAlign w:val="center"/>
                </w:tcPr>
                <w:p w14:paraId="6E54806A">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2832734.185 </w:t>
                  </w:r>
                </w:p>
              </w:tc>
              <w:tc>
                <w:tcPr>
                  <w:tcW w:w="1870" w:type="dxa"/>
                  <w:tcBorders>
                    <w:top w:val="nil"/>
                    <w:left w:val="nil"/>
                    <w:bottom w:val="single" w:color="auto" w:sz="4" w:space="0"/>
                    <w:right w:val="single" w:color="auto" w:sz="4" w:space="0"/>
                  </w:tcBorders>
                  <w:shd w:val="clear" w:color="auto" w:fill="auto"/>
                  <w:noWrap/>
                  <w:vAlign w:val="center"/>
                </w:tcPr>
                <w:p w14:paraId="6EDECA5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580808.8001 </w:t>
                  </w:r>
                </w:p>
              </w:tc>
              <w:tc>
                <w:tcPr>
                  <w:tcW w:w="980" w:type="dxa"/>
                  <w:tcBorders>
                    <w:top w:val="nil"/>
                    <w:left w:val="nil"/>
                    <w:bottom w:val="single" w:color="auto" w:sz="4" w:space="0"/>
                    <w:right w:val="single" w:color="auto" w:sz="4" w:space="0"/>
                  </w:tcBorders>
                  <w:shd w:val="clear" w:color="auto" w:fill="auto"/>
                  <w:noWrap/>
                  <w:vAlign w:val="center"/>
                </w:tcPr>
                <w:p w14:paraId="271B7C2D">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34</w:t>
                  </w:r>
                </w:p>
              </w:tc>
              <w:tc>
                <w:tcPr>
                  <w:tcW w:w="1900" w:type="dxa"/>
                  <w:tcBorders>
                    <w:top w:val="nil"/>
                    <w:left w:val="nil"/>
                    <w:bottom w:val="single" w:color="auto" w:sz="4" w:space="0"/>
                    <w:right w:val="single" w:color="auto" w:sz="4" w:space="0"/>
                  </w:tcBorders>
                  <w:shd w:val="clear" w:color="auto" w:fill="auto"/>
                  <w:noWrap/>
                  <w:vAlign w:val="center"/>
                </w:tcPr>
                <w:p w14:paraId="68FE398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2832986.534 </w:t>
                  </w:r>
                </w:p>
              </w:tc>
              <w:tc>
                <w:tcPr>
                  <w:tcW w:w="1900" w:type="dxa"/>
                  <w:tcBorders>
                    <w:top w:val="nil"/>
                    <w:left w:val="nil"/>
                    <w:bottom w:val="single" w:color="auto" w:sz="4" w:space="0"/>
                    <w:right w:val="single" w:color="auto" w:sz="4" w:space="0"/>
                  </w:tcBorders>
                  <w:shd w:val="clear" w:color="auto" w:fill="auto"/>
                  <w:noWrap/>
                  <w:vAlign w:val="center"/>
                </w:tcPr>
                <w:p w14:paraId="27029D7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580684.5906 </w:t>
                  </w:r>
                </w:p>
              </w:tc>
            </w:tr>
            <w:tr w14:paraId="45E243B3">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0BE6A2C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14</w:t>
                  </w:r>
                </w:p>
              </w:tc>
              <w:tc>
                <w:tcPr>
                  <w:tcW w:w="1536" w:type="dxa"/>
                  <w:tcBorders>
                    <w:top w:val="nil"/>
                    <w:left w:val="nil"/>
                    <w:bottom w:val="single" w:color="auto" w:sz="4" w:space="0"/>
                    <w:right w:val="single" w:color="auto" w:sz="4" w:space="0"/>
                  </w:tcBorders>
                  <w:shd w:val="clear" w:color="auto" w:fill="auto"/>
                  <w:noWrap/>
                  <w:vAlign w:val="center"/>
                </w:tcPr>
                <w:p w14:paraId="598A76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2832750.854 </w:t>
                  </w:r>
                </w:p>
              </w:tc>
              <w:tc>
                <w:tcPr>
                  <w:tcW w:w="1870" w:type="dxa"/>
                  <w:tcBorders>
                    <w:top w:val="nil"/>
                    <w:left w:val="nil"/>
                    <w:bottom w:val="single" w:color="auto" w:sz="4" w:space="0"/>
                    <w:right w:val="single" w:color="auto" w:sz="4" w:space="0"/>
                  </w:tcBorders>
                  <w:shd w:val="clear" w:color="auto" w:fill="auto"/>
                  <w:noWrap/>
                  <w:vAlign w:val="center"/>
                </w:tcPr>
                <w:p w14:paraId="37ABD56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580813.9595 </w:t>
                  </w:r>
                </w:p>
              </w:tc>
              <w:tc>
                <w:tcPr>
                  <w:tcW w:w="980" w:type="dxa"/>
                  <w:tcBorders>
                    <w:top w:val="nil"/>
                    <w:left w:val="nil"/>
                    <w:bottom w:val="single" w:color="auto" w:sz="4" w:space="0"/>
                    <w:right w:val="single" w:color="auto" w:sz="4" w:space="0"/>
                  </w:tcBorders>
                  <w:shd w:val="clear" w:color="auto" w:fill="auto"/>
                  <w:noWrap/>
                  <w:vAlign w:val="center"/>
                </w:tcPr>
                <w:p w14:paraId="4437C61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35</w:t>
                  </w:r>
                </w:p>
              </w:tc>
              <w:tc>
                <w:tcPr>
                  <w:tcW w:w="1900" w:type="dxa"/>
                  <w:tcBorders>
                    <w:top w:val="nil"/>
                    <w:left w:val="nil"/>
                    <w:bottom w:val="single" w:color="auto" w:sz="4" w:space="0"/>
                    <w:right w:val="single" w:color="auto" w:sz="4" w:space="0"/>
                  </w:tcBorders>
                  <w:shd w:val="clear" w:color="auto" w:fill="auto"/>
                  <w:noWrap/>
                  <w:vAlign w:val="center"/>
                </w:tcPr>
                <w:p w14:paraId="73A7D3C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2832958.761 </w:t>
                  </w:r>
                </w:p>
              </w:tc>
              <w:tc>
                <w:tcPr>
                  <w:tcW w:w="1900" w:type="dxa"/>
                  <w:tcBorders>
                    <w:top w:val="nil"/>
                    <w:left w:val="nil"/>
                    <w:bottom w:val="single" w:color="auto" w:sz="4" w:space="0"/>
                    <w:right w:val="single" w:color="auto" w:sz="4" w:space="0"/>
                  </w:tcBorders>
                  <w:shd w:val="clear" w:color="auto" w:fill="auto"/>
                  <w:noWrap/>
                  <w:vAlign w:val="center"/>
                </w:tcPr>
                <w:p w14:paraId="76E5813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580661.3474 </w:t>
                  </w:r>
                </w:p>
              </w:tc>
            </w:tr>
            <w:tr w14:paraId="01B67D68">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0C8D367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15</w:t>
                  </w:r>
                </w:p>
              </w:tc>
              <w:tc>
                <w:tcPr>
                  <w:tcW w:w="1536" w:type="dxa"/>
                  <w:tcBorders>
                    <w:top w:val="nil"/>
                    <w:left w:val="nil"/>
                    <w:bottom w:val="single" w:color="auto" w:sz="4" w:space="0"/>
                    <w:right w:val="single" w:color="auto" w:sz="4" w:space="0"/>
                  </w:tcBorders>
                  <w:shd w:val="clear" w:color="auto" w:fill="auto"/>
                  <w:noWrap/>
                  <w:vAlign w:val="center"/>
                </w:tcPr>
                <w:p w14:paraId="69E9695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2832773.476 </w:t>
                  </w:r>
                </w:p>
              </w:tc>
              <w:tc>
                <w:tcPr>
                  <w:tcW w:w="1870" w:type="dxa"/>
                  <w:tcBorders>
                    <w:top w:val="nil"/>
                    <w:left w:val="nil"/>
                    <w:bottom w:val="single" w:color="auto" w:sz="4" w:space="0"/>
                    <w:right w:val="single" w:color="auto" w:sz="4" w:space="0"/>
                  </w:tcBorders>
                  <w:shd w:val="clear" w:color="auto" w:fill="auto"/>
                  <w:noWrap/>
                  <w:vAlign w:val="center"/>
                </w:tcPr>
                <w:p w14:paraId="6B04512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580835.3908 </w:t>
                  </w:r>
                </w:p>
              </w:tc>
              <w:tc>
                <w:tcPr>
                  <w:tcW w:w="980" w:type="dxa"/>
                  <w:tcBorders>
                    <w:top w:val="nil"/>
                    <w:left w:val="nil"/>
                    <w:bottom w:val="single" w:color="auto" w:sz="4" w:space="0"/>
                    <w:right w:val="single" w:color="auto" w:sz="4" w:space="0"/>
                  </w:tcBorders>
                  <w:shd w:val="clear" w:color="auto" w:fill="auto"/>
                  <w:noWrap/>
                  <w:vAlign w:val="center"/>
                </w:tcPr>
                <w:p w14:paraId="70CD32B8">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36</w:t>
                  </w:r>
                </w:p>
              </w:tc>
              <w:tc>
                <w:tcPr>
                  <w:tcW w:w="1900" w:type="dxa"/>
                  <w:tcBorders>
                    <w:top w:val="nil"/>
                    <w:left w:val="nil"/>
                    <w:bottom w:val="single" w:color="auto" w:sz="4" w:space="0"/>
                    <w:right w:val="single" w:color="auto" w:sz="4" w:space="0"/>
                  </w:tcBorders>
                  <w:shd w:val="clear" w:color="auto" w:fill="auto"/>
                  <w:noWrap/>
                  <w:vAlign w:val="center"/>
                </w:tcPr>
                <w:p w14:paraId="7ED1C7F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2832957.250 </w:t>
                  </w:r>
                </w:p>
              </w:tc>
              <w:tc>
                <w:tcPr>
                  <w:tcW w:w="1900" w:type="dxa"/>
                  <w:tcBorders>
                    <w:top w:val="nil"/>
                    <w:left w:val="nil"/>
                    <w:bottom w:val="single" w:color="auto" w:sz="4" w:space="0"/>
                    <w:right w:val="single" w:color="auto" w:sz="4" w:space="0"/>
                  </w:tcBorders>
                  <w:shd w:val="clear" w:color="auto" w:fill="auto"/>
                  <w:noWrap/>
                  <w:vAlign w:val="center"/>
                </w:tcPr>
                <w:p w14:paraId="15E5103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580659.4233 </w:t>
                  </w:r>
                </w:p>
              </w:tc>
            </w:tr>
            <w:tr w14:paraId="4704BA43">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4D999EF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16</w:t>
                  </w:r>
                </w:p>
              </w:tc>
              <w:tc>
                <w:tcPr>
                  <w:tcW w:w="1536" w:type="dxa"/>
                  <w:tcBorders>
                    <w:top w:val="nil"/>
                    <w:left w:val="nil"/>
                    <w:bottom w:val="single" w:color="auto" w:sz="4" w:space="0"/>
                    <w:right w:val="single" w:color="auto" w:sz="4" w:space="0"/>
                  </w:tcBorders>
                  <w:shd w:val="clear" w:color="auto" w:fill="auto"/>
                  <w:noWrap/>
                  <w:vAlign w:val="center"/>
                </w:tcPr>
                <w:p w14:paraId="3121868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2832802.448 </w:t>
                  </w:r>
                </w:p>
              </w:tc>
              <w:tc>
                <w:tcPr>
                  <w:tcW w:w="1870" w:type="dxa"/>
                  <w:tcBorders>
                    <w:top w:val="nil"/>
                    <w:left w:val="nil"/>
                    <w:bottom w:val="single" w:color="auto" w:sz="4" w:space="0"/>
                    <w:right w:val="single" w:color="auto" w:sz="4" w:space="0"/>
                  </w:tcBorders>
                  <w:shd w:val="clear" w:color="auto" w:fill="auto"/>
                  <w:noWrap/>
                  <w:vAlign w:val="center"/>
                </w:tcPr>
                <w:p w14:paraId="017DB88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580853.2501 </w:t>
                  </w:r>
                </w:p>
              </w:tc>
              <w:tc>
                <w:tcPr>
                  <w:tcW w:w="980" w:type="dxa"/>
                  <w:tcBorders>
                    <w:top w:val="nil"/>
                    <w:left w:val="nil"/>
                    <w:bottom w:val="single" w:color="auto" w:sz="4" w:space="0"/>
                    <w:right w:val="single" w:color="auto" w:sz="4" w:space="0"/>
                  </w:tcBorders>
                  <w:shd w:val="clear" w:color="auto" w:fill="auto"/>
                  <w:noWrap/>
                  <w:vAlign w:val="center"/>
                </w:tcPr>
                <w:p w14:paraId="3C59232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37</w:t>
                  </w:r>
                </w:p>
              </w:tc>
              <w:tc>
                <w:tcPr>
                  <w:tcW w:w="1900" w:type="dxa"/>
                  <w:tcBorders>
                    <w:top w:val="nil"/>
                    <w:left w:val="nil"/>
                    <w:bottom w:val="single" w:color="auto" w:sz="4" w:space="0"/>
                    <w:right w:val="single" w:color="auto" w:sz="4" w:space="0"/>
                  </w:tcBorders>
                  <w:shd w:val="clear" w:color="auto" w:fill="auto"/>
                  <w:noWrap/>
                  <w:vAlign w:val="center"/>
                </w:tcPr>
                <w:p w14:paraId="575EFB6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2832955.145 </w:t>
                  </w:r>
                </w:p>
              </w:tc>
              <w:tc>
                <w:tcPr>
                  <w:tcW w:w="1900" w:type="dxa"/>
                  <w:tcBorders>
                    <w:top w:val="nil"/>
                    <w:left w:val="nil"/>
                    <w:bottom w:val="single" w:color="auto" w:sz="4" w:space="0"/>
                    <w:right w:val="single" w:color="auto" w:sz="4" w:space="0"/>
                  </w:tcBorders>
                  <w:shd w:val="clear" w:color="auto" w:fill="auto"/>
                  <w:noWrap/>
                  <w:vAlign w:val="center"/>
                </w:tcPr>
                <w:p w14:paraId="612549F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580654.2122 </w:t>
                  </w:r>
                </w:p>
              </w:tc>
            </w:tr>
            <w:tr w14:paraId="1580D552">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0DB0F7F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17</w:t>
                  </w:r>
                </w:p>
              </w:tc>
              <w:tc>
                <w:tcPr>
                  <w:tcW w:w="1536" w:type="dxa"/>
                  <w:tcBorders>
                    <w:top w:val="nil"/>
                    <w:left w:val="nil"/>
                    <w:bottom w:val="single" w:color="auto" w:sz="4" w:space="0"/>
                    <w:right w:val="single" w:color="auto" w:sz="4" w:space="0"/>
                  </w:tcBorders>
                  <w:shd w:val="clear" w:color="auto" w:fill="auto"/>
                  <w:noWrap/>
                  <w:vAlign w:val="center"/>
                </w:tcPr>
                <w:p w14:paraId="1230053E">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2832820.847 </w:t>
                  </w:r>
                </w:p>
              </w:tc>
              <w:tc>
                <w:tcPr>
                  <w:tcW w:w="1870" w:type="dxa"/>
                  <w:tcBorders>
                    <w:top w:val="nil"/>
                    <w:left w:val="nil"/>
                    <w:bottom w:val="single" w:color="auto" w:sz="4" w:space="0"/>
                    <w:right w:val="single" w:color="auto" w:sz="4" w:space="0"/>
                  </w:tcBorders>
                  <w:shd w:val="clear" w:color="auto" w:fill="auto"/>
                  <w:noWrap/>
                  <w:vAlign w:val="center"/>
                </w:tcPr>
                <w:p w14:paraId="428B7FC1">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580851.3979 </w:t>
                  </w:r>
                </w:p>
              </w:tc>
              <w:tc>
                <w:tcPr>
                  <w:tcW w:w="980" w:type="dxa"/>
                  <w:tcBorders>
                    <w:top w:val="nil"/>
                    <w:left w:val="nil"/>
                    <w:bottom w:val="single" w:color="auto" w:sz="4" w:space="0"/>
                    <w:right w:val="single" w:color="auto" w:sz="4" w:space="0"/>
                  </w:tcBorders>
                  <w:shd w:val="clear" w:color="auto" w:fill="auto"/>
                  <w:noWrap/>
                  <w:vAlign w:val="center"/>
                </w:tcPr>
                <w:p w14:paraId="03B2BC3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38</w:t>
                  </w:r>
                </w:p>
              </w:tc>
              <w:tc>
                <w:tcPr>
                  <w:tcW w:w="1900" w:type="dxa"/>
                  <w:tcBorders>
                    <w:top w:val="nil"/>
                    <w:left w:val="nil"/>
                    <w:bottom w:val="single" w:color="auto" w:sz="4" w:space="0"/>
                    <w:right w:val="single" w:color="auto" w:sz="4" w:space="0"/>
                  </w:tcBorders>
                  <w:shd w:val="clear" w:color="auto" w:fill="auto"/>
                  <w:noWrap/>
                  <w:vAlign w:val="center"/>
                </w:tcPr>
                <w:p w14:paraId="0708A49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2832954.517 </w:t>
                  </w:r>
                </w:p>
              </w:tc>
              <w:tc>
                <w:tcPr>
                  <w:tcW w:w="1900" w:type="dxa"/>
                  <w:tcBorders>
                    <w:top w:val="nil"/>
                    <w:left w:val="nil"/>
                    <w:bottom w:val="single" w:color="auto" w:sz="4" w:space="0"/>
                    <w:right w:val="single" w:color="auto" w:sz="4" w:space="0"/>
                  </w:tcBorders>
                  <w:shd w:val="clear" w:color="auto" w:fill="auto"/>
                  <w:noWrap/>
                  <w:vAlign w:val="center"/>
                </w:tcPr>
                <w:p w14:paraId="41D7C44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580651.5994 </w:t>
                  </w:r>
                </w:p>
              </w:tc>
            </w:tr>
            <w:tr w14:paraId="79DF3A1B">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4D480EA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18</w:t>
                  </w:r>
                </w:p>
              </w:tc>
              <w:tc>
                <w:tcPr>
                  <w:tcW w:w="1536" w:type="dxa"/>
                  <w:tcBorders>
                    <w:top w:val="nil"/>
                    <w:left w:val="nil"/>
                    <w:bottom w:val="single" w:color="auto" w:sz="4" w:space="0"/>
                    <w:right w:val="single" w:color="auto" w:sz="4" w:space="0"/>
                  </w:tcBorders>
                  <w:shd w:val="clear" w:color="auto" w:fill="auto"/>
                  <w:noWrap/>
                  <w:vAlign w:val="center"/>
                </w:tcPr>
                <w:p w14:paraId="1B2EBC63">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2832838.960 </w:t>
                  </w:r>
                </w:p>
              </w:tc>
              <w:tc>
                <w:tcPr>
                  <w:tcW w:w="1870" w:type="dxa"/>
                  <w:tcBorders>
                    <w:top w:val="nil"/>
                    <w:left w:val="nil"/>
                    <w:bottom w:val="single" w:color="auto" w:sz="4" w:space="0"/>
                    <w:right w:val="single" w:color="auto" w:sz="4" w:space="0"/>
                  </w:tcBorders>
                  <w:shd w:val="clear" w:color="auto" w:fill="auto"/>
                  <w:noWrap/>
                  <w:vAlign w:val="center"/>
                </w:tcPr>
                <w:p w14:paraId="000764C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580842.1376 </w:t>
                  </w:r>
                </w:p>
              </w:tc>
              <w:tc>
                <w:tcPr>
                  <w:tcW w:w="980" w:type="dxa"/>
                  <w:tcBorders>
                    <w:top w:val="nil"/>
                    <w:left w:val="nil"/>
                    <w:bottom w:val="single" w:color="auto" w:sz="4" w:space="0"/>
                    <w:right w:val="single" w:color="auto" w:sz="4" w:space="0"/>
                  </w:tcBorders>
                  <w:shd w:val="clear" w:color="auto" w:fill="auto"/>
                  <w:noWrap/>
                  <w:vAlign w:val="center"/>
                </w:tcPr>
                <w:p w14:paraId="35B0F88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39</w:t>
                  </w:r>
                </w:p>
              </w:tc>
              <w:tc>
                <w:tcPr>
                  <w:tcW w:w="1900" w:type="dxa"/>
                  <w:tcBorders>
                    <w:top w:val="nil"/>
                    <w:left w:val="nil"/>
                    <w:bottom w:val="single" w:color="auto" w:sz="4" w:space="0"/>
                    <w:right w:val="single" w:color="auto" w:sz="4" w:space="0"/>
                  </w:tcBorders>
                  <w:shd w:val="clear" w:color="auto" w:fill="auto"/>
                  <w:noWrap/>
                  <w:vAlign w:val="center"/>
                </w:tcPr>
                <w:p w14:paraId="1BC797F6">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2832954.351 </w:t>
                  </w:r>
                </w:p>
              </w:tc>
              <w:tc>
                <w:tcPr>
                  <w:tcW w:w="1900" w:type="dxa"/>
                  <w:tcBorders>
                    <w:top w:val="nil"/>
                    <w:left w:val="nil"/>
                    <w:bottom w:val="single" w:color="auto" w:sz="4" w:space="0"/>
                    <w:right w:val="single" w:color="auto" w:sz="4" w:space="0"/>
                  </w:tcBorders>
                  <w:shd w:val="clear" w:color="auto" w:fill="auto"/>
                  <w:noWrap/>
                  <w:vAlign w:val="center"/>
                </w:tcPr>
                <w:p w14:paraId="3E0E13B9">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580650.1112 </w:t>
                  </w:r>
                </w:p>
              </w:tc>
            </w:tr>
            <w:tr w14:paraId="62CE2463">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321290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19</w:t>
                  </w:r>
                </w:p>
              </w:tc>
              <w:tc>
                <w:tcPr>
                  <w:tcW w:w="1536" w:type="dxa"/>
                  <w:tcBorders>
                    <w:top w:val="nil"/>
                    <w:left w:val="nil"/>
                    <w:bottom w:val="single" w:color="auto" w:sz="4" w:space="0"/>
                    <w:right w:val="single" w:color="auto" w:sz="4" w:space="0"/>
                  </w:tcBorders>
                  <w:shd w:val="clear" w:color="auto" w:fill="auto"/>
                  <w:noWrap/>
                  <w:vAlign w:val="center"/>
                </w:tcPr>
                <w:p w14:paraId="1B64B00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2832857.613 </w:t>
                  </w:r>
                </w:p>
              </w:tc>
              <w:tc>
                <w:tcPr>
                  <w:tcW w:w="1870" w:type="dxa"/>
                  <w:tcBorders>
                    <w:top w:val="nil"/>
                    <w:left w:val="nil"/>
                    <w:bottom w:val="single" w:color="auto" w:sz="4" w:space="0"/>
                    <w:right w:val="single" w:color="auto" w:sz="4" w:space="0"/>
                  </w:tcBorders>
                  <w:shd w:val="clear" w:color="auto" w:fill="auto"/>
                  <w:noWrap/>
                  <w:vAlign w:val="center"/>
                </w:tcPr>
                <w:p w14:paraId="517D94A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580826.6594 </w:t>
                  </w:r>
                </w:p>
              </w:tc>
              <w:tc>
                <w:tcPr>
                  <w:tcW w:w="980" w:type="dxa"/>
                  <w:tcBorders>
                    <w:top w:val="nil"/>
                    <w:left w:val="nil"/>
                    <w:bottom w:val="single" w:color="auto" w:sz="4" w:space="0"/>
                    <w:right w:val="single" w:color="auto" w:sz="4" w:space="0"/>
                  </w:tcBorders>
                  <w:shd w:val="clear" w:color="auto" w:fill="auto"/>
                  <w:noWrap/>
                  <w:vAlign w:val="center"/>
                </w:tcPr>
                <w:p w14:paraId="3B099B8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40</w:t>
                  </w:r>
                </w:p>
              </w:tc>
              <w:tc>
                <w:tcPr>
                  <w:tcW w:w="1900" w:type="dxa"/>
                  <w:tcBorders>
                    <w:top w:val="nil"/>
                    <w:left w:val="nil"/>
                    <w:bottom w:val="single" w:color="auto" w:sz="4" w:space="0"/>
                    <w:right w:val="single" w:color="auto" w:sz="4" w:space="0"/>
                  </w:tcBorders>
                  <w:shd w:val="clear" w:color="auto" w:fill="auto"/>
                  <w:noWrap/>
                  <w:vAlign w:val="center"/>
                </w:tcPr>
                <w:p w14:paraId="1486693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2832953.954 </w:t>
                  </w:r>
                </w:p>
              </w:tc>
              <w:tc>
                <w:tcPr>
                  <w:tcW w:w="1900" w:type="dxa"/>
                  <w:tcBorders>
                    <w:top w:val="nil"/>
                    <w:left w:val="nil"/>
                    <w:bottom w:val="single" w:color="auto" w:sz="4" w:space="0"/>
                    <w:right w:val="single" w:color="auto" w:sz="4" w:space="0"/>
                  </w:tcBorders>
                  <w:shd w:val="clear" w:color="auto" w:fill="auto"/>
                  <w:noWrap/>
                  <w:vAlign w:val="center"/>
                </w:tcPr>
                <w:p w14:paraId="33D5737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580647.9284 </w:t>
                  </w:r>
                </w:p>
              </w:tc>
            </w:tr>
            <w:tr w14:paraId="7194F496">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3857F76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20</w:t>
                  </w:r>
                </w:p>
              </w:tc>
              <w:tc>
                <w:tcPr>
                  <w:tcW w:w="1536" w:type="dxa"/>
                  <w:tcBorders>
                    <w:top w:val="nil"/>
                    <w:left w:val="nil"/>
                    <w:bottom w:val="single" w:color="auto" w:sz="4" w:space="0"/>
                    <w:right w:val="single" w:color="auto" w:sz="4" w:space="0"/>
                  </w:tcBorders>
                  <w:shd w:val="clear" w:color="auto" w:fill="auto"/>
                  <w:noWrap/>
                  <w:vAlign w:val="center"/>
                </w:tcPr>
                <w:p w14:paraId="29A3209F">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2832871.107 </w:t>
                  </w:r>
                </w:p>
              </w:tc>
              <w:tc>
                <w:tcPr>
                  <w:tcW w:w="1870" w:type="dxa"/>
                  <w:tcBorders>
                    <w:top w:val="nil"/>
                    <w:left w:val="nil"/>
                    <w:bottom w:val="single" w:color="auto" w:sz="4" w:space="0"/>
                    <w:right w:val="single" w:color="auto" w:sz="4" w:space="0"/>
                  </w:tcBorders>
                  <w:shd w:val="clear" w:color="auto" w:fill="auto"/>
                  <w:noWrap/>
                  <w:vAlign w:val="center"/>
                </w:tcPr>
                <w:p w14:paraId="109C810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580816.6772 </w:t>
                  </w:r>
                </w:p>
              </w:tc>
              <w:tc>
                <w:tcPr>
                  <w:tcW w:w="980" w:type="dxa"/>
                  <w:tcBorders>
                    <w:top w:val="nil"/>
                    <w:left w:val="nil"/>
                    <w:bottom w:val="single" w:color="auto" w:sz="4" w:space="0"/>
                    <w:right w:val="single" w:color="auto" w:sz="4" w:space="0"/>
                  </w:tcBorders>
                  <w:shd w:val="clear" w:color="auto" w:fill="auto"/>
                  <w:noWrap/>
                  <w:vAlign w:val="center"/>
                </w:tcPr>
                <w:p w14:paraId="58AB7BE2">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41</w:t>
                  </w:r>
                </w:p>
              </w:tc>
              <w:tc>
                <w:tcPr>
                  <w:tcW w:w="1900" w:type="dxa"/>
                  <w:tcBorders>
                    <w:top w:val="nil"/>
                    <w:left w:val="nil"/>
                    <w:bottom w:val="single" w:color="auto" w:sz="4" w:space="0"/>
                    <w:right w:val="single" w:color="auto" w:sz="4" w:space="0"/>
                  </w:tcBorders>
                  <w:shd w:val="clear" w:color="auto" w:fill="auto"/>
                  <w:noWrap/>
                  <w:vAlign w:val="center"/>
                </w:tcPr>
                <w:p w14:paraId="1FEB8C5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2832953.491 </w:t>
                  </w:r>
                </w:p>
              </w:tc>
              <w:tc>
                <w:tcPr>
                  <w:tcW w:w="1900" w:type="dxa"/>
                  <w:tcBorders>
                    <w:top w:val="nil"/>
                    <w:left w:val="nil"/>
                    <w:bottom w:val="single" w:color="auto" w:sz="4" w:space="0"/>
                    <w:right w:val="single" w:color="auto" w:sz="4" w:space="0"/>
                  </w:tcBorders>
                  <w:shd w:val="clear" w:color="auto" w:fill="auto"/>
                  <w:noWrap/>
                  <w:vAlign w:val="center"/>
                </w:tcPr>
                <w:p w14:paraId="689F4F3C">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580643.9596 </w:t>
                  </w:r>
                </w:p>
              </w:tc>
            </w:tr>
            <w:tr w14:paraId="33C15535">
              <w:tblPrEx>
                <w:tblCellMar>
                  <w:top w:w="0" w:type="dxa"/>
                  <w:left w:w="108" w:type="dxa"/>
                  <w:bottom w:w="0" w:type="dxa"/>
                  <w:right w:w="108" w:type="dxa"/>
                </w:tblCellMar>
              </w:tblPrEx>
              <w:trPr>
                <w:trHeight w:val="270" w:hRule="atLeast"/>
              </w:trPr>
              <w:tc>
                <w:tcPr>
                  <w:tcW w:w="1080" w:type="dxa"/>
                  <w:tcBorders>
                    <w:top w:val="nil"/>
                    <w:left w:val="single" w:color="auto" w:sz="4" w:space="0"/>
                    <w:bottom w:val="single" w:color="auto" w:sz="4" w:space="0"/>
                    <w:right w:val="single" w:color="auto" w:sz="4" w:space="0"/>
                  </w:tcBorders>
                  <w:shd w:val="clear" w:color="auto" w:fill="auto"/>
                  <w:noWrap/>
                  <w:vAlign w:val="center"/>
                </w:tcPr>
                <w:p w14:paraId="5CC463E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sz w:val="21"/>
                      <w:szCs w:val="21"/>
                    </w:rPr>
                  </w:pPr>
                  <w:r>
                    <w:rPr>
                      <w:rFonts w:hint="default" w:ascii="Times New Roman" w:hAnsi="Times New Roman" w:cs="Times New Roman" w:eastAsiaTheme="minorEastAsia"/>
                      <w:sz w:val="21"/>
                      <w:szCs w:val="21"/>
                    </w:rPr>
                    <w:t>21</w:t>
                  </w:r>
                </w:p>
              </w:tc>
              <w:tc>
                <w:tcPr>
                  <w:tcW w:w="1536" w:type="dxa"/>
                  <w:tcBorders>
                    <w:top w:val="nil"/>
                    <w:left w:val="nil"/>
                    <w:bottom w:val="single" w:color="auto" w:sz="4" w:space="0"/>
                    <w:right w:val="single" w:color="auto" w:sz="4" w:space="0"/>
                  </w:tcBorders>
                  <w:shd w:val="clear" w:color="auto" w:fill="auto"/>
                  <w:noWrap/>
                  <w:vAlign w:val="center"/>
                </w:tcPr>
                <w:p w14:paraId="4BEFBEC4">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2832886.982 </w:t>
                  </w:r>
                </w:p>
              </w:tc>
              <w:tc>
                <w:tcPr>
                  <w:tcW w:w="1870" w:type="dxa"/>
                  <w:tcBorders>
                    <w:top w:val="nil"/>
                    <w:left w:val="nil"/>
                    <w:bottom w:val="single" w:color="auto" w:sz="4" w:space="0"/>
                    <w:right w:val="single" w:color="auto" w:sz="4" w:space="0"/>
                  </w:tcBorders>
                  <w:shd w:val="clear" w:color="auto" w:fill="auto"/>
                  <w:noWrap/>
                  <w:vAlign w:val="center"/>
                </w:tcPr>
                <w:p w14:paraId="6B387D90">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580809.1969 </w:t>
                  </w:r>
                </w:p>
              </w:tc>
              <w:tc>
                <w:tcPr>
                  <w:tcW w:w="980" w:type="dxa"/>
                  <w:tcBorders>
                    <w:top w:val="nil"/>
                    <w:left w:val="nil"/>
                    <w:bottom w:val="single" w:color="auto" w:sz="4" w:space="0"/>
                    <w:right w:val="single" w:color="auto" w:sz="4" w:space="0"/>
                  </w:tcBorders>
                  <w:shd w:val="clear" w:color="auto" w:fill="auto"/>
                  <w:noWrap/>
                  <w:vAlign w:val="center"/>
                </w:tcPr>
                <w:p w14:paraId="6F2C7947">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42</w:t>
                  </w:r>
                </w:p>
              </w:tc>
              <w:tc>
                <w:tcPr>
                  <w:tcW w:w="1900" w:type="dxa"/>
                  <w:tcBorders>
                    <w:top w:val="nil"/>
                    <w:left w:val="nil"/>
                    <w:bottom w:val="single" w:color="auto" w:sz="4" w:space="0"/>
                    <w:right w:val="single" w:color="auto" w:sz="4" w:space="0"/>
                  </w:tcBorders>
                  <w:shd w:val="clear" w:color="auto" w:fill="auto"/>
                  <w:noWrap/>
                  <w:vAlign w:val="center"/>
                </w:tcPr>
                <w:p w14:paraId="37610D05">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2832953.665 </w:t>
                  </w:r>
                </w:p>
              </w:tc>
              <w:tc>
                <w:tcPr>
                  <w:tcW w:w="1900" w:type="dxa"/>
                  <w:tcBorders>
                    <w:top w:val="nil"/>
                    <w:left w:val="nil"/>
                    <w:bottom w:val="single" w:color="auto" w:sz="4" w:space="0"/>
                    <w:right w:val="single" w:color="auto" w:sz="4" w:space="0"/>
                  </w:tcBorders>
                  <w:shd w:val="clear" w:color="auto" w:fill="auto"/>
                  <w:noWrap/>
                  <w:vAlign w:val="center"/>
                </w:tcPr>
                <w:p w14:paraId="4EB1CC8B">
                  <w:pPr>
                    <w:keepNext w:val="0"/>
                    <w:keepLines w:val="0"/>
                    <w:pageBreakBefore w:val="0"/>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sz w:val="21"/>
                      <w:szCs w:val="21"/>
                    </w:rPr>
                  </w:pPr>
                  <w:r>
                    <w:rPr>
                      <w:rFonts w:hint="eastAsia"/>
                      <w:sz w:val="21"/>
                      <w:szCs w:val="21"/>
                    </w:rPr>
                    <w:t xml:space="preserve">580621.7364 </w:t>
                  </w:r>
                </w:p>
              </w:tc>
            </w:tr>
            <w:tr w14:paraId="405B45B9">
              <w:tblPrEx>
                <w:tblCellMar>
                  <w:top w:w="0" w:type="dxa"/>
                  <w:left w:w="108" w:type="dxa"/>
                  <w:bottom w:w="0" w:type="dxa"/>
                  <w:right w:w="108" w:type="dxa"/>
                </w:tblCellMar>
              </w:tblPrEx>
              <w:trPr>
                <w:trHeight w:val="285" w:hRule="atLeast"/>
              </w:trPr>
              <w:tc>
                <w:tcPr>
                  <w:tcW w:w="9266" w:type="dxa"/>
                  <w:gridSpan w:val="6"/>
                  <w:tcBorders>
                    <w:top w:val="single" w:color="auto" w:sz="4" w:space="0"/>
                    <w:left w:val="single" w:color="auto" w:sz="4" w:space="0"/>
                    <w:bottom w:val="single" w:color="auto" w:sz="4" w:space="0"/>
                    <w:right w:val="single" w:color="auto" w:sz="4" w:space="0"/>
                  </w:tcBorders>
                  <w:shd w:val="clear" w:color="auto" w:fill="auto"/>
                  <w:noWrap/>
                  <w:vAlign w:val="center"/>
                </w:tcPr>
                <w:p w14:paraId="433D07F6">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ascii="宋体" w:hAnsi="宋体" w:cs="宋体"/>
                      <w:kern w:val="0"/>
                      <w:sz w:val="21"/>
                      <w:szCs w:val="21"/>
                    </w:rPr>
                  </w:pPr>
                  <w:r>
                    <w:rPr>
                      <w:rFonts w:ascii="宋体" w:hAnsi="宋体"/>
                      <w:sz w:val="21"/>
                      <w:szCs w:val="21"/>
                    </w:rPr>
                    <w:t>修复面积：</w:t>
                  </w:r>
                  <w:r>
                    <w:rPr>
                      <w:rFonts w:hint="eastAsia" w:ascii="宋体" w:hAnsi="宋体"/>
                      <w:sz w:val="21"/>
                      <w:szCs w:val="21"/>
                    </w:rPr>
                    <w:t>6.1482h</w:t>
                  </w:r>
                  <w:r>
                    <w:rPr>
                      <w:rFonts w:ascii="宋体" w:hAnsi="宋体"/>
                      <w:sz w:val="21"/>
                      <w:szCs w:val="21"/>
                    </w:rPr>
                    <w:t>m</w:t>
                  </w:r>
                  <w:r>
                    <w:rPr>
                      <w:rFonts w:ascii="宋体" w:hAnsi="宋体"/>
                      <w:sz w:val="21"/>
                      <w:szCs w:val="21"/>
                      <w:vertAlign w:val="superscript"/>
                    </w:rPr>
                    <w:t>2</w:t>
                  </w:r>
                </w:p>
              </w:tc>
            </w:tr>
          </w:tbl>
          <w:p w14:paraId="034D3425">
            <w:pPr>
              <w:ind w:firstLine="480"/>
              <w:rPr>
                <w:rFonts w:hint="default" w:ascii="Times New Roman" w:hAnsi="Times New Roman" w:eastAsia="宋体" w:cs="Times New Roman"/>
                <w:b/>
                <w:bCs/>
                <w:color w:val="000000" w:themeColor="text1"/>
                <w:lang w:val="en-US"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1</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地质灾害整治工作</w:t>
            </w:r>
          </w:p>
          <w:p w14:paraId="16C159A4">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边坡的工程地质条件、地形条件、场地条件以及边坡特征，项目区地质灾害弱发育，主要为潜在不稳定斜坡（BW1），其灾害的发育与矿山的开采息息相关，危害对象为采区附近过往人员及采区恢复治理工作人员及设备的安全，现状稳定性差，危害及危险性小～中等。</w:t>
            </w:r>
          </w:p>
          <w:p w14:paraId="21D0E7D0">
            <w:pPr>
              <w:pStyle w:val="93"/>
              <w:spacing w:before="0"/>
              <w:rPr>
                <w:rFonts w:hint="default" w:ascii="Times New Roman" w:hAnsi="Times New Roman" w:eastAsia="宋体" w:cs="Times New Roman"/>
                <w:color w:val="000000" w:themeColor="text1"/>
                <w:sz w:val="24"/>
                <w14:textFill>
                  <w14:solidFill>
                    <w14:schemeClr w14:val="tx1"/>
                  </w14:solidFill>
                </w14:textFill>
              </w:rPr>
            </w:pPr>
            <w:bookmarkStart w:id="13" w:name="_Hlk195455321"/>
            <w:r>
              <w:rPr>
                <w:rFonts w:hint="default" w:ascii="Times New Roman" w:hAnsi="Times New Roman" w:eastAsia="宋体" w:cs="Times New Roman"/>
                <w:color w:val="000000" w:themeColor="text1"/>
                <w:sz w:val="24"/>
                <w14:textFill>
                  <w14:solidFill>
                    <w14:schemeClr w14:val="tx1"/>
                  </w14:solidFill>
                </w14:textFill>
              </w:rPr>
              <w:t>本次生态修复治理采用危岩清理、边坡修整，消除边坡的局部隐患，改善边坡的坡面条件。同时矿坑采用改性磷石膏填料进行回填，回填至与周边地形平顺相接，实现生态修复治理工程完成后，矿坑边坡埋置于回填体内，边坡能够安全稳定，保证场地稳定安全。</w:t>
            </w:r>
            <w:bookmarkEnd w:id="13"/>
          </w:p>
          <w:p w14:paraId="3DF9079E">
            <w:pPr>
              <w:widowControl/>
              <w:adjustRightInd w:val="0"/>
              <w:spacing w:line="360" w:lineRule="auto"/>
              <w:ind w:firstLine="480" w:firstLineChars="20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kern w:val="0"/>
                <w:sz w:val="24"/>
                <w14:textFill>
                  <w14:solidFill>
                    <w14:schemeClr w14:val="tx1"/>
                  </w14:solidFill>
                </w14:textFill>
              </w:rPr>
              <w:t>寻甸县鸡街镇大旋塘北部采石场和大旋塘南部采石场</w:t>
            </w:r>
            <w:r>
              <w:rPr>
                <w:rFonts w:hint="default" w:ascii="Times New Roman" w:hAnsi="Times New Roman" w:eastAsia="宋体" w:cs="Times New Roman"/>
                <w:color w:val="000000" w:themeColor="text1"/>
                <w:spacing w:val="20"/>
                <w:kern w:val="0"/>
                <w:sz w:val="24"/>
                <w14:textFill>
                  <w14:solidFill>
                    <w14:schemeClr w14:val="tx1"/>
                  </w14:solidFill>
                </w14:textFill>
              </w:rPr>
              <w:t>现状各形成1</w:t>
            </w:r>
            <w:r>
              <w:rPr>
                <w:rFonts w:hint="default" w:ascii="Times New Roman" w:hAnsi="Times New Roman" w:eastAsia="宋体" w:cs="Times New Roman"/>
                <w:color w:val="000000" w:themeColor="text1"/>
                <w:kern w:val="0"/>
                <w:sz w:val="24"/>
                <w14:textFill>
                  <w14:solidFill>
                    <w14:schemeClr w14:val="tx1"/>
                  </w14:solidFill>
                </w14:textFill>
              </w:rPr>
              <w:t>个露天采场。</w:t>
            </w:r>
          </w:p>
          <w:p w14:paraId="305D97AD">
            <w:pPr>
              <w:pStyle w:val="93"/>
              <w:spacing w:before="0"/>
              <w:rPr>
                <w:rFonts w:hint="default" w:ascii="Times New Roman" w:hAnsi="Times New Roman" w:eastAsia="宋体" w:cs="Times New Roman"/>
                <w:color w:val="000000" w:themeColor="text1"/>
                <w:sz w:val="24"/>
                <w14:textFill>
                  <w14:solidFill>
                    <w14:schemeClr w14:val="tx1"/>
                  </w14:solidFill>
                </w14:textFill>
              </w:rPr>
            </w:pPr>
            <w:bookmarkStart w:id="14" w:name="_Hlk200467511"/>
            <w:r>
              <w:rPr>
                <w:rFonts w:hint="default" w:ascii="Times New Roman" w:hAnsi="Times New Roman" w:eastAsia="宋体" w:cs="Times New Roman"/>
                <w:color w:val="000000" w:themeColor="text1"/>
                <w:sz w:val="24"/>
                <w14:textFill>
                  <w14:solidFill>
                    <w14:schemeClr w14:val="tx1"/>
                  </w14:solidFill>
                </w14:textFill>
              </w:rPr>
              <w:t>为了消除采矿边坡安全隐患，满足后续场区底部防渗层铺设的场地要求，需对</w:t>
            </w:r>
            <w:r>
              <w:rPr>
                <w:rFonts w:hint="default" w:ascii="Times New Roman" w:hAnsi="Times New Roman" w:eastAsia="宋体" w:cs="Times New Roman"/>
                <w:color w:val="000000" w:themeColor="text1"/>
                <w:kern w:val="0"/>
                <w:sz w:val="24"/>
                <w14:textFill>
                  <w14:solidFill>
                    <w14:schemeClr w14:val="tx1"/>
                  </w14:solidFill>
                </w14:textFill>
              </w:rPr>
              <w:t>露天采场</w:t>
            </w:r>
            <w:r>
              <w:rPr>
                <w:rFonts w:hint="default" w:ascii="Times New Roman" w:hAnsi="Times New Roman" w:eastAsia="宋体" w:cs="Times New Roman"/>
                <w:color w:val="000000" w:themeColor="text1"/>
                <w:sz w:val="24"/>
                <w14:textFill>
                  <w14:solidFill>
                    <w14:schemeClr w14:val="tx1"/>
                  </w14:solidFill>
                </w14:textFill>
              </w:rPr>
              <w:t>场地边坡进行危岩清理、边坡修整，清理过程中须做好边坡监测工作，</w:t>
            </w:r>
            <w:r>
              <w:rPr>
                <w:rFonts w:hint="default" w:ascii="Times New Roman" w:hAnsi="Times New Roman" w:eastAsia="宋体" w:cs="Times New Roman"/>
                <w:bCs/>
                <w:color w:val="000000" w:themeColor="text1"/>
                <w:sz w:val="24"/>
                <w14:textFill>
                  <w14:solidFill>
                    <w14:schemeClr w14:val="tx1"/>
                  </w14:solidFill>
                </w14:textFill>
              </w:rPr>
              <w:t>采取合理、可行、有效的保护措施，</w:t>
            </w:r>
            <w:r>
              <w:rPr>
                <w:rFonts w:hint="default" w:ascii="Times New Roman" w:hAnsi="Times New Roman" w:eastAsia="宋体" w:cs="Times New Roman"/>
                <w:color w:val="000000" w:themeColor="text1"/>
                <w:sz w:val="24"/>
                <w14:textFill>
                  <w14:solidFill>
                    <w14:schemeClr w14:val="tx1"/>
                  </w14:solidFill>
                </w14:textFill>
              </w:rPr>
              <w:t>防止边坡滑塌对施工人员和机械造成危害。</w:t>
            </w:r>
          </w:p>
          <w:p w14:paraId="35F02DF1">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场地清理时清除耕植土后，</w:t>
            </w:r>
            <w:r>
              <w:rPr>
                <w:rFonts w:hint="default" w:ascii="Times New Roman" w:hAnsi="Times New Roman" w:eastAsia="宋体" w:cs="Times New Roman"/>
                <w:color w:val="000000" w:themeColor="text1"/>
                <w:kern w:val="0"/>
                <w:sz w:val="24"/>
                <w14:textFill>
                  <w14:solidFill>
                    <w14:schemeClr w14:val="tx1"/>
                  </w14:solidFill>
                </w14:textFill>
              </w:rPr>
              <w:t>大旋塘北部采石场露天采场采用清理的土石料填筑1#拦挡坝，大旋塘南部采石场露天采场</w:t>
            </w:r>
            <w:r>
              <w:rPr>
                <w:rFonts w:hint="default" w:ascii="Times New Roman" w:hAnsi="Times New Roman" w:eastAsia="宋体" w:cs="Times New Roman"/>
                <w:bCs/>
                <w:color w:val="000000" w:themeColor="text1"/>
                <w:sz w:val="24"/>
                <w14:textFill>
                  <w14:solidFill>
                    <w14:schemeClr w14:val="tx1"/>
                  </w14:solidFill>
                </w14:textFill>
              </w:rPr>
              <w:t>用场地清理的土石料碾压填筑2#拦挡坝，场地清理整平后边坡能够稳定满足防渗层铺设，且整平后方便后期底部防渗层锚固沟的修建，大旋塘北部采石场露天采场场地清理整平预估可产生约65614m</w:t>
            </w:r>
            <w:r>
              <w:rPr>
                <w:rFonts w:hint="default" w:ascii="Times New Roman" w:hAnsi="Times New Roman" w:eastAsia="宋体" w:cs="Times New Roman"/>
                <w:bCs/>
                <w:color w:val="000000" w:themeColor="text1"/>
                <w:sz w:val="24"/>
                <w:vertAlign w:val="superscript"/>
                <w14:textFill>
                  <w14:solidFill>
                    <w14:schemeClr w14:val="tx1"/>
                  </w14:solidFill>
                </w14:textFill>
              </w:rPr>
              <w:t>3</w:t>
            </w:r>
            <w:r>
              <w:rPr>
                <w:rFonts w:hint="default" w:ascii="Times New Roman" w:hAnsi="Times New Roman" w:eastAsia="宋体" w:cs="Times New Roman"/>
                <w:bCs/>
                <w:color w:val="000000" w:themeColor="text1"/>
                <w:sz w:val="24"/>
                <w14:textFill>
                  <w14:solidFill>
                    <w14:schemeClr w14:val="tx1"/>
                  </w14:solidFill>
                </w14:textFill>
              </w:rPr>
              <w:t>土石方，土石比例约7:3；场地危岩清理主要是针对边坡浮石进行清理，面积约28466㎡，预估可产生约14233m</w:t>
            </w:r>
            <w:r>
              <w:rPr>
                <w:rFonts w:hint="default" w:ascii="Times New Roman" w:hAnsi="Times New Roman" w:eastAsia="宋体" w:cs="Times New Roman"/>
                <w:bCs/>
                <w:color w:val="000000" w:themeColor="text1"/>
                <w:sz w:val="24"/>
                <w:vertAlign w:val="superscript"/>
                <w14:textFill>
                  <w14:solidFill>
                    <w14:schemeClr w14:val="tx1"/>
                  </w14:solidFill>
                </w14:textFill>
              </w:rPr>
              <w:t>3</w:t>
            </w:r>
            <w:r>
              <w:rPr>
                <w:rFonts w:hint="default" w:ascii="Times New Roman" w:hAnsi="Times New Roman" w:eastAsia="宋体" w:cs="Times New Roman"/>
                <w:bCs/>
                <w:color w:val="000000" w:themeColor="text1"/>
                <w:sz w:val="24"/>
                <w14:textFill>
                  <w14:solidFill>
                    <w14:schemeClr w14:val="tx1"/>
                  </w14:solidFill>
                </w14:textFill>
              </w:rPr>
              <w:t>石方。大旋塘南部采石场露天采场场地清理整平预估可产生约61482m</w:t>
            </w:r>
            <w:r>
              <w:rPr>
                <w:rFonts w:hint="default" w:ascii="Times New Roman" w:hAnsi="Times New Roman" w:eastAsia="宋体" w:cs="Times New Roman"/>
                <w:bCs/>
                <w:color w:val="000000" w:themeColor="text1"/>
                <w:sz w:val="24"/>
                <w:vertAlign w:val="superscript"/>
                <w14:textFill>
                  <w14:solidFill>
                    <w14:schemeClr w14:val="tx1"/>
                  </w14:solidFill>
                </w14:textFill>
              </w:rPr>
              <w:t>3</w:t>
            </w:r>
            <w:r>
              <w:rPr>
                <w:rFonts w:hint="default" w:ascii="Times New Roman" w:hAnsi="Times New Roman" w:eastAsia="宋体" w:cs="Times New Roman"/>
                <w:bCs/>
                <w:color w:val="000000" w:themeColor="text1"/>
                <w:sz w:val="24"/>
                <w14:textFill>
                  <w14:solidFill>
                    <w14:schemeClr w14:val="tx1"/>
                  </w14:solidFill>
                </w14:textFill>
              </w:rPr>
              <w:t>土石方，土石比例约7:3；场地危岩清理主要是针对边坡浮石进行清理，面积约13510㎡，预估可产生约6755m</w:t>
            </w:r>
            <w:r>
              <w:rPr>
                <w:rFonts w:hint="default" w:ascii="Times New Roman" w:hAnsi="Times New Roman" w:eastAsia="宋体" w:cs="Times New Roman"/>
                <w:bCs/>
                <w:color w:val="000000" w:themeColor="text1"/>
                <w:sz w:val="24"/>
                <w:vertAlign w:val="superscript"/>
                <w14:textFill>
                  <w14:solidFill>
                    <w14:schemeClr w14:val="tx1"/>
                  </w14:solidFill>
                </w14:textFill>
              </w:rPr>
              <w:t>3</w:t>
            </w:r>
            <w:r>
              <w:rPr>
                <w:rFonts w:hint="default" w:ascii="Times New Roman" w:hAnsi="Times New Roman" w:eastAsia="宋体" w:cs="Times New Roman"/>
                <w:bCs/>
                <w:color w:val="000000" w:themeColor="text1"/>
                <w:sz w:val="24"/>
                <w14:textFill>
                  <w14:solidFill>
                    <w14:schemeClr w14:val="tx1"/>
                  </w14:solidFill>
                </w14:textFill>
              </w:rPr>
              <w:t>石方。</w:t>
            </w:r>
          </w:p>
          <w:p w14:paraId="550736FB">
            <w:pPr>
              <w:pStyle w:val="93"/>
              <w:spacing w:before="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bCs/>
                <w:color w:val="000000" w:themeColor="text1"/>
                <w:sz w:val="24"/>
                <w14:textFill>
                  <w14:solidFill>
                    <w14:schemeClr w14:val="tx1"/>
                  </w14:solidFill>
                </w14:textFill>
              </w:rPr>
              <w:t>场地清理产生的土石料用于碾压填筑1#拦挡坝和2#拦挡坝，1#拦挡坝和2#拦挡坝分层碾压筑坝，其他土石料用于场地底部整平成不缓于2%的顺坡，场地底坡整平后需进行压实。本工程产生的土石方均用于本工程生态修复使用，不产生外运土石方。</w:t>
            </w:r>
            <w:bookmarkEnd w:id="14"/>
          </w:p>
          <w:p w14:paraId="6A9242D2">
            <w:pPr>
              <w:ind w:firstLine="480"/>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2</w:t>
            </w: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sz w:val="24"/>
                <w:szCs w:val="24"/>
                <w14:textFill>
                  <w14:solidFill>
                    <w14:schemeClr w14:val="tx1"/>
                  </w14:solidFill>
                </w14:textFill>
              </w:rPr>
              <w:t>大旋塘北部采石场露天采场回填修复工程</w:t>
            </w:r>
          </w:p>
          <w:p w14:paraId="3E68FD77">
            <w:pPr>
              <w:pStyle w:val="90"/>
              <w:spacing w:after="120" w:line="360" w:lineRule="auto"/>
              <w:ind w:firstLine="520"/>
              <w:rPr>
                <w:rFonts w:hint="default" w:ascii="Times New Roman" w:hAnsi="Times New Roman" w:eastAsia="宋体" w:cs="Times New Roman"/>
                <w:bCs/>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回填修复工程主要工程措施按施工顺序分为：场地底部整平及边坡清理、地下水导排收集系统、1#拦挡坝填筑、回填区底部全防渗、渗滤液导排收集系统、改性磷石膏填料分层碾压回填、回填区顶部全防渗、截排水工程、监测措施、警示措施、防护工程等。</w:t>
            </w:r>
          </w:p>
          <w:p w14:paraId="6F490A33">
            <w:pPr>
              <w:pStyle w:val="90"/>
              <w:spacing w:after="120" w:line="360" w:lineRule="auto"/>
              <w:ind w:firstLine="522"/>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1、回填区底部整平及边坡清理</w:t>
            </w:r>
          </w:p>
          <w:p w14:paraId="2CCA0BC0">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大旋塘北部采石场露天采场采矿边坡清理修整完成后，为了满足回填区底部全防渗材料的铺设要求，对场地底部进行整平，整平完成后底部形成不缓于2%的顺坡，坡向拦挡坝下游坡脚处的渗滤液收集池，以满足地下水及渗滤液导排收集，场地底部整平面积23800㎡。</w:t>
            </w:r>
          </w:p>
          <w:p w14:paraId="4834D060">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由于开采边坡为岩质边坡，为了防止对防渗材料的破坏，需要对场地边坡区域进行清理，主要以清理浮石和尖锐突出物为主，清理完成采用简单设备进行整平，场地边坡清理面积11860㎡。</w:t>
            </w:r>
          </w:p>
          <w:p w14:paraId="16B51ADA">
            <w:pPr>
              <w:pStyle w:val="28"/>
              <w:spacing w:after="0" w:line="360" w:lineRule="auto"/>
              <w:ind w:left="0" w:leftChars="0" w:firstLine="482"/>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2、地下水导排收集系统</w:t>
            </w:r>
          </w:p>
          <w:p w14:paraId="03E1E214">
            <w:pPr>
              <w:pStyle w:val="28"/>
              <w:spacing w:after="0" w:line="360" w:lineRule="auto"/>
              <w:ind w:left="0" w:leftChars="0" w:firstLine="480"/>
              <w:rPr>
                <w:rFonts w:hint="default" w:ascii="Times New Roman" w:hAnsi="Times New Roman" w:eastAsia="宋体" w:cs="Times New Roman"/>
                <w:color w:val="000000" w:themeColor="text1"/>
                <w:sz w:val="24"/>
                <w14:textFill>
                  <w14:solidFill>
                    <w14:schemeClr w14:val="tx1"/>
                  </w14:solidFill>
                </w14:textFill>
              </w:rPr>
            </w:pPr>
            <w:bookmarkStart w:id="15" w:name="_Hlk195476108"/>
            <w:r>
              <w:rPr>
                <w:rFonts w:hint="default" w:ascii="Times New Roman" w:hAnsi="Times New Roman" w:eastAsia="宋体" w:cs="Times New Roman"/>
                <w:color w:val="000000" w:themeColor="text1"/>
                <w:sz w:val="24"/>
                <w14:textFill>
                  <w14:solidFill>
                    <w14:schemeClr w14:val="tx1"/>
                  </w14:solidFill>
                </w14:textFill>
              </w:rPr>
              <w:t>大旋塘北部采石场露天采场场地内地下水埋深较深，但在雨季时场地外雨水下渗有可能进入回填区底部，上层滞水形成地下水，为了防止地下水对防渗膜的顶托破坏，须将回填区地下水及时导出，使下渗的地下水不影响防渗结构层的有效性，故设计在修复区防渗层下设置地下水导排盲沟，导排雨季时雨水下渗形成的地下水。地下水导排盲沟在回填区底部整平后，开挖顶宽1500mm，高度500mm，底宽500mm的沟槽，采用土工布包裹碎石充填，碎石内埋设DN200塑料盲沟管。</w:t>
            </w:r>
            <w:r>
              <w:rPr>
                <w:rFonts w:hint="default" w:ascii="Times New Roman" w:hAnsi="Times New Roman" w:eastAsia="宋体" w:cs="Times New Roman"/>
                <w:color w:val="000000" w:themeColor="text1"/>
                <w:kern w:val="0"/>
                <w:sz w:val="24"/>
                <w14:textFill>
                  <w14:solidFill>
                    <w14:schemeClr w14:val="tx1"/>
                  </w14:solidFill>
                </w14:textFill>
              </w:rPr>
              <w:t>塑料盲沟</w:t>
            </w:r>
            <w:r>
              <w:rPr>
                <w:rFonts w:hint="default" w:ascii="Times New Roman" w:hAnsi="Times New Roman" w:eastAsia="宋体" w:cs="Times New Roman"/>
                <w:color w:val="000000" w:themeColor="text1"/>
                <w:sz w:val="24"/>
                <w14:textFill>
                  <w14:solidFill>
                    <w14:schemeClr w14:val="tx1"/>
                  </w14:solidFill>
                </w14:textFill>
              </w:rPr>
              <w:t>管接至拦挡坝下游地下水收集池，尺寸按长×宽×高=2.0×2.0×2.5m设置，采用钢筋混凝土浇筑，池顶标高2092.00m，地下水导排管出口标高2091.0m。池顶设置1.2m高防护栏杆和安全警示标志牌。</w:t>
            </w:r>
          </w:p>
          <w:p w14:paraId="1502E3BB">
            <w:pPr>
              <w:pStyle w:val="28"/>
              <w:spacing w:after="0" w:line="360" w:lineRule="auto"/>
              <w:ind w:left="0" w:leftChars="0"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地下水收集池内的水主要用于修复区管护期浇灌使用。</w:t>
            </w:r>
          </w:p>
          <w:bookmarkEnd w:id="15"/>
          <w:p w14:paraId="2C35315D">
            <w:pPr>
              <w:pStyle w:val="90"/>
              <w:spacing w:after="120" w:line="360" w:lineRule="auto"/>
              <w:ind w:firstLine="522"/>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3、拦挡设施</w:t>
            </w:r>
          </w:p>
          <w:p w14:paraId="7DF8BF6E">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为保证地貌回填体的安全，在场地南侧采坑出口处填筑1#拦挡坝，并在东西两侧地形平缓位置设置1#和2#副坝。拦挡坝坝型结合现场实际情况，遵循就地取材的原则，设计为碾压土石坝，选用场地内清理开挖过程中形成的土石料进行筑坝，做到施工方便、节省投资。1#和2#副坝利用场地内清理的废石料采用C25埋石混凝土浇筑。</w:t>
            </w:r>
          </w:p>
          <w:p w14:paraId="1D55B9A5">
            <w:pPr>
              <w:pStyle w:val="93"/>
              <w:spacing w:before="0"/>
              <w:ind w:firstLine="482"/>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（1）1#拦挡坝</w:t>
            </w:r>
          </w:p>
          <w:p w14:paraId="1E014B2E">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1）坝体构造</w:t>
            </w:r>
          </w:p>
          <w:p w14:paraId="4BEBFDD9">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拦挡坝坝底高程2090m，坝顶高程2097m，坝顶宽4m，坝顶长153.5m，坝高7m。</w:t>
            </w:r>
          </w:p>
          <w:p w14:paraId="501C77F7">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拦挡坝上游坝坡坡比1:2.0，拦挡坝上游坝坡坡面设防渗层与场内底部防渗层连接；拦挡坝下游坝坡坡比1:2.0。</w:t>
            </w:r>
          </w:p>
          <w:p w14:paraId="6343618A">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2）坝基</w:t>
            </w:r>
          </w:p>
          <w:p w14:paraId="29809DC7">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拦挡坝坝基位置主要为原开采过程中形成的场地，首先对拦挡坝坝基位置进行清理，以砾质粘性土为坝基进行填筑。</w:t>
            </w:r>
          </w:p>
          <w:p w14:paraId="4B40E4C4">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3）坝体质量控制</w:t>
            </w:r>
          </w:p>
          <w:p w14:paraId="2534A030">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拦挡坝筑坝时，筑坝材料须逐层填筑，并且要严格遵循分层碾压法施工，分层厚度不得超过0.8m，并按碾压试验的数据执行，要求经检验确认放坡，压实度达到0.94，压实干密度须达到γ</w:t>
            </w:r>
            <w:r>
              <w:rPr>
                <w:rFonts w:hint="default" w:ascii="Times New Roman" w:hAnsi="Times New Roman" w:eastAsia="宋体" w:cs="Times New Roman"/>
                <w:color w:val="000000" w:themeColor="text1"/>
                <w:sz w:val="24"/>
                <w:vertAlign w:val="subscript"/>
                <w14:textFill>
                  <w14:solidFill>
                    <w14:schemeClr w14:val="tx1"/>
                  </w14:solidFill>
                </w14:textFill>
              </w:rPr>
              <w:t>g</w:t>
            </w:r>
            <w:r>
              <w:rPr>
                <w:rFonts w:hint="default" w:ascii="Times New Roman" w:hAnsi="Times New Roman" w:eastAsia="宋体" w:cs="Times New Roman"/>
                <w:color w:val="000000" w:themeColor="text1"/>
                <w:sz w:val="24"/>
                <w14:textFill>
                  <w14:solidFill>
                    <w14:schemeClr w14:val="tx1"/>
                  </w14:solidFill>
                </w14:textFill>
              </w:rPr>
              <w:t>=2.0t/m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以上，方可施工上一层，直至坝顶。</w:t>
            </w:r>
          </w:p>
          <w:p w14:paraId="66D92A7C">
            <w:pPr>
              <w:pStyle w:val="93"/>
              <w:spacing w:before="0"/>
              <w:ind w:firstLine="482"/>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（2）1#和2#副坝</w:t>
            </w:r>
          </w:p>
          <w:p w14:paraId="0E1AAC38">
            <w:pPr>
              <w:pStyle w:val="93"/>
              <w:spacing w:before="0"/>
              <w:rPr>
                <w:rFonts w:hint="default" w:ascii="Times New Roman" w:hAnsi="Times New Roman" w:eastAsia="宋体" w:cs="Times New Roman"/>
                <w:color w:val="000000" w:themeColor="text1"/>
                <w:sz w:val="24"/>
                <w14:textFill>
                  <w14:solidFill>
                    <w14:schemeClr w14:val="tx1"/>
                  </w14:solidFill>
                </w14:textFill>
              </w:rPr>
            </w:pPr>
            <w:bookmarkStart w:id="16" w:name="_Toc12023"/>
            <w:bookmarkStart w:id="17" w:name="_Toc36020614"/>
            <w:bookmarkStart w:id="18" w:name="_Toc16301"/>
            <w:bookmarkStart w:id="19" w:name="_Toc3773"/>
            <w:r>
              <w:rPr>
                <w:rFonts w:hint="default" w:ascii="Times New Roman" w:hAnsi="Times New Roman" w:eastAsia="宋体" w:cs="Times New Roman"/>
                <w:color w:val="000000" w:themeColor="text1"/>
                <w:sz w:val="24"/>
                <w14:textFill>
                  <w14:solidFill>
                    <w14:schemeClr w14:val="tx1"/>
                  </w14:solidFill>
                </w14:textFill>
              </w:rPr>
              <w:t>1）坝体构造</w:t>
            </w:r>
            <w:bookmarkEnd w:id="16"/>
            <w:bookmarkEnd w:id="17"/>
            <w:bookmarkEnd w:id="18"/>
            <w:bookmarkEnd w:id="19"/>
          </w:p>
          <w:p w14:paraId="730F6A69">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bookmarkStart w:id="20" w:name="_Hlk195475037"/>
            <w:r>
              <w:rPr>
                <w:rFonts w:hint="default" w:ascii="Times New Roman" w:hAnsi="Times New Roman" w:eastAsia="宋体" w:cs="Times New Roman"/>
                <w:color w:val="000000" w:themeColor="text1"/>
                <w:sz w:val="24"/>
                <w14:textFill>
                  <w14:solidFill>
                    <w14:schemeClr w14:val="tx1"/>
                  </w14:solidFill>
                </w14:textFill>
              </w:rPr>
              <w:t>1#副坝坝基高程2096~2099m，坝顶高程2098~2103m，坝顶宽2m，坝顶长50.7m，坝高2.0~4.0m。2#副坝坝基高程2099m，坝顶高程2102~2107m，坝顶宽2m，坝顶长61m，坝高3.0~8.0m。</w:t>
            </w:r>
          </w:p>
          <w:p w14:paraId="57E3320E">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副坝上游坡比1:0.3，上游坡面设防渗层与场内底部防渗层连接；拦挡坝下游坡比1:</w:t>
            </w:r>
            <w:bookmarkEnd w:id="20"/>
            <w:r>
              <w:rPr>
                <w:rFonts w:hint="default" w:ascii="Times New Roman" w:hAnsi="Times New Roman" w:eastAsia="宋体" w:cs="Times New Roman"/>
                <w:color w:val="000000" w:themeColor="text1"/>
                <w:sz w:val="24"/>
                <w14:textFill>
                  <w14:solidFill>
                    <w14:schemeClr w14:val="tx1"/>
                  </w14:solidFill>
                </w14:textFill>
              </w:rPr>
              <w:t>0.5。</w:t>
            </w:r>
          </w:p>
          <w:p w14:paraId="2DB1EDEF">
            <w:pPr>
              <w:pStyle w:val="93"/>
              <w:spacing w:before="0"/>
              <w:rPr>
                <w:rFonts w:hint="default" w:ascii="Times New Roman" w:hAnsi="Times New Roman" w:eastAsia="宋体" w:cs="Times New Roman"/>
                <w:color w:val="000000" w:themeColor="text1"/>
                <w:sz w:val="24"/>
                <w14:textFill>
                  <w14:solidFill>
                    <w14:schemeClr w14:val="tx1"/>
                  </w14:solidFill>
                </w14:textFill>
              </w:rPr>
            </w:pPr>
            <w:bookmarkStart w:id="21" w:name="_Toc6801"/>
            <w:bookmarkStart w:id="22" w:name="_Toc36020615"/>
            <w:bookmarkStart w:id="23" w:name="_Toc28347"/>
            <w:bookmarkStart w:id="24" w:name="_Toc26667"/>
            <w:r>
              <w:rPr>
                <w:rFonts w:hint="default" w:ascii="Times New Roman" w:hAnsi="Times New Roman" w:eastAsia="宋体" w:cs="Times New Roman"/>
                <w:color w:val="000000" w:themeColor="text1"/>
                <w:sz w:val="24"/>
                <w14:textFill>
                  <w14:solidFill>
                    <w14:schemeClr w14:val="tx1"/>
                  </w14:solidFill>
                </w14:textFill>
              </w:rPr>
              <w:t>2）坝基</w:t>
            </w:r>
            <w:bookmarkEnd w:id="21"/>
            <w:bookmarkEnd w:id="22"/>
            <w:bookmarkEnd w:id="23"/>
            <w:bookmarkEnd w:id="24"/>
          </w:p>
          <w:p w14:paraId="7F20A0E4">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bookmarkStart w:id="25" w:name="_Hlk195475069"/>
            <w:r>
              <w:rPr>
                <w:rFonts w:hint="default" w:ascii="Times New Roman" w:hAnsi="Times New Roman" w:eastAsia="宋体" w:cs="Times New Roman"/>
                <w:color w:val="000000" w:themeColor="text1"/>
                <w:sz w:val="24"/>
                <w14:textFill>
                  <w14:solidFill>
                    <w14:schemeClr w14:val="tx1"/>
                  </w14:solidFill>
                </w14:textFill>
              </w:rPr>
              <w:t>拦挡坝坝基位置主要为原开采过程中形成的场地，首先对拦挡坝坝基位置进行清理，以砾质粘性土为坝基进行填筑。</w:t>
            </w:r>
            <w:bookmarkEnd w:id="25"/>
          </w:p>
          <w:p w14:paraId="507F617A">
            <w:pPr>
              <w:pStyle w:val="93"/>
              <w:spacing w:before="0"/>
              <w:rPr>
                <w:rFonts w:hint="default" w:ascii="Times New Roman" w:hAnsi="Times New Roman" w:eastAsia="宋体" w:cs="Times New Roman"/>
                <w:color w:val="000000" w:themeColor="text1"/>
                <w:sz w:val="24"/>
                <w14:textFill>
                  <w14:solidFill>
                    <w14:schemeClr w14:val="tx1"/>
                  </w14:solidFill>
                </w14:textFill>
              </w:rPr>
            </w:pPr>
            <w:bookmarkStart w:id="26" w:name="_Toc6077"/>
            <w:bookmarkStart w:id="27" w:name="_Toc36020616"/>
            <w:bookmarkStart w:id="28" w:name="_Toc23436419"/>
            <w:bookmarkStart w:id="29" w:name="_Toc18587"/>
            <w:bookmarkStart w:id="30" w:name="_Toc23606"/>
            <w:bookmarkStart w:id="31" w:name="_Toc21821"/>
            <w:bookmarkStart w:id="32" w:name="_Toc15395"/>
            <w:bookmarkStart w:id="33" w:name="_Toc10734753"/>
            <w:r>
              <w:rPr>
                <w:rFonts w:hint="default" w:ascii="Times New Roman" w:hAnsi="Times New Roman" w:eastAsia="宋体" w:cs="Times New Roman"/>
                <w:color w:val="000000" w:themeColor="text1"/>
                <w:sz w:val="24"/>
                <w14:textFill>
                  <w14:solidFill>
                    <w14:schemeClr w14:val="tx1"/>
                  </w14:solidFill>
                </w14:textFill>
              </w:rPr>
              <w:t>3）坝体质量控制</w:t>
            </w:r>
            <w:bookmarkEnd w:id="26"/>
            <w:bookmarkEnd w:id="27"/>
            <w:bookmarkEnd w:id="28"/>
            <w:bookmarkEnd w:id="29"/>
            <w:bookmarkEnd w:id="30"/>
            <w:bookmarkEnd w:id="31"/>
            <w:bookmarkEnd w:id="32"/>
            <w:bookmarkEnd w:id="33"/>
          </w:p>
          <w:p w14:paraId="3F72376E">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bookmarkStart w:id="34" w:name="_Hlk195475099"/>
            <w:r>
              <w:rPr>
                <w:rFonts w:hint="default" w:ascii="Times New Roman" w:hAnsi="Times New Roman" w:eastAsia="宋体" w:cs="Times New Roman"/>
                <w:color w:val="000000" w:themeColor="text1"/>
                <w:sz w:val="24"/>
                <w14:textFill>
                  <w14:solidFill>
                    <w14:schemeClr w14:val="tx1"/>
                  </w14:solidFill>
                </w14:textFill>
              </w:rPr>
              <w:t>副坝浇筑时，毛石砼须逐层浇筑，并且要严格遵循分层浇筑施工，振捣密实，浇筑干密度须达到γ</w:t>
            </w:r>
            <w:r>
              <w:rPr>
                <w:rFonts w:hint="default" w:ascii="Times New Roman" w:hAnsi="Times New Roman" w:eastAsia="宋体" w:cs="Times New Roman"/>
                <w:color w:val="000000" w:themeColor="text1"/>
                <w:sz w:val="24"/>
                <w:vertAlign w:val="subscript"/>
                <w14:textFill>
                  <w14:solidFill>
                    <w14:schemeClr w14:val="tx1"/>
                  </w14:solidFill>
                </w14:textFill>
              </w:rPr>
              <w:t>g</w:t>
            </w:r>
            <w:r>
              <w:rPr>
                <w:rFonts w:hint="default" w:ascii="Times New Roman" w:hAnsi="Times New Roman" w:eastAsia="宋体" w:cs="Times New Roman"/>
                <w:color w:val="000000" w:themeColor="text1"/>
                <w:sz w:val="24"/>
                <w14:textFill>
                  <w14:solidFill>
                    <w14:schemeClr w14:val="tx1"/>
                  </w14:solidFill>
                </w14:textFill>
              </w:rPr>
              <w:t>=2.4t/m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以上，方可施工上一层，直至坝顶。</w:t>
            </w:r>
            <w:bookmarkEnd w:id="34"/>
          </w:p>
          <w:p w14:paraId="46B714CB">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4、回填区底部全防渗</w:t>
            </w:r>
          </w:p>
          <w:p w14:paraId="01F9CFAB">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bookmarkStart w:id="35" w:name="_Hlk195475151"/>
            <w:r>
              <w:rPr>
                <w:rFonts w:hint="default" w:ascii="Times New Roman" w:hAnsi="Times New Roman" w:eastAsia="宋体" w:cs="Times New Roman"/>
                <w:color w:val="000000" w:themeColor="text1"/>
                <w:sz w:val="24"/>
                <w14:textFill>
                  <w14:solidFill>
                    <w14:schemeClr w14:val="tx1"/>
                  </w14:solidFill>
                </w14:textFill>
              </w:rPr>
              <w:t>大旋塘北部采石场露天采场生态修复恢复地貌拟采用无害化处理后的改性磷石膏填料进行回填，</w:t>
            </w:r>
            <w:r>
              <w:rPr>
                <w:rFonts w:hint="default" w:ascii="Times New Roman" w:hAnsi="Times New Roman" w:eastAsia="宋体" w:cs="Times New Roman"/>
                <w:bCs/>
                <w:color w:val="000000" w:themeColor="text1"/>
                <w:sz w:val="24"/>
                <w14:textFill>
                  <w14:solidFill>
                    <w14:schemeClr w14:val="tx1"/>
                  </w14:solidFill>
                </w14:textFill>
              </w:rPr>
              <w:t>根据检测结果，改性磷石膏填料为I类一般工业固体废物，根据项目所在地环境以及回填料的成分考虑，项目参照《一般工业固体废物贮存和填埋污染控制标准》（GB18599-2020）中Ⅱ类填埋场的要求对回填区进行底部全防渗，以达到该项目的环境风险可控的目的。</w:t>
            </w:r>
          </w:p>
          <w:p w14:paraId="6CB22CAB">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修复回填区防渗采用柔性结构防渗系统，防渗材料选择具有化学兼容性、耐久性、耐热性、高强度、低渗透率、易维护、无二次污染、适应地基不均匀沉降、具有较好的抗微生物侵蚀和抗化学腐蚀性能的HDPE防渗膜。通过设置人工防渗系统将修复回填区底部原地层与生态修复回填材料完全隔离，</w:t>
            </w:r>
            <w:r>
              <w:rPr>
                <w:rFonts w:hint="default" w:ascii="Times New Roman" w:hAnsi="Times New Roman" w:eastAsia="宋体" w:cs="Times New Roman"/>
                <w:bCs/>
                <w:color w:val="000000" w:themeColor="text1"/>
                <w:sz w:val="24"/>
                <w14:textFill>
                  <w14:solidFill>
                    <w14:schemeClr w14:val="tx1"/>
                  </w14:solidFill>
                </w14:textFill>
              </w:rPr>
              <w:t>确保回填区域的渗滤液不下渗，严格控制渗滤液产生量，保护周边环境及地下水质。</w:t>
            </w:r>
          </w:p>
          <w:bookmarkEnd w:id="35"/>
          <w:p w14:paraId="1896EC4C">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1）底部防渗层结构</w:t>
            </w:r>
          </w:p>
          <w:p w14:paraId="7A3DEE6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修复回填区底部防渗层首先在整平后的场地铺设0.3m厚粘土作为土工膜支撑保护层，粘土采用市场购买方式获得，要求粘土干净、含沙量小、黏粘、粒径小于0.05mm的含量应超过25%、塑性指数大于15。经压实措施处理后的饱和渗透系数不应大于1.0×10</w:t>
            </w:r>
            <w:r>
              <w:rPr>
                <w:rFonts w:hint="default" w:ascii="Times New Roman" w:hAnsi="Times New Roman" w:eastAsia="宋体" w:cs="Times New Roman"/>
                <w:color w:val="000000" w:themeColor="text1"/>
                <w:sz w:val="24"/>
                <w:vertAlign w:val="superscript"/>
                <w14:textFill>
                  <w14:solidFill>
                    <w14:schemeClr w14:val="tx1"/>
                  </w14:solidFill>
                </w14:textFill>
              </w:rPr>
              <w:t>-7</w:t>
            </w:r>
            <w:r>
              <w:rPr>
                <w:rFonts w:hint="default" w:ascii="Times New Roman" w:hAnsi="Times New Roman" w:eastAsia="宋体" w:cs="Times New Roman"/>
                <w:color w:val="000000" w:themeColor="text1"/>
                <w:sz w:val="24"/>
                <w14:textFill>
                  <w14:solidFill>
                    <w14:schemeClr w14:val="tx1"/>
                  </w14:solidFill>
                </w14:textFill>
              </w:rPr>
              <w:t xml:space="preserve"> cm/s。黏土层铺设完成后铺设1.5mm厚单糙面HEPD土工防渗膜，并满足GB/T 17643和CJ/T234-2006规定的技术指标要求；最后在上部回填改性磷石膏填料。</w:t>
            </w:r>
          </w:p>
          <w:p w14:paraId="1CA19DCD">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底部防渗结构由下至上构成如下：</w:t>
            </w:r>
          </w:p>
          <w:p w14:paraId="1B824BF7">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（1）库底整平压实基础层（地下水导排盲沟在其中）</w:t>
            </w:r>
          </w:p>
          <w:p w14:paraId="3CCE73CB">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（2）0.3m厚粘土支撑保护层</w:t>
            </w:r>
          </w:p>
          <w:p w14:paraId="1908FE94">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（3）1.5mm厚单糙面HDPE土工膜</w:t>
            </w:r>
          </w:p>
          <w:p w14:paraId="7AD0AFCC">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（4）改性磷石膏填料回填</w:t>
            </w:r>
          </w:p>
          <w:p w14:paraId="472D53B8">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2）边坡防渗层结构</w:t>
            </w:r>
          </w:p>
          <w:p w14:paraId="3164CB9E">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由于场地边坡大部分陡峻，粘土层无法铺设，设计对边坡清理整平后，采用4800g/m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纳基膨润土毯作为防渗膜的保护层铺设在整平边坡上，再铺设HDPE土工防渗膜。</w:t>
            </w:r>
          </w:p>
          <w:p w14:paraId="2FD05FA6">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膨润土毯在岸坡较陡地段，需采用锚固钉、链固定，防止下滑。膨润土毯和土工防渗膜均在边坡顶部和分台台阶处设锚固沟进行锚固。</w:t>
            </w:r>
          </w:p>
          <w:p w14:paraId="436AA630">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边坡防渗层结构由下至上构成如下：</w:t>
            </w:r>
          </w:p>
          <w:p w14:paraId="38273754">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（1）边坡清理整平层</w:t>
            </w:r>
          </w:p>
          <w:p w14:paraId="0463B2C9">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（2）4800g/m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钠基膨润土毯</w:t>
            </w:r>
          </w:p>
          <w:p w14:paraId="31FF21ED">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（3）1.5mm厚单糙面HDPE土工膜</w:t>
            </w:r>
          </w:p>
          <w:p w14:paraId="22728666">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（4）改性磷石膏填料回填</w:t>
            </w:r>
          </w:p>
          <w:p w14:paraId="2F252E5A">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5、渗滤液导排收集系统</w:t>
            </w:r>
          </w:p>
          <w:p w14:paraId="48DF1FEE">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bookmarkStart w:id="36" w:name="_Hlk195476156"/>
            <w:r>
              <w:rPr>
                <w:rFonts w:hint="default" w:ascii="Times New Roman" w:hAnsi="Times New Roman" w:eastAsia="宋体" w:cs="Times New Roman"/>
                <w:color w:val="000000" w:themeColor="text1"/>
                <w:sz w:val="24"/>
                <w14:textFill>
                  <w14:solidFill>
                    <w14:schemeClr w14:val="tx1"/>
                  </w14:solidFill>
                </w14:textFill>
              </w:rPr>
              <w:t>为了将填料可能产生的渗滤液进行收集处理，底部防渗完成后，在防渗层上设置渗滤液收集导排盲沟，沟内铺设厚400mm的卵石，卵石采用200g/m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土工布包裹。导排盲沟内置dn200塑料盲沟管排渗，塑料盲沟管穿孔管外侧采用200g/m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土工布包裹，沿线排水控制坡度2%，导排管接至渗滤液收集池，</w:t>
            </w:r>
            <w:r>
              <w:rPr>
                <w:rFonts w:hint="default" w:ascii="Times New Roman" w:hAnsi="Times New Roman" w:eastAsia="宋体" w:cs="Times New Roman"/>
                <w:color w:val="000000" w:themeColor="text1"/>
                <w:sz w:val="21"/>
                <w:szCs w:val="21"/>
                <w:highlight w:val="none"/>
                <w14:textFill>
                  <w14:solidFill>
                    <w14:schemeClr w14:val="tx1"/>
                  </w14:solidFill>
                </w14:textFill>
              </w:rPr>
              <w:t>渗滤液收集</w:t>
            </w:r>
            <w:r>
              <w:rPr>
                <w:rFonts w:hint="eastAsia" w:cs="Times New Roman"/>
                <w:color w:val="000000" w:themeColor="text1"/>
                <w:sz w:val="21"/>
                <w:szCs w:val="21"/>
                <w:highlight w:val="none"/>
                <w:lang w:val="en-US" w:eastAsia="zh-CN"/>
                <w14:textFill>
                  <w14:solidFill>
                    <w14:schemeClr w14:val="tx1"/>
                  </w14:solidFill>
                </w14:textFill>
              </w:rPr>
              <w:t>后</w:t>
            </w:r>
            <w:r>
              <w:rPr>
                <w:rFonts w:hint="default" w:ascii="Times New Roman" w:hAnsi="Times New Roman" w:eastAsia="宋体" w:cs="Times New Roman"/>
                <w:color w:val="000000" w:themeColor="text1"/>
                <w:sz w:val="21"/>
                <w:szCs w:val="21"/>
                <w:highlight w:val="none"/>
                <w14:textFill>
                  <w14:solidFill>
                    <w14:schemeClr w14:val="tx1"/>
                  </w14:solidFill>
                </w14:textFill>
              </w:rPr>
              <w:t>回用</w:t>
            </w:r>
            <w:r>
              <w:rPr>
                <w:rFonts w:hint="eastAsia" w:cs="Times New Roman"/>
                <w:color w:val="000000" w:themeColor="text1"/>
                <w:sz w:val="21"/>
                <w:szCs w:val="21"/>
                <w:highlight w:val="none"/>
                <w:lang w:val="en-US" w:eastAsia="zh-CN"/>
                <w14:textFill>
                  <w14:solidFill>
                    <w14:schemeClr w14:val="tx1"/>
                  </w14:solidFill>
                </w14:textFill>
              </w:rPr>
              <w:t>于修复区洒水降尘</w:t>
            </w:r>
            <w:r>
              <w:rPr>
                <w:rFonts w:hint="default" w:ascii="Times New Roman" w:hAnsi="Times New Roman" w:eastAsia="宋体" w:cs="Times New Roman"/>
                <w:color w:val="000000" w:themeColor="text1"/>
                <w:sz w:val="24"/>
                <w14:textFill>
                  <w14:solidFill>
                    <w14:schemeClr w14:val="tx1"/>
                  </w14:solidFill>
                </w14:textFill>
              </w:rPr>
              <w:t>。在场地拦挡坝下游坡脚设渗滤液收集池，收集回填料渗滤液。</w:t>
            </w:r>
          </w:p>
          <w:p w14:paraId="79E73142">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试验，改性磷石膏填料入场含水率为18%，回填碾压压实度0.92时，含水率在15%，加压至1MPa时含水率达到12%，以后继续加压至5MPa时含水率为11.5%，由此判断，改性磷石膏填料在含水率12%时水分主要为结晶水，自由水较少，很难再渗出，故回填的改性磷石膏填料残留水量以含水率12％考虑。</w:t>
            </w:r>
          </w:p>
          <w:p w14:paraId="7A392445">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大旋塘北部采石场露天采场矿坑回填按8个月180天考虑，则矿坑回填工程中日产生渗滤液为118m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，矿坑回填完成后，按3年含水率降至12%，则日产生渗滤液为19.4m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p>
          <w:p w14:paraId="040E93A5">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渗滤液收集池在拦挡坝下游坡脚，采用钢</w:t>
            </w:r>
            <w:r>
              <w:rPr>
                <w:rFonts w:hint="default" w:ascii="Times New Roman" w:hAnsi="Times New Roman" w:eastAsia="宋体" w:cs="Times New Roman"/>
                <w:color w:val="000000" w:themeColor="text1"/>
                <w:sz w:val="24"/>
                <w:szCs w:val="24"/>
                <w14:textFill>
                  <w14:solidFill>
                    <w14:schemeClr w14:val="tx1"/>
                  </w14:solidFill>
                </w14:textFill>
              </w:rPr>
              <w:t>筋混凝土矩形水池结构，容积</w:t>
            </w:r>
            <w:r>
              <w:rPr>
                <w:rFonts w:hint="eastAsia" w:cs="Times New Roman"/>
                <w:color w:val="000000" w:themeColor="text1"/>
                <w:sz w:val="24"/>
                <w:szCs w:val="24"/>
                <w:lang w:val="en-US" w:eastAsia="zh-CN"/>
                <w14:textFill>
                  <w14:solidFill>
                    <w14:schemeClr w14:val="tx1"/>
                  </w14:solidFill>
                </w14:textFill>
              </w:rPr>
              <w:t>410</w:t>
            </w:r>
            <w:r>
              <w:rPr>
                <w:rFonts w:hint="default" w:ascii="Times New Roman" w:hAnsi="Times New Roman" w:eastAsia="宋体" w:cs="Times New Roman"/>
                <w:color w:val="000000" w:themeColor="text1"/>
                <w:sz w:val="24"/>
                <w:szCs w:val="24"/>
                <w14:textFill>
                  <w14:solidFill>
                    <w14:schemeClr w14:val="tx1"/>
                  </w14:solidFill>
                </w14:textFill>
              </w:rPr>
              <w:t>m</w:t>
            </w:r>
            <w:r>
              <w:rPr>
                <w:rFonts w:hint="default" w:ascii="Times New Roman" w:hAnsi="Times New Roman" w:eastAsia="宋体" w:cs="Times New Roman"/>
                <w:color w:val="000000" w:themeColor="text1"/>
                <w:sz w:val="24"/>
                <w:szCs w:val="24"/>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渗滤液收集</w:t>
            </w:r>
            <w:r>
              <w:rPr>
                <w:rFonts w:hint="eastAsia" w:cs="Times New Roman"/>
                <w:color w:val="000000" w:themeColor="text1"/>
                <w:sz w:val="24"/>
                <w:szCs w:val="24"/>
                <w:highlight w:val="none"/>
                <w:lang w:val="en-US" w:eastAsia="zh-CN"/>
                <w14:textFill>
                  <w14:solidFill>
                    <w14:schemeClr w14:val="tx1"/>
                  </w14:solidFill>
                </w14:textFill>
              </w:rPr>
              <w:t>后</w:t>
            </w:r>
            <w:r>
              <w:rPr>
                <w:rFonts w:hint="default" w:ascii="Times New Roman" w:hAnsi="Times New Roman" w:eastAsia="宋体" w:cs="Times New Roman"/>
                <w:color w:val="000000" w:themeColor="text1"/>
                <w:sz w:val="24"/>
                <w:szCs w:val="24"/>
                <w:highlight w:val="none"/>
                <w14:textFill>
                  <w14:solidFill>
                    <w14:schemeClr w14:val="tx1"/>
                  </w14:solidFill>
                </w14:textFill>
              </w:rPr>
              <w:t>回用</w:t>
            </w:r>
            <w:r>
              <w:rPr>
                <w:rFonts w:hint="eastAsia" w:cs="Times New Roman"/>
                <w:color w:val="000000" w:themeColor="text1"/>
                <w:sz w:val="24"/>
                <w:szCs w:val="24"/>
                <w:highlight w:val="none"/>
                <w:lang w:val="en-US" w:eastAsia="zh-CN"/>
                <w14:textFill>
                  <w14:solidFill>
                    <w14:schemeClr w14:val="tx1"/>
                  </w14:solidFill>
                </w14:textFill>
              </w:rPr>
              <w:t>于修复区洒水降尘</w:t>
            </w:r>
            <w:r>
              <w:rPr>
                <w:rFonts w:hint="default" w:ascii="Times New Roman" w:hAnsi="Times New Roman" w:eastAsia="宋体" w:cs="Times New Roman"/>
                <w:color w:val="000000" w:themeColor="text1"/>
                <w:sz w:val="24"/>
                <w:szCs w:val="24"/>
                <w14:textFill>
                  <w14:solidFill>
                    <w14:schemeClr w14:val="tx1"/>
                  </w14:solidFill>
                </w14:textFill>
              </w:rPr>
              <w:t>。渗滤液池顶标高209</w:t>
            </w:r>
            <w:r>
              <w:rPr>
                <w:rFonts w:hint="default" w:ascii="Times New Roman" w:hAnsi="Times New Roman" w:eastAsia="宋体" w:cs="Times New Roman"/>
                <w:color w:val="000000" w:themeColor="text1"/>
                <w:sz w:val="24"/>
                <w14:textFill>
                  <w14:solidFill>
                    <w14:schemeClr w14:val="tx1"/>
                  </w14:solidFill>
                </w14:textFill>
              </w:rPr>
              <w:t>3.0m，渗滤液导排管出口标高2092.0m。</w:t>
            </w:r>
            <w:bookmarkEnd w:id="36"/>
          </w:p>
          <w:p w14:paraId="15D1D121">
            <w:pPr>
              <w:pStyle w:val="90"/>
              <w:spacing w:after="120" w:line="360" w:lineRule="auto"/>
              <w:ind w:firstLine="522"/>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6、露采区回填恢复地貌</w:t>
            </w:r>
          </w:p>
          <w:p w14:paraId="63728939">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1）露采区回填工艺及回填量</w:t>
            </w:r>
          </w:p>
          <w:p w14:paraId="190F2661">
            <w:pPr>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大旋塘北部采石场露天采场生态修复区设计采用改性磷石膏填料回填。矿坑堆填区从整平后的坑底2091m标高堆填至2147m标高，根据改性磷石膏填料特性、矿坑地形条件及雨水排水条件等因数，设计改性磷石膏填料回填堆排顺序为先填平至1#拦挡坝坝顶</w:t>
            </w:r>
            <w:bookmarkStart w:id="37" w:name="_Hlk195476269"/>
            <w:r>
              <w:rPr>
                <w:rFonts w:hint="default" w:ascii="Times New Roman" w:hAnsi="Times New Roman" w:eastAsia="宋体" w:cs="Times New Roman"/>
                <w:color w:val="000000" w:themeColor="text1"/>
                <w:sz w:val="24"/>
                <w14:textFill>
                  <w14:solidFill>
                    <w14:schemeClr w14:val="tx1"/>
                  </w14:solidFill>
                </w14:textFill>
              </w:rPr>
              <w:t>标高2097m，再由拦挡坝坝顶按1:3.0的坡比放坡堆填，堆填体总外坡比控制缓于1:3.5。拦挡坝高度7m，拦挡坝以上堆填高度50m,最终堆填标高2147m。堆填每5m高，留设3m宽马道。</w:t>
            </w:r>
            <w:bookmarkEnd w:id="37"/>
            <w:r>
              <w:rPr>
                <w:rFonts w:hint="default" w:ascii="Times New Roman" w:hAnsi="Times New Roman" w:eastAsia="宋体" w:cs="Times New Roman"/>
                <w:color w:val="000000" w:themeColor="text1"/>
                <w:sz w:val="24"/>
                <w14:textFill>
                  <w14:solidFill>
                    <w14:schemeClr w14:val="tx1"/>
                  </w14:solidFill>
                </w14:textFill>
              </w:rPr>
              <w:t>按场地地形初步测算回填量共计70.81万m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p>
          <w:p w14:paraId="0261828A">
            <w:pPr>
              <w:spacing w:line="360" w:lineRule="auto"/>
              <w:ind w:right="-1" w:firstLine="482" w:firstLineChars="200"/>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堆存区参数：</w:t>
            </w:r>
          </w:p>
          <w:p w14:paraId="5F131C90">
            <w:pPr>
              <w:spacing w:line="360" w:lineRule="auto"/>
              <w:ind w:right="-1"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堆填标高范围：2091-2147m；</w:t>
            </w:r>
          </w:p>
          <w:p w14:paraId="5AFCB459">
            <w:pPr>
              <w:spacing w:line="360" w:lineRule="auto"/>
              <w:ind w:right="-1"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堆填最终标高：2147m；</w:t>
            </w:r>
          </w:p>
          <w:p w14:paraId="5DC5C8C1">
            <w:pPr>
              <w:spacing w:line="360" w:lineRule="auto"/>
              <w:ind w:right="-1"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堆填总外坡比：1:3.5；</w:t>
            </w:r>
          </w:p>
          <w:p w14:paraId="418243D1">
            <w:pPr>
              <w:spacing w:line="360" w:lineRule="auto"/>
              <w:ind w:right="-1"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滩面坡度    ：1-2%；</w:t>
            </w:r>
          </w:p>
          <w:p w14:paraId="77D939F7">
            <w:pPr>
              <w:spacing w:line="360" w:lineRule="auto"/>
              <w:ind w:right="-1" w:firstLine="482" w:firstLineChars="200"/>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台阶参数：</w:t>
            </w:r>
          </w:p>
          <w:p w14:paraId="0D76CCAF">
            <w:pPr>
              <w:spacing w:line="360" w:lineRule="auto"/>
              <w:ind w:right="-1"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台阶外坡比：1：3.0；</w:t>
            </w:r>
          </w:p>
          <w:p w14:paraId="6398E850">
            <w:pPr>
              <w:spacing w:line="360" w:lineRule="auto"/>
              <w:ind w:right="-1"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台阶宽度  ：3m；</w:t>
            </w:r>
          </w:p>
          <w:p w14:paraId="1AC7995E">
            <w:pPr>
              <w:spacing w:line="360" w:lineRule="auto"/>
              <w:ind w:right="-1"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台阶高度  ：5m；</w:t>
            </w:r>
          </w:p>
          <w:p w14:paraId="44611755">
            <w:pPr>
              <w:spacing w:line="360" w:lineRule="auto"/>
              <w:ind w:right="-1"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台阶顶逆坡坡度：2%；</w:t>
            </w:r>
          </w:p>
          <w:p w14:paraId="1E6400B1">
            <w:pPr>
              <w:spacing w:line="360" w:lineRule="auto"/>
              <w:ind w:right="-1" w:firstLine="482" w:firstLineChars="200"/>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堆存结构参数：</w:t>
            </w:r>
          </w:p>
          <w:p w14:paraId="2B3003C3">
            <w:pPr>
              <w:spacing w:line="360" w:lineRule="auto"/>
              <w:ind w:right="-1"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碾压分层厚  ：≤1.0m；</w:t>
            </w:r>
          </w:p>
          <w:p w14:paraId="47C8474F">
            <w:pPr>
              <w:spacing w:line="360" w:lineRule="auto"/>
              <w:ind w:right="-1"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碾压分层坡比：1:2.0；</w:t>
            </w:r>
          </w:p>
          <w:p w14:paraId="3B65EFAB">
            <w:pPr>
              <w:spacing w:line="360" w:lineRule="auto"/>
              <w:ind w:right="-1"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工作条带宽  ：10~15m；</w:t>
            </w:r>
          </w:p>
          <w:p w14:paraId="4451187D">
            <w:pPr>
              <w:spacing w:line="360" w:lineRule="auto"/>
              <w:ind w:right="-1"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工作线宽    ：10~15m；</w:t>
            </w:r>
          </w:p>
          <w:p w14:paraId="65C1750A">
            <w:pPr>
              <w:spacing w:line="360" w:lineRule="auto"/>
              <w:ind w:right="-1"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压实系数≥  ：92%。</w:t>
            </w:r>
          </w:p>
          <w:p w14:paraId="19D4C639">
            <w:pPr>
              <w:pStyle w:val="90"/>
              <w:spacing w:after="120" w:line="360" w:lineRule="auto"/>
              <w:ind w:firstLine="522"/>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7、顶部防渗层结构</w:t>
            </w:r>
          </w:p>
          <w:p w14:paraId="78D4D2F4">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修复回填区按设计回填完成后，为了控制后期雨水下渗产生新的渗滤液，参照《一般工业固体废物贮存和填埋污染控制标准》（GB18599-2020）Ⅱ类填埋场封场技术要求进行封场，回填区顶部封场采用柔性结构防渗系统，防渗材料选用HDPE土工防渗膜。通过设置人工防渗系统阻隔雨水下渗，形成新的渗滤液造成环境风险</w:t>
            </w:r>
            <w:r>
              <w:rPr>
                <w:rFonts w:hint="default" w:ascii="Times New Roman" w:hAnsi="Times New Roman" w:eastAsia="宋体" w:cs="Times New Roman"/>
                <w:bCs/>
                <w:color w:val="000000" w:themeColor="text1"/>
                <w:sz w:val="24"/>
                <w14:textFill>
                  <w14:solidFill>
                    <w14:schemeClr w14:val="tx1"/>
                  </w14:solidFill>
                </w14:textFill>
              </w:rPr>
              <w:t>，保护周边地下水水质。</w:t>
            </w:r>
          </w:p>
          <w:p w14:paraId="00E85220">
            <w:pPr>
              <w:pStyle w:val="93"/>
              <w:spacing w:before="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修复回填区</w:t>
            </w:r>
            <w:r>
              <w:rPr>
                <w:rFonts w:hint="default" w:ascii="Times New Roman" w:hAnsi="Times New Roman" w:eastAsia="宋体" w:cs="Times New Roman"/>
                <w:color w:val="000000" w:themeColor="text1"/>
                <w:sz w:val="24"/>
                <w:shd w:val="clear" w:color="auto" w:fill="FFFFFF"/>
                <w14:textFill>
                  <w14:solidFill>
                    <w14:schemeClr w14:val="tx1"/>
                  </w14:solidFill>
                </w14:textFill>
              </w:rPr>
              <w:t>改性磷石膏填料</w:t>
            </w:r>
            <w:r>
              <w:rPr>
                <w:rFonts w:hint="default" w:ascii="Times New Roman" w:hAnsi="Times New Roman" w:eastAsia="宋体" w:cs="Times New Roman"/>
                <w:color w:val="000000" w:themeColor="text1"/>
                <w:sz w:val="24"/>
                <w14:textFill>
                  <w14:solidFill>
                    <w14:schemeClr w14:val="tx1"/>
                  </w14:solidFill>
                </w14:textFill>
              </w:rPr>
              <w:t>回填完成后，对回填区顶部采用土工防渗膜进行封场防渗，</w:t>
            </w:r>
            <w:r>
              <w:rPr>
                <w:rFonts w:hint="default" w:ascii="Times New Roman" w:hAnsi="Times New Roman" w:eastAsia="宋体" w:cs="Times New Roman"/>
                <w:color w:val="000000" w:themeColor="text1"/>
                <w:kern w:val="0"/>
                <w:sz w:val="24"/>
                <w14:textFill>
                  <w14:solidFill>
                    <w14:schemeClr w14:val="tx1"/>
                  </w14:solidFill>
                </w14:textFill>
              </w:rPr>
              <w:t>顶部防渗膜与底部全防渗土工膜可靠焊接，阻隔雨水下渗进入堆填体。</w:t>
            </w:r>
          </w:p>
          <w:p w14:paraId="2FD55B04">
            <w:pPr>
              <w:pStyle w:val="93"/>
              <w:spacing w:before="0"/>
              <w:rPr>
                <w:rFonts w:hint="default" w:ascii="Times New Roman" w:hAnsi="Times New Roman" w:eastAsia="宋体" w:cs="Times New Roman"/>
                <w:color w:val="000000" w:themeColor="text1"/>
                <w:sz w:val="24"/>
                <w:shd w:val="clear" w:color="auto" w:fill="FFFFFF"/>
                <w14:textFill>
                  <w14:solidFill>
                    <w14:schemeClr w14:val="tx1"/>
                  </w14:solidFill>
                </w14:textFill>
              </w:rPr>
            </w:pPr>
            <w:r>
              <w:rPr>
                <w:rFonts w:hint="default" w:ascii="Times New Roman" w:hAnsi="Times New Roman" w:eastAsia="宋体" w:cs="Times New Roman"/>
                <w:color w:val="000000" w:themeColor="text1"/>
                <w:sz w:val="24"/>
                <w:shd w:val="clear" w:color="auto" w:fill="FFFFFF"/>
                <w14:textFill>
                  <w14:solidFill>
                    <w14:schemeClr w14:val="tx1"/>
                  </w14:solidFill>
                </w14:textFill>
              </w:rPr>
              <w:t>顶部防渗处理结构由下至上构成如下：</w:t>
            </w:r>
          </w:p>
          <w:p w14:paraId="3D846C6D">
            <w:pPr>
              <w:pStyle w:val="93"/>
              <w:spacing w:before="0"/>
              <w:rPr>
                <w:rFonts w:hint="default" w:ascii="Times New Roman" w:hAnsi="Times New Roman" w:eastAsia="宋体" w:cs="Times New Roman"/>
                <w:color w:val="000000" w:themeColor="text1"/>
                <w:sz w:val="24"/>
                <w:shd w:val="clear" w:color="auto" w:fill="FFFFFF"/>
                <w14:textFill>
                  <w14:solidFill>
                    <w14:schemeClr w14:val="tx1"/>
                  </w14:solidFill>
                </w14:textFill>
              </w:rPr>
            </w:pPr>
            <w:r>
              <w:rPr>
                <w:rFonts w:hint="default" w:ascii="Times New Roman" w:hAnsi="Times New Roman" w:eastAsia="宋体" w:cs="Times New Roman"/>
                <w:color w:val="000000" w:themeColor="text1"/>
                <w:sz w:val="24"/>
                <w:shd w:val="clear" w:color="auto" w:fill="FFFFFF"/>
                <w14:textFill>
                  <w14:solidFill>
                    <w14:schemeClr w14:val="tx1"/>
                  </w14:solidFill>
                </w14:textFill>
              </w:rPr>
              <w:t>（1）回填材料压实整平</w:t>
            </w:r>
          </w:p>
          <w:p w14:paraId="55FD8F2E">
            <w:pPr>
              <w:pStyle w:val="93"/>
              <w:spacing w:before="0"/>
              <w:rPr>
                <w:rFonts w:hint="default" w:ascii="Times New Roman" w:hAnsi="Times New Roman" w:eastAsia="宋体" w:cs="Times New Roman"/>
                <w:color w:val="000000" w:themeColor="text1"/>
                <w:sz w:val="24"/>
                <w:shd w:val="clear" w:color="auto" w:fill="FFFFFF"/>
                <w14:textFill>
                  <w14:solidFill>
                    <w14:schemeClr w14:val="tx1"/>
                  </w14:solidFill>
                </w14:textFill>
              </w:rPr>
            </w:pPr>
            <w:r>
              <w:rPr>
                <w:rFonts w:hint="default" w:ascii="Times New Roman" w:hAnsi="Times New Roman" w:eastAsia="宋体" w:cs="Times New Roman"/>
                <w:color w:val="000000" w:themeColor="text1"/>
                <w:sz w:val="24"/>
                <w:shd w:val="clear" w:color="auto" w:fill="FFFFFF"/>
                <w14:textFill>
                  <w14:solidFill>
                    <w14:schemeClr w14:val="tx1"/>
                  </w14:solidFill>
                </w14:textFill>
              </w:rPr>
              <w:t>（2）膜下排气管</w:t>
            </w:r>
          </w:p>
          <w:p w14:paraId="6A70839E">
            <w:pPr>
              <w:pStyle w:val="93"/>
              <w:spacing w:before="0"/>
              <w:rPr>
                <w:rFonts w:hint="default" w:ascii="Times New Roman" w:hAnsi="Times New Roman" w:eastAsia="宋体" w:cs="Times New Roman"/>
                <w:color w:val="000000" w:themeColor="text1"/>
                <w:sz w:val="24"/>
                <w:shd w:val="clear" w:color="auto" w:fill="FFFFFF"/>
                <w14:textFill>
                  <w14:solidFill>
                    <w14:schemeClr w14:val="tx1"/>
                  </w14:solidFill>
                </w14:textFill>
              </w:rPr>
            </w:pPr>
            <w:bookmarkStart w:id="38" w:name="_Hlk192838016"/>
            <w:r>
              <w:rPr>
                <w:rFonts w:hint="default" w:ascii="Times New Roman" w:hAnsi="Times New Roman" w:eastAsia="宋体" w:cs="Times New Roman"/>
                <w:color w:val="000000" w:themeColor="text1"/>
                <w:sz w:val="24"/>
                <w:shd w:val="clear" w:color="auto" w:fill="FFFFFF"/>
                <w14:textFill>
                  <w14:solidFill>
                    <w14:schemeClr w14:val="tx1"/>
                  </w14:solidFill>
                </w14:textFill>
              </w:rPr>
              <w:t>（3）1.0mm厚双糙面HDPE土工膜</w:t>
            </w:r>
          </w:p>
          <w:bookmarkEnd w:id="38"/>
          <w:p w14:paraId="4C97CA61">
            <w:pPr>
              <w:pStyle w:val="93"/>
              <w:spacing w:before="0"/>
              <w:rPr>
                <w:rFonts w:hint="default" w:ascii="Times New Roman" w:hAnsi="Times New Roman" w:eastAsia="宋体" w:cs="Times New Roman"/>
                <w:color w:val="000000" w:themeColor="text1"/>
                <w:sz w:val="24"/>
                <w:shd w:val="clear" w:color="auto" w:fill="FFFFFF"/>
                <w14:textFill>
                  <w14:solidFill>
                    <w14:schemeClr w14:val="tx1"/>
                  </w14:solidFill>
                </w14:textFill>
              </w:rPr>
            </w:pPr>
            <w:r>
              <w:rPr>
                <w:rFonts w:hint="default" w:ascii="Times New Roman" w:hAnsi="Times New Roman" w:eastAsia="宋体" w:cs="Times New Roman"/>
                <w:color w:val="000000" w:themeColor="text1"/>
                <w:sz w:val="24"/>
                <w:shd w:val="clear" w:color="auto" w:fill="FFFFFF"/>
                <w14:textFill>
                  <w14:solidFill>
                    <w14:schemeClr w14:val="tx1"/>
                  </w14:solidFill>
                </w14:textFill>
              </w:rPr>
              <w:t>（4）400g/㎡长丝无纺土工布</w:t>
            </w:r>
          </w:p>
          <w:p w14:paraId="5B0300E7">
            <w:pPr>
              <w:pStyle w:val="93"/>
              <w:spacing w:before="0"/>
              <w:rPr>
                <w:rFonts w:hint="default" w:ascii="Times New Roman" w:hAnsi="Times New Roman" w:eastAsia="宋体" w:cs="Times New Roman"/>
                <w:color w:val="000000" w:themeColor="text1"/>
                <w:sz w:val="24"/>
                <w:shd w:val="clear" w:color="auto" w:fill="FFFFFF"/>
                <w14:textFill>
                  <w14:solidFill>
                    <w14:schemeClr w14:val="tx1"/>
                  </w14:solidFill>
                </w14:textFill>
              </w:rPr>
            </w:pPr>
            <w:r>
              <w:rPr>
                <w:rFonts w:hint="default" w:ascii="Times New Roman" w:hAnsi="Times New Roman" w:eastAsia="宋体" w:cs="Times New Roman"/>
                <w:color w:val="000000" w:themeColor="text1"/>
                <w:sz w:val="24"/>
                <w:shd w:val="clear" w:color="auto" w:fill="FFFFFF"/>
                <w14:textFill>
                  <w14:solidFill>
                    <w14:schemeClr w14:val="tx1"/>
                  </w14:solidFill>
                </w14:textFill>
              </w:rPr>
              <w:t>（5）40cm厚阻隔支撑层填土（碎石盲沟排水网格布设其中）</w:t>
            </w:r>
          </w:p>
          <w:p w14:paraId="4E581E72">
            <w:pPr>
              <w:pStyle w:val="93"/>
              <w:spacing w:before="0"/>
              <w:rPr>
                <w:rFonts w:hint="default" w:ascii="Times New Roman" w:hAnsi="Times New Roman" w:eastAsia="宋体" w:cs="Times New Roman"/>
                <w:color w:val="000000" w:themeColor="text1"/>
                <w:sz w:val="24"/>
                <w:shd w:val="clear" w:color="auto" w:fill="FFFFFF"/>
                <w14:textFill>
                  <w14:solidFill>
                    <w14:schemeClr w14:val="tx1"/>
                  </w14:solidFill>
                </w14:textFill>
              </w:rPr>
            </w:pPr>
            <w:r>
              <w:rPr>
                <w:rFonts w:hint="default" w:ascii="Times New Roman" w:hAnsi="Times New Roman" w:eastAsia="宋体" w:cs="Times New Roman"/>
                <w:color w:val="000000" w:themeColor="text1"/>
                <w:sz w:val="24"/>
                <w:shd w:val="clear" w:color="auto" w:fill="FFFFFF"/>
                <w14:textFill>
                  <w14:solidFill>
                    <w14:schemeClr w14:val="tx1"/>
                  </w14:solidFill>
                </w14:textFill>
              </w:rPr>
              <w:t>（6）覆土60cm，恢复为灌木林地</w:t>
            </w:r>
          </w:p>
          <w:p w14:paraId="1AC1044A">
            <w:pPr>
              <w:pStyle w:val="90"/>
              <w:spacing w:after="120" w:line="360" w:lineRule="auto"/>
              <w:ind w:firstLine="522"/>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8、排洪排水设施</w:t>
            </w:r>
          </w:p>
          <w:p w14:paraId="39F0CF37">
            <w:pPr>
              <w:tabs>
                <w:tab w:val="left" w:pos="1418"/>
              </w:tabs>
              <w:spacing w:line="360" w:lineRule="auto"/>
              <w:ind w:firstLine="56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大旋塘北部采石场露天采场汇水面积为0.018km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，采场位于汇水区顶部，周边汇水较少，基本为场地内汇水。设计在修复回填区周边设置周边截水沟，长645米，净断面尺寸为B×H＝0.5m×0.6m，最小底坡2%，结构为砖砌结构</w:t>
            </w:r>
            <w:r>
              <w:rPr>
                <w:rFonts w:hint="default" w:ascii="Times New Roman" w:hAnsi="Times New Roman" w:eastAsia="宋体" w:cs="Times New Roman"/>
                <w:color w:val="000000" w:themeColor="text1"/>
                <w:kern w:val="0"/>
                <w:sz w:val="24"/>
                <w14:textFill>
                  <w14:solidFill>
                    <w14:schemeClr w14:val="tx1"/>
                  </w14:solidFill>
                </w14:textFill>
              </w:rPr>
              <w:t>。在回填区最终堆填边坡平台上设置坡面雨水沟，</w:t>
            </w:r>
            <w:r>
              <w:rPr>
                <w:rFonts w:hint="default" w:ascii="Times New Roman" w:hAnsi="Times New Roman" w:eastAsia="宋体" w:cs="Times New Roman"/>
                <w:color w:val="000000" w:themeColor="text1"/>
                <w:sz w:val="24"/>
                <w14:textFill>
                  <w14:solidFill>
                    <w14:schemeClr w14:val="tx1"/>
                  </w14:solidFill>
                </w14:textFill>
              </w:rPr>
              <w:t>净断面尺寸为B×H＝0.3m×0.4m，最小底坡1%，结构为砖砌结构。生态修复区汇水通过拦挡坝下游沟谷外排。</w:t>
            </w:r>
          </w:p>
          <w:p w14:paraId="54AEAE7F">
            <w:pPr>
              <w:spacing w:line="360" w:lineRule="auto"/>
              <w:ind w:firstLine="240" w:firstLineChars="1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周边截水沟水力计算</w:t>
            </w:r>
          </w:p>
          <w:p w14:paraId="19FC03E1">
            <w:pPr>
              <w:spacing w:line="360" w:lineRule="auto"/>
              <w:ind w:firstLine="56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宽度：0.5m</w:t>
            </w:r>
          </w:p>
          <w:p w14:paraId="188ECEB5">
            <w:pPr>
              <w:spacing w:line="360" w:lineRule="auto"/>
              <w:ind w:firstLine="56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深度：0.6m</w:t>
            </w:r>
          </w:p>
          <w:p w14:paraId="6FEDD865">
            <w:pPr>
              <w:spacing w:line="360" w:lineRule="auto"/>
              <w:ind w:firstLine="56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最小纵坡度：i=0.02</w:t>
            </w:r>
          </w:p>
          <w:p w14:paraId="3A31F47D">
            <w:pPr>
              <w:spacing w:line="360" w:lineRule="auto"/>
              <w:ind w:firstLine="560"/>
              <w:rPr>
                <w:rFonts w:hint="default" w:ascii="Times New Roman" w:hAnsi="Times New Roman" w:eastAsia="宋体" w:cs="Times New Roman"/>
                <w:color w:val="000000" w:themeColor="text1"/>
                <w:sz w:val="24"/>
                <w:vertAlign w:val="superscript"/>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净过水面积：A=0.3m</w:t>
            </w:r>
            <w:r>
              <w:rPr>
                <w:rFonts w:hint="default" w:ascii="Times New Roman" w:hAnsi="Times New Roman" w:eastAsia="宋体" w:cs="Times New Roman"/>
                <w:color w:val="000000" w:themeColor="text1"/>
                <w:sz w:val="24"/>
                <w:vertAlign w:val="superscript"/>
                <w14:textFill>
                  <w14:solidFill>
                    <w14:schemeClr w14:val="tx1"/>
                  </w14:solidFill>
                </w14:textFill>
              </w:rPr>
              <w:t>2</w:t>
            </w:r>
          </w:p>
          <w:p w14:paraId="66431D52">
            <w:pPr>
              <w:spacing w:line="360" w:lineRule="auto"/>
              <w:ind w:firstLine="56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水力糙度：n=0.014</w:t>
            </w:r>
          </w:p>
          <w:p w14:paraId="3B69B24A">
            <w:pPr>
              <w:spacing w:line="360" w:lineRule="auto"/>
              <w:ind w:firstLine="56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湿周：x =1.7m</w:t>
            </w:r>
          </w:p>
          <w:p w14:paraId="3CA849D3">
            <w:pPr>
              <w:spacing w:line="360" w:lineRule="auto"/>
              <w:ind w:firstLine="56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水力半径：R =0.176</w:t>
            </w:r>
          </w:p>
          <w:p w14:paraId="7008F561">
            <w:pPr>
              <w:spacing w:line="360" w:lineRule="auto"/>
              <w:ind w:firstLine="56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流速：</w:t>
            </w:r>
            <w:r>
              <w:rPr>
                <w:rFonts w:hint="default" w:ascii="Times New Roman" w:hAnsi="Times New Roman" w:eastAsia="宋体" w:cs="Times New Roman"/>
                <w:i/>
                <w:color w:val="000000" w:themeColor="text1"/>
                <w:sz w:val="24"/>
                <w14:textFill>
                  <w14:solidFill>
                    <w14:schemeClr w14:val="tx1"/>
                  </w14:solidFill>
                </w14:textFill>
              </w:rPr>
              <w:t>v</w:t>
            </w:r>
            <w:r>
              <w:rPr>
                <w:rFonts w:hint="default" w:ascii="Times New Roman" w:hAnsi="Times New Roman" w:eastAsia="宋体" w:cs="Times New Roman"/>
                <w:color w:val="000000" w:themeColor="text1"/>
                <w:sz w:val="24"/>
                <w14:textFill>
                  <w14:solidFill>
                    <w14:schemeClr w14:val="tx1"/>
                  </w14:solidFill>
                </w14:textFill>
              </w:rPr>
              <w:t>=3.18m/s</w:t>
            </w:r>
          </w:p>
          <w:p w14:paraId="5E9789A4">
            <w:pPr>
              <w:spacing w:line="360" w:lineRule="auto"/>
              <w:ind w:firstLine="56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流量：Q=0.95m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/s＞0.31m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/s</w:t>
            </w:r>
          </w:p>
          <w:p w14:paraId="2857AE32">
            <w:pPr>
              <w:spacing w:line="360" w:lineRule="auto"/>
              <w:ind w:firstLine="240" w:firstLineChars="1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  因此外围截水沟满足行洪要求。</w:t>
            </w:r>
          </w:p>
          <w:p w14:paraId="0D8DCFDF">
            <w:pPr>
              <w:spacing w:line="360" w:lineRule="auto"/>
              <w:ind w:firstLine="424" w:firstLineChars="177"/>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修复回填区场内设置纵横雨水沟，导排场内雨水进入周边截水沟外排。在堆填体每层平台上修建雨水沟，沟断面300mm×400mm，坡度不小于0.01，堆填体边坡纵向设雨水沟，纵向坡面雨水沟间隔30m设一条，断面300mm×400mm。雨水沟导排至至周边截水沟，断面500mm×600mm，直接外排或收集于地下水收集池，用于场地养护浇灌。</w:t>
            </w:r>
          </w:p>
          <w:p w14:paraId="78CCEFC8">
            <w:pPr>
              <w:pStyle w:val="94"/>
              <w:spacing w:before="0"/>
              <w:ind w:firstLine="482" w:firstLineChars="20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大旋塘南部采石场露天采场回填修复工程</w:t>
            </w:r>
          </w:p>
          <w:p w14:paraId="6E5FE378">
            <w:pPr>
              <w:pStyle w:val="90"/>
              <w:spacing w:after="120" w:line="360" w:lineRule="auto"/>
              <w:ind w:firstLine="520"/>
              <w:rPr>
                <w:rFonts w:hint="default" w:ascii="Times New Roman" w:hAnsi="Times New Roman" w:eastAsia="宋体" w:cs="Times New Roman"/>
                <w:bCs/>
                <w:color w:val="000000" w:themeColor="text1"/>
                <w:szCs w:val="24"/>
                <w14:textFill>
                  <w14:solidFill>
                    <w14:schemeClr w14:val="tx1"/>
                  </w14:solidFill>
                </w14:textFill>
              </w:rPr>
            </w:pPr>
            <w:r>
              <w:rPr>
                <w:rFonts w:hint="default" w:ascii="Times New Roman" w:hAnsi="Times New Roman" w:eastAsia="宋体" w:cs="Times New Roman"/>
                <w:bCs/>
                <w:color w:val="000000" w:themeColor="text1"/>
                <w:szCs w:val="24"/>
                <w14:textFill>
                  <w14:solidFill>
                    <w14:schemeClr w14:val="tx1"/>
                  </w14:solidFill>
                </w14:textFill>
              </w:rPr>
              <w:t>项目修复区计划采用无害化处理后的改性磷石膏填料进行回填，根据检测结果，改性磷石膏填料为I类一般工业固体废物，根据项目所在地环境以及回填料的成分考虑，项目参照《一般工业固体废物贮存和填埋污染控制标准》（GB18599-2020）中Ⅱ类填埋场的要求对回填区进行全防渗，以达到该项目的环境风险可控的目的。</w:t>
            </w:r>
          </w:p>
          <w:p w14:paraId="363903A7">
            <w:pPr>
              <w:pStyle w:val="90"/>
              <w:spacing w:after="120" w:line="360" w:lineRule="auto"/>
              <w:ind w:firstLine="520"/>
              <w:rPr>
                <w:rFonts w:hint="default" w:ascii="Times New Roman" w:hAnsi="Times New Roman" w:eastAsia="宋体" w:cs="Times New Roman"/>
                <w:bCs/>
                <w:color w:val="000000" w:themeColor="text1"/>
                <w:szCs w:val="24"/>
                <w14:textFill>
                  <w14:solidFill>
                    <w14:schemeClr w14:val="tx1"/>
                  </w14:solidFill>
                </w14:textFill>
              </w:rPr>
            </w:pPr>
            <w:r>
              <w:rPr>
                <w:rFonts w:hint="default" w:ascii="Times New Roman" w:hAnsi="Times New Roman" w:eastAsia="宋体" w:cs="Times New Roman"/>
                <w:color w:val="000000" w:themeColor="text1"/>
                <w:szCs w:val="24"/>
                <w14:textFill>
                  <w14:solidFill>
                    <w14:schemeClr w14:val="tx1"/>
                  </w14:solidFill>
                </w14:textFill>
              </w:rPr>
              <w:t>回填修复工程主要工程措施按施工顺序分为：场地底部整平及边坡清理、地下水导排收集系统、2#拦挡坝填筑、回填区底部全防渗、渗滤液导排收集系统、改性磷石膏填料分层碾压回填、回填区顶部全防渗、截排水工程、监测措施、警示措施、防护工程等。</w:t>
            </w:r>
          </w:p>
          <w:p w14:paraId="5B267CF5">
            <w:pPr>
              <w:pStyle w:val="90"/>
              <w:spacing w:after="120" w:line="360" w:lineRule="auto"/>
              <w:ind w:firstLine="522"/>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1、回填区底部整平及边坡清理</w:t>
            </w:r>
          </w:p>
          <w:p w14:paraId="2B3CBF7B">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大旋塘南部采石场露天采场采矿边坡清理修整完成后，为了满足回填区底部全防渗材料的铺设要求，对场地底部进行整平回填，整平回填完成后底部形成不缓于2%的顺坡，坡向拦挡坝上游坡脚处的收集井，以满足地下水及渗滤液导排收集，场地底部整平面积12800㎡。</w:t>
            </w:r>
          </w:p>
          <w:p w14:paraId="1DAA809F">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由于开采边坡为岩质边坡，为了防止对防渗材料的破坏，需要对场地边坡区域进行清理，主要以清理浮石和尖锐突出物为主，清理完成采用简单设备进行整平，场地边坡清理面积13520㎡。</w:t>
            </w:r>
          </w:p>
          <w:p w14:paraId="0B56B557">
            <w:pPr>
              <w:pStyle w:val="28"/>
              <w:spacing w:after="0" w:line="360" w:lineRule="auto"/>
              <w:ind w:left="0" w:leftChars="0" w:firstLine="482"/>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2、地下水导排收集系统</w:t>
            </w:r>
          </w:p>
          <w:p w14:paraId="004AB3C0">
            <w:pPr>
              <w:pStyle w:val="28"/>
              <w:spacing w:after="0" w:line="360" w:lineRule="auto"/>
              <w:ind w:left="0" w:leftChars="0"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大旋塘南部采石场露天采场场地内地下水埋深较深，但在雨季时场地外雨水下渗有可能进入回填区底部，上层滞水形成地下水，为了防止地下水对防渗膜的顶托破坏，须将回填区地下水及时导出，使下渗的地下水不影响防渗结构层的有效性，故设计在修复区防渗层下设置地下水导排盲沟，导排雨季时雨水下渗形成的地下水。地下水导排盲沟在回填区底部整平后，开挖顶宽1500mm，高度500mm，底宽500mm的沟槽，采用土工布包裹碎石充填，碎石内埋设DN200塑料盲沟管。</w:t>
            </w:r>
            <w:r>
              <w:rPr>
                <w:rFonts w:hint="default" w:ascii="Times New Roman" w:hAnsi="Times New Roman" w:eastAsia="宋体" w:cs="Times New Roman"/>
                <w:color w:val="000000" w:themeColor="text1"/>
                <w:kern w:val="0"/>
                <w:sz w:val="24"/>
                <w14:textFill>
                  <w14:solidFill>
                    <w14:schemeClr w14:val="tx1"/>
                  </w14:solidFill>
                </w14:textFill>
              </w:rPr>
              <w:t>塑料盲沟</w:t>
            </w:r>
            <w:r>
              <w:rPr>
                <w:rFonts w:hint="default" w:ascii="Times New Roman" w:hAnsi="Times New Roman" w:eastAsia="宋体" w:cs="Times New Roman"/>
                <w:color w:val="000000" w:themeColor="text1"/>
                <w:sz w:val="24"/>
                <w14:textFill>
                  <w14:solidFill>
                    <w14:schemeClr w14:val="tx1"/>
                  </w14:solidFill>
                </w14:textFill>
              </w:rPr>
              <w:t>管接至拦挡坝坝前地下水收集井，地下水收集井为底部钢筋混凝土结构，采用潜水泵回抽至地下水收集池，钢筋混凝土收集井净尺寸为2.2×2.2×3.2m，壁厚40cm，在拦挡坝下游新建地下水收集池，尺寸按长×宽×高=2.0×2.0×2.5m设置，采用钢筋混凝土浇筑，池顶标高2088.00m，地下水导排管出口标高2079.0m。池顶设置1.2m高防护栏杆和安全警示标志牌。</w:t>
            </w:r>
          </w:p>
          <w:p w14:paraId="1DC0BDB2">
            <w:pPr>
              <w:pStyle w:val="28"/>
              <w:spacing w:after="0" w:line="360" w:lineRule="auto"/>
              <w:ind w:left="0" w:leftChars="0"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地下水收集池内的水主要用于修复区管护期浇灌使用。</w:t>
            </w:r>
          </w:p>
          <w:p w14:paraId="25C8CC7F">
            <w:pPr>
              <w:pStyle w:val="90"/>
              <w:spacing w:after="120" w:line="360" w:lineRule="auto"/>
              <w:ind w:firstLine="522"/>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3、拦挡坝</w:t>
            </w:r>
          </w:p>
          <w:p w14:paraId="2F5162CB">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为保证地貌回填体的安全，在</w:t>
            </w:r>
            <w:bookmarkStart w:id="39" w:name="_Hlk205285055"/>
            <w:r>
              <w:rPr>
                <w:rFonts w:hint="default" w:ascii="Times New Roman" w:hAnsi="Times New Roman" w:eastAsia="宋体" w:cs="Times New Roman"/>
                <w:color w:val="000000" w:themeColor="text1"/>
                <w:sz w:val="24"/>
                <w14:textFill>
                  <w14:solidFill>
                    <w14:schemeClr w14:val="tx1"/>
                  </w14:solidFill>
                </w14:textFill>
              </w:rPr>
              <w:t>场地北侧采坑出口处修筑2#拦挡坝，</w:t>
            </w:r>
            <w:bookmarkEnd w:id="39"/>
            <w:r>
              <w:rPr>
                <w:rFonts w:hint="default" w:ascii="Times New Roman" w:hAnsi="Times New Roman" w:eastAsia="宋体" w:cs="Times New Roman"/>
                <w:color w:val="000000" w:themeColor="text1"/>
                <w:sz w:val="24"/>
                <w14:textFill>
                  <w14:solidFill>
                    <w14:schemeClr w14:val="tx1"/>
                  </w14:solidFill>
                </w14:textFill>
              </w:rPr>
              <w:t>在场地西南侧垭口处填筑3#副坝。2#拦挡坝和3#副坝坝型结合现场实际情况，遵循就地取材的原则，设计为碾压土石坝，选用场地内清理开挖过程中形成的土石料进行筑坝，做到施工方便、节省投资。</w:t>
            </w:r>
          </w:p>
          <w:p w14:paraId="1398E7B2">
            <w:pPr>
              <w:pStyle w:val="93"/>
              <w:spacing w:before="0"/>
              <w:ind w:firstLine="482"/>
              <w:rPr>
                <w:rFonts w:hint="default" w:ascii="Times New Roman" w:hAnsi="Times New Roman" w:eastAsia="宋体" w:cs="Times New Roman"/>
                <w:b/>
                <w:color w:val="000000" w:themeColor="text1"/>
                <w:sz w:val="24"/>
                <w14:textFill>
                  <w14:solidFill>
                    <w14:schemeClr w14:val="tx1"/>
                  </w14:solidFill>
                </w14:textFill>
              </w:rPr>
            </w:pPr>
            <w:r>
              <w:rPr>
                <w:rFonts w:hint="default" w:ascii="Times New Roman" w:hAnsi="Times New Roman" w:eastAsia="宋体" w:cs="Times New Roman"/>
                <w:b/>
                <w:color w:val="000000" w:themeColor="text1"/>
                <w:sz w:val="24"/>
                <w14:textFill>
                  <w14:solidFill>
                    <w14:schemeClr w14:val="tx1"/>
                  </w14:solidFill>
                </w14:textFill>
              </w:rPr>
              <w:t>（1）2#拦挡坝</w:t>
            </w:r>
          </w:p>
          <w:p w14:paraId="125DDD7F">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1）坝体构造</w:t>
            </w:r>
          </w:p>
          <w:p w14:paraId="083F2B8A">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2#拦挡坝坝底高程2086m，坝顶高程2096m，坝顶宽4m，坝顶长68.0m，坝高10m。</w:t>
            </w:r>
          </w:p>
          <w:p w14:paraId="159E35AD">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2#拦挡坝上游坝坡坡比1:2.0，拦挡坝上游坝坡坡面设防渗层与场内底部防渗层连接；拦挡坝下游坝坡坡比1:2.0。</w:t>
            </w:r>
          </w:p>
          <w:p w14:paraId="02D803CC">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2）坝基</w:t>
            </w:r>
          </w:p>
          <w:p w14:paraId="50B681CE">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拦挡坝坝基位置主要为原开采过程中形成的场地，首先对拦挡坝坝基位置进行清理，以砾质粘性土或灰岩为坝基进行填筑。</w:t>
            </w:r>
          </w:p>
          <w:p w14:paraId="6850D0C1">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3）坝体质量控制</w:t>
            </w:r>
          </w:p>
          <w:p w14:paraId="3254861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拦挡坝筑坝时，筑坝材料须逐层填筑，并且要严格遵循分层碾压法施工，分层厚度不得超过0.8m，并按碾压试验的数据执行，要求经检验确认放坡，压实度达到0.94，压实干密度须达到γ</w:t>
            </w:r>
            <w:r>
              <w:rPr>
                <w:rFonts w:hint="default" w:ascii="Times New Roman" w:hAnsi="Times New Roman" w:eastAsia="宋体" w:cs="Times New Roman"/>
                <w:color w:val="000000" w:themeColor="text1"/>
                <w:sz w:val="24"/>
                <w:vertAlign w:val="subscript"/>
                <w14:textFill>
                  <w14:solidFill>
                    <w14:schemeClr w14:val="tx1"/>
                  </w14:solidFill>
                </w14:textFill>
              </w:rPr>
              <w:t>g</w:t>
            </w:r>
            <w:r>
              <w:rPr>
                <w:rFonts w:hint="default" w:ascii="Times New Roman" w:hAnsi="Times New Roman" w:eastAsia="宋体" w:cs="Times New Roman"/>
                <w:color w:val="000000" w:themeColor="text1"/>
                <w:sz w:val="24"/>
                <w14:textFill>
                  <w14:solidFill>
                    <w14:schemeClr w14:val="tx1"/>
                  </w14:solidFill>
                </w14:textFill>
              </w:rPr>
              <w:t>=2.0t/m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以上，方可施工上一层，直至坝顶。</w:t>
            </w:r>
          </w:p>
          <w:p w14:paraId="4AB142EC">
            <w:pPr>
              <w:pStyle w:val="2"/>
              <w:spacing w:line="360" w:lineRule="auto"/>
              <w:ind w:firstLine="482" w:firstLineChars="200"/>
              <w:rPr>
                <w:rFonts w:hint="default" w:ascii="Times New Roman" w:hAnsi="Times New Roman" w:eastAsia="宋体" w:cs="Times New Roman"/>
                <w:b/>
                <w:color w:val="000000" w:themeColor="text1"/>
                <w:sz w:val="24"/>
                <w:szCs w:val="24"/>
                <w14:textFill>
                  <w14:solidFill>
                    <w14:schemeClr w14:val="tx1"/>
                  </w14:solidFill>
                </w14:textFill>
              </w:rPr>
            </w:pPr>
            <w:r>
              <w:rPr>
                <w:rFonts w:hint="default" w:ascii="Times New Roman" w:hAnsi="Times New Roman" w:eastAsia="宋体" w:cs="Times New Roman"/>
                <w:b/>
                <w:color w:val="000000" w:themeColor="text1"/>
                <w:sz w:val="24"/>
                <w:szCs w:val="24"/>
                <w14:textFill>
                  <w14:solidFill>
                    <w14:schemeClr w14:val="tx1"/>
                  </w14:solidFill>
                </w14:textFill>
              </w:rPr>
              <w:t>（2）3#副坝</w:t>
            </w:r>
          </w:p>
          <w:p w14:paraId="42CAF805">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1）坝体构造</w:t>
            </w:r>
          </w:p>
          <w:p w14:paraId="505E8BD9">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3#副坝坝底高程2123m，坝顶高程2128m，坝顶宽3m，坝顶长20.0m，坝高5m。</w:t>
            </w:r>
          </w:p>
          <w:p w14:paraId="28A59F08">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3#副坝上游坝坡坡比1:2.0，拦挡坝上游坝坡坡面设防渗层与场内底部防渗层连接；拦挡坝下游坝坡坡比1:2.0。</w:t>
            </w:r>
          </w:p>
          <w:p w14:paraId="08CDF2F0">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2）坝基</w:t>
            </w:r>
          </w:p>
          <w:p w14:paraId="3ACB8CA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拦挡坝坝基位置主要为原开采过程中形成的场地，首先对拦挡坝坝基位置进行清理，以灰岩为坝基进行填筑。</w:t>
            </w:r>
          </w:p>
          <w:p w14:paraId="4905A80E">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3）坝体质量控制</w:t>
            </w:r>
          </w:p>
          <w:p w14:paraId="7257DFC2">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拦挡坝筑坝时，筑坝材料须逐层填筑，并且要严格遵循分层碾压法施工，分层厚度不得超过0.8m，并按碾压试验的数据执行，要求经检验确认放坡，压实度达到0.94，压实干密度须达到γ</w:t>
            </w:r>
            <w:r>
              <w:rPr>
                <w:rFonts w:hint="default" w:ascii="Times New Roman" w:hAnsi="Times New Roman" w:eastAsia="宋体" w:cs="Times New Roman"/>
                <w:color w:val="000000" w:themeColor="text1"/>
                <w:sz w:val="24"/>
                <w:vertAlign w:val="subscript"/>
                <w14:textFill>
                  <w14:solidFill>
                    <w14:schemeClr w14:val="tx1"/>
                  </w14:solidFill>
                </w14:textFill>
              </w:rPr>
              <w:t>g</w:t>
            </w:r>
            <w:r>
              <w:rPr>
                <w:rFonts w:hint="default" w:ascii="Times New Roman" w:hAnsi="Times New Roman" w:eastAsia="宋体" w:cs="Times New Roman"/>
                <w:color w:val="000000" w:themeColor="text1"/>
                <w:sz w:val="24"/>
                <w14:textFill>
                  <w14:solidFill>
                    <w14:schemeClr w14:val="tx1"/>
                  </w14:solidFill>
                </w14:textFill>
              </w:rPr>
              <w:t>=2.0t/m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以上，方可施工上一层，直至坝顶。</w:t>
            </w:r>
          </w:p>
          <w:p w14:paraId="36173638">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4、回填区底部全防渗</w:t>
            </w:r>
          </w:p>
          <w:p w14:paraId="04D3C78D">
            <w:pPr>
              <w:spacing w:line="360" w:lineRule="auto"/>
              <w:ind w:firstLine="480" w:firstLineChars="200"/>
              <w:rPr>
                <w:rFonts w:hint="default" w:ascii="Times New Roman" w:hAnsi="Times New Roman" w:eastAsia="宋体" w:cs="Times New Roman"/>
                <w:bCs/>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大旋塘南部采石场露天采场生态修复恢复地貌拟采用无害化处理后的改性磷石膏填料进行回填，</w:t>
            </w:r>
            <w:r>
              <w:rPr>
                <w:rFonts w:hint="default" w:ascii="Times New Roman" w:hAnsi="Times New Roman" w:eastAsia="宋体" w:cs="Times New Roman"/>
                <w:bCs/>
                <w:color w:val="000000" w:themeColor="text1"/>
                <w:sz w:val="24"/>
                <w14:textFill>
                  <w14:solidFill>
                    <w14:schemeClr w14:val="tx1"/>
                  </w14:solidFill>
                </w14:textFill>
              </w:rPr>
              <w:t>根据检测结果，改性磷石膏填料为I类一般工业固体废物，根据项目所在地环境以及回填料的成分考虑，项目参照《一般工业固体废物贮存和填埋污染控制标准》（GB18599-2020）中Ⅱ类填埋场的要求对回填区进行底部全防渗，以达到该项目的环境风险可控的目的。</w:t>
            </w:r>
          </w:p>
          <w:p w14:paraId="0C34C484">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修复回填区防渗采用柔性结构防渗系统，防渗材料选择具有化学兼容性、耐久性、耐热性、高强度、低渗透率、易维护、无二次污染、适应地基不均匀沉降、具有较好的抗微生物侵蚀和抗化学腐蚀性能的HDPE防渗膜。通过设置人工防渗系统将修复回填区底部原地层与生态修复回填材料完全隔离，</w:t>
            </w:r>
            <w:r>
              <w:rPr>
                <w:rFonts w:hint="default" w:ascii="Times New Roman" w:hAnsi="Times New Roman" w:eastAsia="宋体" w:cs="Times New Roman"/>
                <w:bCs/>
                <w:color w:val="000000" w:themeColor="text1"/>
                <w:sz w:val="24"/>
                <w14:textFill>
                  <w14:solidFill>
                    <w14:schemeClr w14:val="tx1"/>
                  </w14:solidFill>
                </w14:textFill>
              </w:rPr>
              <w:t>确保回填区域的渗滤液不下渗，严格控制渗滤液产生量，保护周边环境及地下水质。</w:t>
            </w:r>
          </w:p>
          <w:p w14:paraId="43B3C0EE">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1）底部防渗层结构</w:t>
            </w:r>
          </w:p>
          <w:p w14:paraId="619E823A">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修复回填区底部防渗层首先在整平后的场地铺设0.3m厚粘土作为土工膜支撑保护层，粘土采用市场购买方式获得，要求粘土干净、含沙量小、黏粘、粒径小于0.05mm的含量应超过25%、塑性指数大于15。经压实措施处理后的饱和渗透系数不应大于 1.0×10</w:t>
            </w:r>
            <w:r>
              <w:rPr>
                <w:rFonts w:hint="default" w:ascii="Times New Roman" w:hAnsi="Times New Roman" w:eastAsia="宋体" w:cs="Times New Roman"/>
                <w:color w:val="000000" w:themeColor="text1"/>
                <w:sz w:val="24"/>
                <w:vertAlign w:val="superscript"/>
                <w14:textFill>
                  <w14:solidFill>
                    <w14:schemeClr w14:val="tx1"/>
                  </w14:solidFill>
                </w14:textFill>
              </w:rPr>
              <w:t>-7</w:t>
            </w:r>
            <w:r>
              <w:rPr>
                <w:rFonts w:hint="default" w:ascii="Times New Roman" w:hAnsi="Times New Roman" w:eastAsia="宋体" w:cs="Times New Roman"/>
                <w:color w:val="000000" w:themeColor="text1"/>
                <w:sz w:val="24"/>
                <w14:textFill>
                  <w14:solidFill>
                    <w14:schemeClr w14:val="tx1"/>
                  </w14:solidFill>
                </w14:textFill>
              </w:rPr>
              <w:t xml:space="preserve"> cm/s。黏土层铺设完成后铺设1.5mm厚单糙面HEPD土工防渗膜，并满足GB/T 17643和CJ/T234-2006规定的技术指标要求；最后在上部回填改性磷石膏填料。</w:t>
            </w:r>
          </w:p>
          <w:p w14:paraId="22197D32">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底部防渗结构由下至上构成如下：</w:t>
            </w:r>
          </w:p>
          <w:p w14:paraId="1A9BCDAA">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（1）库底整平压实基础层（地下水导排盲沟在其中）</w:t>
            </w:r>
          </w:p>
          <w:p w14:paraId="188C6960">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（2）0.3m厚粘土支撑保护层</w:t>
            </w:r>
          </w:p>
          <w:p w14:paraId="28BFE20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（3）1.5mm厚单糙面HDPE土工膜</w:t>
            </w:r>
          </w:p>
          <w:p w14:paraId="51055BB7">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（4）改性磷石膏填料回填</w:t>
            </w:r>
          </w:p>
          <w:p w14:paraId="4CE5B680">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2）边坡防渗层结构</w:t>
            </w:r>
          </w:p>
          <w:p w14:paraId="391B2527">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由于场地边坡大部分陡峻，粘土层无法铺设，设计对边坡清理整平后，采用4800g/m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纳基膨润土毯作为防渗膜的保护层铺设在整平边坡上，再铺设HDPE土工防渗膜。</w:t>
            </w:r>
          </w:p>
          <w:p w14:paraId="24FF3293">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膨润土毯在岸坡较陡地段，需采用锚固钉、链固定，防止下滑。膨润土毯和土工防渗膜均在边坡顶部和分台台阶处设锚固沟进行锚固。</w:t>
            </w:r>
          </w:p>
          <w:p w14:paraId="13A5BE8F">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边坡防渗层结构由下至上构成如下：</w:t>
            </w:r>
          </w:p>
          <w:p w14:paraId="11B6311C">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（1）边坡清理整平层</w:t>
            </w:r>
          </w:p>
          <w:p w14:paraId="5F4840F4">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（2）4800g/m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钠基膨润土毯</w:t>
            </w:r>
          </w:p>
          <w:p w14:paraId="1318D97A">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（3）1.5mm厚单糙面HDPE土工膜</w:t>
            </w:r>
          </w:p>
          <w:p w14:paraId="46F9C903">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（4）改性磷石膏填料回填</w:t>
            </w:r>
          </w:p>
          <w:p w14:paraId="1A5A75BA">
            <w:pPr>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5、渗滤液导排收集系统</w:t>
            </w:r>
          </w:p>
          <w:p w14:paraId="78194A53">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为了将填料可能产生的渗滤液进行收集处理，底部防渗完成后，在防渗层上设置渗滤液收集导排盲沟，沟内铺设厚400mm的卵石，卵石采用200g/m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土工布包裹。导排盲沟内置dn200塑料盲沟管排渗，塑料盲沟管穿孔管外侧采用200g/m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土工布包裹，沿线排水控制坡度2%，导排管接至渗滤液收集井，渗滤液收集井为底部钢筋混凝土结构，采用潜水泵回抽至渗滤液收集池，钢筋混</w:t>
            </w:r>
            <w:r>
              <w:rPr>
                <w:rFonts w:hint="default" w:ascii="Times New Roman" w:hAnsi="Times New Roman" w:eastAsia="宋体" w:cs="Times New Roman"/>
                <w:color w:val="000000" w:themeColor="text1"/>
                <w:sz w:val="24"/>
                <w:szCs w:val="24"/>
                <w14:textFill>
                  <w14:solidFill>
                    <w14:schemeClr w14:val="tx1"/>
                  </w14:solidFill>
                </w14:textFill>
              </w:rPr>
              <w:t>凝土收集井净尺寸为2.2×2.2×3.2m，壁厚40cm，</w:t>
            </w:r>
            <w:r>
              <w:rPr>
                <w:rFonts w:hint="default" w:ascii="Times New Roman" w:hAnsi="Times New Roman" w:eastAsia="宋体" w:cs="Times New Roman"/>
                <w:color w:val="000000" w:themeColor="text1"/>
                <w:sz w:val="24"/>
                <w:szCs w:val="24"/>
                <w:highlight w:val="none"/>
                <w14:textFill>
                  <w14:solidFill>
                    <w14:schemeClr w14:val="tx1"/>
                  </w14:solidFill>
                </w14:textFill>
              </w:rPr>
              <w:t>渗滤液收集</w:t>
            </w:r>
            <w:r>
              <w:rPr>
                <w:rFonts w:hint="eastAsia" w:cs="Times New Roman"/>
                <w:color w:val="000000" w:themeColor="text1"/>
                <w:sz w:val="24"/>
                <w:szCs w:val="24"/>
                <w:highlight w:val="none"/>
                <w:lang w:val="en-US" w:eastAsia="zh-CN"/>
                <w14:textFill>
                  <w14:solidFill>
                    <w14:schemeClr w14:val="tx1"/>
                  </w14:solidFill>
                </w14:textFill>
              </w:rPr>
              <w:t>后</w:t>
            </w:r>
            <w:r>
              <w:rPr>
                <w:rFonts w:hint="default" w:ascii="Times New Roman" w:hAnsi="Times New Roman" w:eastAsia="宋体" w:cs="Times New Roman"/>
                <w:color w:val="000000" w:themeColor="text1"/>
                <w:sz w:val="24"/>
                <w:szCs w:val="24"/>
                <w:highlight w:val="none"/>
                <w14:textFill>
                  <w14:solidFill>
                    <w14:schemeClr w14:val="tx1"/>
                  </w14:solidFill>
                </w14:textFill>
              </w:rPr>
              <w:t>回用</w:t>
            </w:r>
            <w:r>
              <w:rPr>
                <w:rFonts w:hint="eastAsia" w:cs="Times New Roman"/>
                <w:color w:val="000000" w:themeColor="text1"/>
                <w:sz w:val="24"/>
                <w:szCs w:val="24"/>
                <w:highlight w:val="none"/>
                <w:lang w:val="en-US" w:eastAsia="zh-CN"/>
                <w14:textFill>
                  <w14:solidFill>
                    <w14:schemeClr w14:val="tx1"/>
                  </w14:solidFill>
                </w14:textFill>
              </w:rPr>
              <w:t>于修复区洒水降尘</w:t>
            </w:r>
            <w:r>
              <w:rPr>
                <w:rFonts w:hint="default" w:ascii="Times New Roman" w:hAnsi="Times New Roman" w:eastAsia="宋体" w:cs="Times New Roman"/>
                <w:color w:val="000000" w:themeColor="text1"/>
                <w:sz w:val="24"/>
                <w:szCs w:val="24"/>
                <w14:textFill>
                  <w14:solidFill>
                    <w14:schemeClr w14:val="tx1"/>
                  </w14:solidFill>
                </w14:textFill>
              </w:rPr>
              <w:t>。</w:t>
            </w:r>
          </w:p>
          <w:p w14:paraId="5CE81136">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在拦挡坝下游设渗滤液收集池，收集回填料渗滤液。</w:t>
            </w:r>
          </w:p>
          <w:p w14:paraId="2BE206D1">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试验，改性磷石膏填料入场含水率为18%，回填碾压压实度0.92时，含水率在15%，加压至1MPa时含水率达到12%，以后继续加压至5MPa时含水率为11.5%，由此判断，改性磷石膏填料在含水率12%时水分主要为结晶水，自由水较少，很难再渗出，故回填的改性磷石膏填料残留水量以含水率12％考虑。</w:t>
            </w:r>
          </w:p>
          <w:p w14:paraId="3C30885B">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大旋塘南部采石场露天采场矿坑回填按12个月260天考虑，则矿坑回填工程中日产生渗滤液为205.2m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，矿坑回填完成后，按3年含水率降至12%，则日产生渗滤液为48.7m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p>
          <w:p w14:paraId="5DCF559D">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渗滤液收集池在2#拦挡坝下游，采用钢筋混凝土矩形水池结构，容积</w:t>
            </w:r>
            <w:r>
              <w:rPr>
                <w:rFonts w:hint="eastAsia" w:cs="Times New Roman"/>
                <w:color w:val="000000" w:themeColor="text1"/>
                <w:sz w:val="24"/>
                <w:lang w:val="en-US" w:eastAsia="zh-CN"/>
                <w14:textFill>
                  <w14:solidFill>
                    <w14:schemeClr w14:val="tx1"/>
                  </w14:solidFill>
                </w14:textFill>
              </w:rPr>
              <w:t>425</w:t>
            </w:r>
            <w:r>
              <w:rPr>
                <w:rFonts w:hint="default" w:ascii="Times New Roman" w:hAnsi="Times New Roman" w:eastAsia="宋体" w:cs="Times New Roman"/>
                <w:color w:val="000000" w:themeColor="text1"/>
                <w:sz w:val="24"/>
                <w14:textFill>
                  <w14:solidFill>
                    <w14:schemeClr w14:val="tx1"/>
                  </w14:solidFill>
                </w14:textFill>
              </w:rPr>
              <w:t>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。渗滤液</w:t>
            </w:r>
            <w:r>
              <w:rPr>
                <w:rFonts w:hint="eastAsia" w:cs="Times New Roman"/>
                <w:color w:val="000000" w:themeColor="text1"/>
                <w:sz w:val="24"/>
                <w:lang w:val="en-US" w:eastAsia="zh-CN"/>
                <w14:textFill>
                  <w14:solidFill>
                    <w14:schemeClr w14:val="tx1"/>
                  </w14:solidFill>
                </w14:textFill>
              </w:rPr>
              <w:t>收集后回用于修复区洒水降尘</w:t>
            </w:r>
            <w:r>
              <w:rPr>
                <w:rFonts w:hint="default" w:ascii="Times New Roman" w:hAnsi="Times New Roman" w:eastAsia="宋体" w:cs="Times New Roman"/>
                <w:color w:val="000000" w:themeColor="text1"/>
                <w:sz w:val="24"/>
                <w14:textFill>
                  <w14:solidFill>
                    <w14:schemeClr w14:val="tx1"/>
                  </w14:solidFill>
                </w14:textFill>
              </w:rPr>
              <w:t>。渗滤液池顶标高2089.0m，渗滤液导排管出口标高2080.0m。</w:t>
            </w:r>
          </w:p>
          <w:p w14:paraId="39A0EED5">
            <w:pPr>
              <w:pStyle w:val="90"/>
              <w:spacing w:after="120" w:line="360" w:lineRule="auto"/>
              <w:ind w:firstLine="522"/>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6、露采区回填恢复地貌</w:t>
            </w:r>
          </w:p>
          <w:p w14:paraId="3D5D9236">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1）露采区回填工艺及回填量</w:t>
            </w:r>
          </w:p>
          <w:p w14:paraId="0E9A3E3F">
            <w:pPr>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大旋塘南部采石场露天采场生态修复区设计采用改性磷石膏填料回填。矿坑堆填区从整平后的坑底2080m标高堆填至2151m标高，根据改性磷石膏填料特性、矿坑地形条件及雨水排水条件等因数，设计改性磷石膏填料回填堆排顺序为先填平至2#拦挡坝坝顶标高2096m，再由拦挡坝坝顶按1:3.0的坡比放坡堆填，堆填体总外坡比控制缓于1:3.5。2#拦挡坝高度10m，拦挡坝以上堆填高度55m，最终堆填标高2151m。堆填每5m高，留设3m宽马道。按场地地形初步测算回填量共计88.91万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w:t>
            </w:r>
          </w:p>
          <w:p w14:paraId="1D8FFAEC">
            <w:pPr>
              <w:spacing w:line="360" w:lineRule="auto"/>
              <w:ind w:right="-1"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项目堆填区改性磷石膏填料堆填方式为干堆，要求改性磷石膏填料入场含水率小于25%。从场地南侧至北侧分层分条块碾压堆填，改性磷石膏填料由汽车运输至堆填区内，通过配套推土机、压路机、挖掘机等机械设备予以分层、分区碾压堆存，分层厚度≤1.0m，具体分层厚度和碾压遍数根据碾压试验确定，回填压实度≥0.92。</w:t>
            </w:r>
          </w:p>
          <w:p w14:paraId="3BA30AA5">
            <w:pPr>
              <w:tabs>
                <w:tab w:val="right" w:leader="middleDot" w:pos="9450"/>
              </w:tabs>
              <w:spacing w:line="360" w:lineRule="auto"/>
              <w:ind w:right="-1"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堆填过程中，应严格按照有关规范、标准及技术要求予以进行，尽可能消除安全隐患。场内采用分区排放、分区晾晒的方式，改性磷石膏填料堆积过程中需一边堆积一边整平，整平的区域及时碾压夯实。</w:t>
            </w:r>
          </w:p>
          <w:p w14:paraId="5D1FAF3D">
            <w:pPr>
              <w:spacing w:line="360" w:lineRule="auto"/>
              <w:ind w:right="-1"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场内不得积水，降雨时场内洪水通过临时雨水沟排入渗滤液收集池。</w:t>
            </w:r>
          </w:p>
          <w:p w14:paraId="392D9633">
            <w:pPr>
              <w:spacing w:line="360" w:lineRule="auto"/>
              <w:ind w:right="-1"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每次开始下一层堆填外坡修整前，应进行质量检查，检查记录需经主管技术人员签字后存档备查，主要检查内容包括：堆填剖面尺寸、台阶宽度及标高，纵横排水沟修建情况，堆填轴线位置及外坡坡比，生态修复材料堆填质量。</w:t>
            </w:r>
          </w:p>
          <w:p w14:paraId="157D5E2A">
            <w:pPr>
              <w:tabs>
                <w:tab w:val="right" w:leader="middleDot" w:pos="9450"/>
              </w:tabs>
              <w:spacing w:line="360" w:lineRule="auto"/>
              <w:ind w:right="-1"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堆填时卸料点和外坡坡顶应设置安全车挡，安全车挡的高度不小于车轮直径的1/2，顶宽不小于车轮直径的1/4，底宽不小于车轮直径的3/4。</w:t>
            </w:r>
          </w:p>
          <w:p w14:paraId="6A0C0638">
            <w:pPr>
              <w:spacing w:line="360" w:lineRule="auto"/>
              <w:ind w:right="-1" w:firstLine="482" w:firstLineChars="200"/>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堆存区参数：</w:t>
            </w:r>
          </w:p>
          <w:p w14:paraId="7F76D57E">
            <w:pPr>
              <w:spacing w:line="360" w:lineRule="auto"/>
              <w:ind w:right="-1"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堆填标高范围：2080-2151m；</w:t>
            </w:r>
          </w:p>
          <w:p w14:paraId="22EF49DB">
            <w:pPr>
              <w:spacing w:line="360" w:lineRule="auto"/>
              <w:ind w:right="-1"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堆填最终标高：2151m；</w:t>
            </w:r>
          </w:p>
          <w:p w14:paraId="37C2A73C">
            <w:pPr>
              <w:spacing w:line="360" w:lineRule="auto"/>
              <w:ind w:right="-1"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堆填总外坡比：1:3.5；</w:t>
            </w:r>
          </w:p>
          <w:p w14:paraId="3700D1EF">
            <w:pPr>
              <w:spacing w:line="360" w:lineRule="auto"/>
              <w:ind w:right="-1"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滩面坡度    ：1-2%；</w:t>
            </w:r>
          </w:p>
          <w:p w14:paraId="7D5F5F6A">
            <w:pPr>
              <w:spacing w:line="360" w:lineRule="auto"/>
              <w:ind w:right="-1" w:firstLine="482" w:firstLineChars="200"/>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台阶参数：</w:t>
            </w:r>
          </w:p>
          <w:p w14:paraId="2217D89A">
            <w:pPr>
              <w:spacing w:line="360" w:lineRule="auto"/>
              <w:ind w:right="-1"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台阶外坡比：1：3.0；</w:t>
            </w:r>
          </w:p>
          <w:p w14:paraId="54748B34">
            <w:pPr>
              <w:spacing w:line="360" w:lineRule="auto"/>
              <w:ind w:right="-1"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台阶宽度  ：3m；</w:t>
            </w:r>
          </w:p>
          <w:p w14:paraId="0FE6CC95">
            <w:pPr>
              <w:spacing w:line="360" w:lineRule="auto"/>
              <w:ind w:right="-1"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台阶高度  ：5m；</w:t>
            </w:r>
          </w:p>
          <w:p w14:paraId="5FA20621">
            <w:pPr>
              <w:spacing w:line="360" w:lineRule="auto"/>
              <w:ind w:right="-1" w:firstLine="480" w:firstLineChars="200"/>
              <w:textAlignment w:val="baseline"/>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台阶顶逆坡坡度：2%；</w:t>
            </w:r>
          </w:p>
          <w:p w14:paraId="32A51321">
            <w:pPr>
              <w:spacing w:line="360" w:lineRule="auto"/>
              <w:ind w:right="-1" w:firstLine="482" w:firstLineChars="200"/>
              <w:textAlignment w:val="baseline"/>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堆存结构参数：</w:t>
            </w:r>
          </w:p>
          <w:p w14:paraId="2B750055">
            <w:pPr>
              <w:spacing w:line="360" w:lineRule="auto"/>
              <w:ind w:right="-1"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碾压分层厚  ：≤1.0m；</w:t>
            </w:r>
          </w:p>
          <w:p w14:paraId="7E106D27">
            <w:pPr>
              <w:spacing w:line="360" w:lineRule="auto"/>
              <w:ind w:right="-1"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碾压分层坡比：1:2.0；</w:t>
            </w:r>
          </w:p>
          <w:p w14:paraId="140A8A85">
            <w:pPr>
              <w:spacing w:line="360" w:lineRule="auto"/>
              <w:ind w:right="-1"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工作条带宽  ：10~15m；</w:t>
            </w:r>
          </w:p>
          <w:p w14:paraId="4FC3E77B">
            <w:pPr>
              <w:spacing w:line="360" w:lineRule="auto"/>
              <w:ind w:right="-1"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工作线宽    ：10~15m；</w:t>
            </w:r>
          </w:p>
          <w:p w14:paraId="633F1840">
            <w:pPr>
              <w:spacing w:line="360" w:lineRule="auto"/>
              <w:ind w:right="-1"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压实系数≥  ：92%。</w:t>
            </w:r>
          </w:p>
          <w:p w14:paraId="494C5046">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2）回填体边坡抗滑稳定分析</w:t>
            </w:r>
          </w:p>
          <w:p w14:paraId="4AD983D9">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参照《冶金矿山排土场设计规范》（GB51119-2015），矿坑回填堆体稳定计算采用简化毕肖普法进行分析计算。</w:t>
            </w:r>
          </w:p>
          <w:p w14:paraId="7C156757">
            <w:pPr>
              <w:ind w:firstLine="480"/>
              <w:rPr>
                <w:rFonts w:hint="default" w:ascii="Times New Roman" w:hAnsi="Times New Roman" w:eastAsia="宋体"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大旋塘南部采石场露天采场露采区地貌恢复2#拦挡坝坝高10m，堆积边坡高度55m，总堆填边坡高度65m，堆积边坡总坡比1:3.5。根据堆填体改性磷石膏填料的性质和勘察提供的地层物理力学指标，对边坡进行稳定性分析，</w:t>
            </w:r>
            <w:r>
              <w:rPr>
                <w:rFonts w:hint="default" w:ascii="Times New Roman" w:hAnsi="Times New Roman" w:eastAsia="宋体" w:cs="Times New Roman"/>
                <w:color w:val="000000" w:themeColor="text1"/>
                <w:spacing w:val="10"/>
                <w:sz w:val="24"/>
                <w14:textFill>
                  <w14:solidFill>
                    <w14:schemeClr w14:val="tx1"/>
                  </w14:solidFill>
                </w14:textFill>
              </w:rPr>
              <w:t>设计选取最终堆填完成后的最大堆填高度剖面作为堆体外坡稳定计算典型断面，只要该断面满足稳定分析的安全要求，则堆填坡面均满足安全稳定要求。</w:t>
            </w:r>
          </w:p>
          <w:p w14:paraId="0B7DAAB8">
            <w:pPr>
              <w:pStyle w:val="90"/>
              <w:spacing w:after="120" w:line="360" w:lineRule="auto"/>
              <w:ind w:firstLine="522"/>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7、顶部防渗层结构</w:t>
            </w:r>
          </w:p>
          <w:p w14:paraId="3C81657F">
            <w:pPr>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大旋塘南部采石场露天采场回填区按设计回填完成后，为了控制后期雨水下渗产生新的渗滤液，参照《一般工业固体废物贮存和填埋污染控制标准》（GB18599-2020）Ⅱ类填埋场封场技术要求进行封场，回填区顶部封场采用柔性结构防渗系统，防渗材料选用HDPE土工防渗膜。通过设置人工防渗系统阻隔雨水下渗，形成新的渗滤液造成环境风险</w:t>
            </w:r>
            <w:r>
              <w:rPr>
                <w:rFonts w:hint="default" w:ascii="Times New Roman" w:hAnsi="Times New Roman" w:eastAsia="宋体" w:cs="Times New Roman"/>
                <w:bCs/>
                <w:color w:val="000000" w:themeColor="text1"/>
                <w:sz w:val="24"/>
                <w14:textFill>
                  <w14:solidFill>
                    <w14:schemeClr w14:val="tx1"/>
                  </w14:solidFill>
                </w14:textFill>
              </w:rPr>
              <w:t>，保护周边地下水水质。</w:t>
            </w:r>
          </w:p>
          <w:p w14:paraId="0A5C82DB">
            <w:pPr>
              <w:pStyle w:val="93"/>
              <w:spacing w:before="0"/>
              <w:rPr>
                <w:rFonts w:hint="default" w:ascii="Times New Roman" w:hAnsi="Times New Roman" w:eastAsia="宋体" w:cs="Times New Roman"/>
                <w:color w:val="000000" w:themeColor="text1"/>
                <w:kern w:val="0"/>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修复回填区</w:t>
            </w:r>
            <w:r>
              <w:rPr>
                <w:rFonts w:hint="default" w:ascii="Times New Roman" w:hAnsi="Times New Roman" w:eastAsia="宋体" w:cs="Times New Roman"/>
                <w:color w:val="000000" w:themeColor="text1"/>
                <w:sz w:val="24"/>
                <w:shd w:val="clear" w:color="auto" w:fill="FFFFFF"/>
                <w14:textFill>
                  <w14:solidFill>
                    <w14:schemeClr w14:val="tx1"/>
                  </w14:solidFill>
                </w14:textFill>
              </w:rPr>
              <w:t>改性磷石膏填料</w:t>
            </w:r>
            <w:r>
              <w:rPr>
                <w:rFonts w:hint="default" w:ascii="Times New Roman" w:hAnsi="Times New Roman" w:eastAsia="宋体" w:cs="Times New Roman"/>
                <w:color w:val="000000" w:themeColor="text1"/>
                <w:sz w:val="24"/>
                <w14:textFill>
                  <w14:solidFill>
                    <w14:schemeClr w14:val="tx1"/>
                  </w14:solidFill>
                </w14:textFill>
              </w:rPr>
              <w:t>回填完成后，对回填区顶部采用土工防渗膜进行封场防渗，</w:t>
            </w:r>
            <w:r>
              <w:rPr>
                <w:rFonts w:hint="default" w:ascii="Times New Roman" w:hAnsi="Times New Roman" w:eastAsia="宋体" w:cs="Times New Roman"/>
                <w:color w:val="000000" w:themeColor="text1"/>
                <w:kern w:val="0"/>
                <w:sz w:val="24"/>
                <w14:textFill>
                  <w14:solidFill>
                    <w14:schemeClr w14:val="tx1"/>
                  </w14:solidFill>
                </w14:textFill>
              </w:rPr>
              <w:t>顶部防渗膜与底部全防渗土工膜可靠焊接，阻隔雨水下渗进入堆填体。</w:t>
            </w:r>
          </w:p>
          <w:p w14:paraId="74E3E2A1">
            <w:pPr>
              <w:pStyle w:val="93"/>
              <w:spacing w:before="0"/>
              <w:rPr>
                <w:rFonts w:hint="default" w:ascii="Times New Roman" w:hAnsi="Times New Roman" w:eastAsia="宋体" w:cs="Times New Roman"/>
                <w:color w:val="000000" w:themeColor="text1"/>
                <w:sz w:val="24"/>
                <w:shd w:val="clear" w:color="auto" w:fill="FFFFFF"/>
                <w14:textFill>
                  <w14:solidFill>
                    <w14:schemeClr w14:val="tx1"/>
                  </w14:solidFill>
                </w14:textFill>
              </w:rPr>
            </w:pPr>
            <w:r>
              <w:rPr>
                <w:rFonts w:hint="default" w:ascii="Times New Roman" w:hAnsi="Times New Roman" w:eastAsia="宋体" w:cs="Times New Roman"/>
                <w:color w:val="000000" w:themeColor="text1"/>
                <w:sz w:val="24"/>
                <w:shd w:val="clear" w:color="auto" w:fill="FFFFFF"/>
                <w14:textFill>
                  <w14:solidFill>
                    <w14:schemeClr w14:val="tx1"/>
                  </w14:solidFill>
                </w14:textFill>
              </w:rPr>
              <w:t>顶部防渗处理结构由下至上构成如下：</w:t>
            </w:r>
          </w:p>
          <w:p w14:paraId="755CC688">
            <w:pPr>
              <w:pStyle w:val="93"/>
              <w:spacing w:before="0"/>
              <w:rPr>
                <w:rFonts w:hint="default" w:ascii="Times New Roman" w:hAnsi="Times New Roman" w:eastAsia="宋体" w:cs="Times New Roman"/>
                <w:color w:val="000000" w:themeColor="text1"/>
                <w:sz w:val="24"/>
                <w:shd w:val="clear" w:color="auto" w:fill="FFFFFF"/>
                <w14:textFill>
                  <w14:solidFill>
                    <w14:schemeClr w14:val="tx1"/>
                  </w14:solidFill>
                </w14:textFill>
              </w:rPr>
            </w:pPr>
            <w:r>
              <w:rPr>
                <w:rFonts w:hint="default" w:ascii="Times New Roman" w:hAnsi="Times New Roman" w:eastAsia="宋体" w:cs="Times New Roman"/>
                <w:color w:val="000000" w:themeColor="text1"/>
                <w:sz w:val="24"/>
                <w:shd w:val="clear" w:color="auto" w:fill="FFFFFF"/>
                <w14:textFill>
                  <w14:solidFill>
                    <w14:schemeClr w14:val="tx1"/>
                  </w14:solidFill>
                </w14:textFill>
              </w:rPr>
              <w:t>（1）回填材料压实整平</w:t>
            </w:r>
          </w:p>
          <w:p w14:paraId="6479DECF">
            <w:pPr>
              <w:pStyle w:val="93"/>
              <w:spacing w:before="0"/>
              <w:rPr>
                <w:rFonts w:hint="default" w:ascii="Times New Roman" w:hAnsi="Times New Roman" w:eastAsia="宋体" w:cs="Times New Roman"/>
                <w:color w:val="000000" w:themeColor="text1"/>
                <w:sz w:val="24"/>
                <w:shd w:val="clear" w:color="auto" w:fill="FFFFFF"/>
                <w14:textFill>
                  <w14:solidFill>
                    <w14:schemeClr w14:val="tx1"/>
                  </w14:solidFill>
                </w14:textFill>
              </w:rPr>
            </w:pPr>
            <w:r>
              <w:rPr>
                <w:rFonts w:hint="default" w:ascii="Times New Roman" w:hAnsi="Times New Roman" w:eastAsia="宋体" w:cs="Times New Roman"/>
                <w:color w:val="000000" w:themeColor="text1"/>
                <w:sz w:val="24"/>
                <w:shd w:val="clear" w:color="auto" w:fill="FFFFFF"/>
                <w14:textFill>
                  <w14:solidFill>
                    <w14:schemeClr w14:val="tx1"/>
                  </w14:solidFill>
                </w14:textFill>
              </w:rPr>
              <w:t>（2）膜下排气管</w:t>
            </w:r>
          </w:p>
          <w:p w14:paraId="3555DEA1">
            <w:pPr>
              <w:pStyle w:val="93"/>
              <w:spacing w:before="0"/>
              <w:rPr>
                <w:rFonts w:hint="default" w:ascii="Times New Roman" w:hAnsi="Times New Roman" w:eastAsia="宋体" w:cs="Times New Roman"/>
                <w:color w:val="000000" w:themeColor="text1"/>
                <w:sz w:val="24"/>
                <w:shd w:val="clear" w:color="auto" w:fill="FFFFFF"/>
                <w14:textFill>
                  <w14:solidFill>
                    <w14:schemeClr w14:val="tx1"/>
                  </w14:solidFill>
                </w14:textFill>
              </w:rPr>
            </w:pPr>
            <w:r>
              <w:rPr>
                <w:rFonts w:hint="default" w:ascii="Times New Roman" w:hAnsi="Times New Roman" w:eastAsia="宋体" w:cs="Times New Roman"/>
                <w:color w:val="000000" w:themeColor="text1"/>
                <w:sz w:val="24"/>
                <w:shd w:val="clear" w:color="auto" w:fill="FFFFFF"/>
                <w14:textFill>
                  <w14:solidFill>
                    <w14:schemeClr w14:val="tx1"/>
                  </w14:solidFill>
                </w14:textFill>
              </w:rPr>
              <w:t>（3）1.0mm厚双糙面HDPE土工膜</w:t>
            </w:r>
          </w:p>
          <w:p w14:paraId="213A3C4F">
            <w:pPr>
              <w:pStyle w:val="93"/>
              <w:spacing w:before="0"/>
              <w:rPr>
                <w:rFonts w:hint="default" w:ascii="Times New Roman" w:hAnsi="Times New Roman" w:eastAsia="宋体" w:cs="Times New Roman"/>
                <w:color w:val="000000" w:themeColor="text1"/>
                <w:sz w:val="24"/>
                <w:shd w:val="clear" w:color="auto" w:fill="FFFFFF"/>
                <w14:textFill>
                  <w14:solidFill>
                    <w14:schemeClr w14:val="tx1"/>
                  </w14:solidFill>
                </w14:textFill>
              </w:rPr>
            </w:pPr>
            <w:r>
              <w:rPr>
                <w:rFonts w:hint="default" w:ascii="Times New Roman" w:hAnsi="Times New Roman" w:eastAsia="宋体" w:cs="Times New Roman"/>
                <w:color w:val="000000" w:themeColor="text1"/>
                <w:sz w:val="24"/>
                <w:shd w:val="clear" w:color="auto" w:fill="FFFFFF"/>
                <w14:textFill>
                  <w14:solidFill>
                    <w14:schemeClr w14:val="tx1"/>
                  </w14:solidFill>
                </w14:textFill>
              </w:rPr>
              <w:t>（4）400g/㎡长丝无纺土工布</w:t>
            </w:r>
          </w:p>
          <w:p w14:paraId="23D61F2A">
            <w:pPr>
              <w:pStyle w:val="93"/>
              <w:spacing w:before="0"/>
              <w:rPr>
                <w:rFonts w:hint="default" w:ascii="Times New Roman" w:hAnsi="Times New Roman" w:eastAsia="宋体" w:cs="Times New Roman"/>
                <w:color w:val="000000" w:themeColor="text1"/>
                <w:sz w:val="24"/>
                <w:shd w:val="clear" w:color="auto" w:fill="FFFFFF"/>
                <w14:textFill>
                  <w14:solidFill>
                    <w14:schemeClr w14:val="tx1"/>
                  </w14:solidFill>
                </w14:textFill>
              </w:rPr>
            </w:pPr>
            <w:r>
              <w:rPr>
                <w:rFonts w:hint="default" w:ascii="Times New Roman" w:hAnsi="Times New Roman" w:eastAsia="宋体" w:cs="Times New Roman"/>
                <w:color w:val="000000" w:themeColor="text1"/>
                <w:sz w:val="24"/>
                <w:shd w:val="clear" w:color="auto" w:fill="FFFFFF"/>
                <w14:textFill>
                  <w14:solidFill>
                    <w14:schemeClr w14:val="tx1"/>
                  </w14:solidFill>
                </w14:textFill>
              </w:rPr>
              <w:t>（5）40cm厚阻隔支撑层填土（碎石盲沟排水网格布设其中）</w:t>
            </w:r>
          </w:p>
          <w:p w14:paraId="7DEEC295">
            <w:pPr>
              <w:pStyle w:val="93"/>
              <w:spacing w:before="0"/>
              <w:rPr>
                <w:rFonts w:hint="default" w:ascii="Times New Roman" w:hAnsi="Times New Roman" w:eastAsia="宋体" w:cs="Times New Roman"/>
                <w:color w:val="000000" w:themeColor="text1"/>
                <w:sz w:val="24"/>
                <w:shd w:val="clear" w:color="auto" w:fill="FFFFFF"/>
                <w14:textFill>
                  <w14:solidFill>
                    <w14:schemeClr w14:val="tx1"/>
                  </w14:solidFill>
                </w14:textFill>
              </w:rPr>
            </w:pPr>
            <w:r>
              <w:rPr>
                <w:rFonts w:hint="default" w:ascii="Times New Roman" w:hAnsi="Times New Roman" w:eastAsia="宋体" w:cs="Times New Roman"/>
                <w:color w:val="000000" w:themeColor="text1"/>
                <w:sz w:val="24"/>
                <w:shd w:val="clear" w:color="auto" w:fill="FFFFFF"/>
                <w14:textFill>
                  <w14:solidFill>
                    <w14:schemeClr w14:val="tx1"/>
                  </w14:solidFill>
                </w14:textFill>
              </w:rPr>
              <w:t>（6）覆土60cm，恢复为灌木林地</w:t>
            </w:r>
          </w:p>
          <w:p w14:paraId="6CDF5AC1">
            <w:pPr>
              <w:pStyle w:val="90"/>
              <w:spacing w:after="120" w:line="360" w:lineRule="auto"/>
              <w:ind w:firstLine="522"/>
              <w:rPr>
                <w:rFonts w:hint="default" w:ascii="Times New Roman" w:hAnsi="Times New Roman" w:eastAsia="宋体" w:cs="Times New Roman"/>
                <w:b/>
                <w:bCs/>
                <w:color w:val="000000" w:themeColor="text1"/>
                <w:szCs w:val="24"/>
                <w14:textFill>
                  <w14:solidFill>
                    <w14:schemeClr w14:val="tx1"/>
                  </w14:solidFill>
                </w14:textFill>
              </w:rPr>
            </w:pPr>
            <w:r>
              <w:rPr>
                <w:rFonts w:hint="default" w:ascii="Times New Roman" w:hAnsi="Times New Roman" w:eastAsia="宋体" w:cs="Times New Roman"/>
                <w:b/>
                <w:bCs/>
                <w:color w:val="000000" w:themeColor="text1"/>
                <w:szCs w:val="24"/>
                <w14:textFill>
                  <w14:solidFill>
                    <w14:schemeClr w14:val="tx1"/>
                  </w14:solidFill>
                </w14:textFill>
              </w:rPr>
              <w:t>8、排洪排水设施</w:t>
            </w:r>
          </w:p>
          <w:p w14:paraId="3343A7C4">
            <w:pPr>
              <w:spacing w:line="360" w:lineRule="auto"/>
              <w:ind w:firstLine="56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（2）防排水设计</w:t>
            </w:r>
          </w:p>
          <w:p w14:paraId="57DADA84">
            <w:pPr>
              <w:tabs>
                <w:tab w:val="left" w:pos="1418"/>
              </w:tabs>
              <w:spacing w:line="360" w:lineRule="auto"/>
              <w:ind w:firstLine="56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大旋塘南部采石场露天采场回填区汇水面积为0.035km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，回填区位于汇水区顶部，周边汇水较少，基本为场地内汇水。设计在修复回填区周边设置周边截水沟，长638米，净断面尺寸为B×H＝0.5m×0.6m，最小底坡2%，结构为砖砌结构</w:t>
            </w:r>
            <w:r>
              <w:rPr>
                <w:rFonts w:hint="default" w:ascii="Times New Roman" w:hAnsi="Times New Roman" w:eastAsia="宋体" w:cs="Times New Roman"/>
                <w:color w:val="000000" w:themeColor="text1"/>
                <w:kern w:val="0"/>
                <w:sz w:val="24"/>
                <w14:textFill>
                  <w14:solidFill>
                    <w14:schemeClr w14:val="tx1"/>
                  </w14:solidFill>
                </w14:textFill>
              </w:rPr>
              <w:t>。在回填区最终堆填边坡平台上设置坡面雨水沟，</w:t>
            </w:r>
            <w:r>
              <w:rPr>
                <w:rFonts w:hint="default" w:ascii="Times New Roman" w:hAnsi="Times New Roman" w:eastAsia="宋体" w:cs="Times New Roman"/>
                <w:color w:val="000000" w:themeColor="text1"/>
                <w:sz w:val="24"/>
                <w14:textFill>
                  <w14:solidFill>
                    <w14:schemeClr w14:val="tx1"/>
                  </w14:solidFill>
                </w14:textFill>
              </w:rPr>
              <w:t>净断面尺寸为B×H＝0.3m×0.4m，最小底坡1%，结构为砖砌结构。生态修复区汇水通过拦挡坝下游沟谷外排。</w:t>
            </w:r>
          </w:p>
          <w:p w14:paraId="68840B45">
            <w:pPr>
              <w:spacing w:line="360" w:lineRule="auto"/>
              <w:ind w:firstLine="240" w:firstLineChars="1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周边截水沟水力计算</w:t>
            </w:r>
          </w:p>
          <w:p w14:paraId="68E70CED">
            <w:pPr>
              <w:spacing w:line="360" w:lineRule="auto"/>
              <w:ind w:firstLine="56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宽度：0.5m</w:t>
            </w:r>
          </w:p>
          <w:p w14:paraId="26E44EEC">
            <w:pPr>
              <w:spacing w:line="360" w:lineRule="auto"/>
              <w:ind w:firstLine="56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深度：0.6m</w:t>
            </w:r>
          </w:p>
          <w:p w14:paraId="453756F6">
            <w:pPr>
              <w:spacing w:line="360" w:lineRule="auto"/>
              <w:ind w:firstLine="56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最小纵坡度：i=0.02</w:t>
            </w:r>
          </w:p>
          <w:p w14:paraId="060FE55F">
            <w:pPr>
              <w:spacing w:line="360" w:lineRule="auto"/>
              <w:ind w:firstLine="560"/>
              <w:rPr>
                <w:rFonts w:hint="default" w:ascii="Times New Roman" w:hAnsi="Times New Roman" w:eastAsia="宋体" w:cs="Times New Roman"/>
                <w:color w:val="000000" w:themeColor="text1"/>
                <w:sz w:val="24"/>
                <w:vertAlign w:val="superscript"/>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净过水面积：A=0.3m</w:t>
            </w:r>
            <w:r>
              <w:rPr>
                <w:rFonts w:hint="default" w:ascii="Times New Roman" w:hAnsi="Times New Roman" w:eastAsia="宋体" w:cs="Times New Roman"/>
                <w:color w:val="000000" w:themeColor="text1"/>
                <w:sz w:val="24"/>
                <w:vertAlign w:val="superscript"/>
                <w14:textFill>
                  <w14:solidFill>
                    <w14:schemeClr w14:val="tx1"/>
                  </w14:solidFill>
                </w14:textFill>
              </w:rPr>
              <w:t>2</w:t>
            </w:r>
          </w:p>
          <w:p w14:paraId="3E509AD3">
            <w:pPr>
              <w:spacing w:line="360" w:lineRule="auto"/>
              <w:ind w:firstLine="56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水力糙度：n=0.014</w:t>
            </w:r>
          </w:p>
          <w:p w14:paraId="57A9F843">
            <w:pPr>
              <w:spacing w:line="360" w:lineRule="auto"/>
              <w:ind w:firstLine="56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湿周：x =1.7m</w:t>
            </w:r>
          </w:p>
          <w:p w14:paraId="36624E61">
            <w:pPr>
              <w:spacing w:line="360" w:lineRule="auto"/>
              <w:ind w:firstLine="56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水力半径：R =0.176</w:t>
            </w:r>
          </w:p>
          <w:p w14:paraId="21C80A12">
            <w:pPr>
              <w:spacing w:line="360" w:lineRule="auto"/>
              <w:ind w:firstLine="56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流速：</w:t>
            </w:r>
            <w:r>
              <w:rPr>
                <w:rFonts w:hint="default" w:ascii="Times New Roman" w:hAnsi="Times New Roman" w:eastAsia="宋体" w:cs="Times New Roman"/>
                <w:i/>
                <w:color w:val="000000" w:themeColor="text1"/>
                <w:sz w:val="24"/>
                <w14:textFill>
                  <w14:solidFill>
                    <w14:schemeClr w14:val="tx1"/>
                  </w14:solidFill>
                </w14:textFill>
              </w:rPr>
              <w:t>v</w:t>
            </w:r>
            <w:r>
              <w:rPr>
                <w:rFonts w:hint="default" w:ascii="Times New Roman" w:hAnsi="Times New Roman" w:eastAsia="宋体" w:cs="Times New Roman"/>
                <w:color w:val="000000" w:themeColor="text1"/>
                <w:sz w:val="24"/>
                <w14:textFill>
                  <w14:solidFill>
                    <w14:schemeClr w14:val="tx1"/>
                  </w14:solidFill>
                </w14:textFill>
              </w:rPr>
              <w:t>=3.18m/s</w:t>
            </w:r>
          </w:p>
          <w:p w14:paraId="2F60F536">
            <w:pPr>
              <w:spacing w:line="360" w:lineRule="auto"/>
              <w:ind w:firstLine="56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流量：Q=0.95m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/s＞0.67m</w:t>
            </w:r>
            <w:r>
              <w:rPr>
                <w:rFonts w:hint="default" w:ascii="Times New Roman" w:hAnsi="Times New Roman" w:eastAsia="宋体" w:cs="Times New Roman"/>
                <w:color w:val="000000" w:themeColor="text1"/>
                <w:sz w:val="24"/>
                <w:vertAlign w:val="superscript"/>
                <w14:textFill>
                  <w14:solidFill>
                    <w14:schemeClr w14:val="tx1"/>
                  </w14:solidFill>
                </w14:textFill>
              </w:rPr>
              <w:t>3</w:t>
            </w:r>
            <w:r>
              <w:rPr>
                <w:rFonts w:hint="default" w:ascii="Times New Roman" w:hAnsi="Times New Roman" w:eastAsia="宋体" w:cs="Times New Roman"/>
                <w:color w:val="000000" w:themeColor="text1"/>
                <w:sz w:val="24"/>
                <w14:textFill>
                  <w14:solidFill>
                    <w14:schemeClr w14:val="tx1"/>
                  </w14:solidFill>
                </w14:textFill>
              </w:rPr>
              <w:t>/s</w:t>
            </w:r>
          </w:p>
          <w:p w14:paraId="6E15F9A2">
            <w:pPr>
              <w:spacing w:line="360" w:lineRule="auto"/>
              <w:ind w:firstLine="240" w:firstLineChars="1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 xml:space="preserve">  因此外围截水沟满足行洪要求。</w:t>
            </w:r>
          </w:p>
          <w:p w14:paraId="3238A1F7">
            <w:pPr>
              <w:spacing w:line="360" w:lineRule="auto"/>
              <w:ind w:firstLine="424" w:firstLineChars="177"/>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修复回填区场内设置纵横雨水沟，导排场内雨水进入周边截水沟外排。在堆填体每层平台上修建雨水沟，沟断面300mm×400mm，坡度不小于0.01，堆填体边坡纵向设雨水沟，纵向坡面雨水沟间隔30m设一条，断面300mm×400mm。雨水沟导排至至周边截水沟，断面500mm×600mm，直接外排或收集于地下水收集池，用于场地养护浇灌。</w:t>
            </w:r>
          </w:p>
          <w:p w14:paraId="2450D5B7">
            <w:pPr>
              <w:ind w:firstLine="480"/>
              <w:rPr>
                <w:rFonts w:hint="default" w:ascii="Times New Roman" w:hAnsi="Times New Roman" w:eastAsia="宋体" w:cs="Times New Roman"/>
                <w:b/>
                <w:bCs/>
                <w:color w:val="000000" w:themeColor="text1"/>
                <w:lang w:eastAsia="zh-CN"/>
                <w14:textFill>
                  <w14:solidFill>
                    <w14:schemeClr w14:val="tx1"/>
                  </w14:solidFill>
                </w14:textFill>
              </w:rPr>
            </w:pPr>
            <w:r>
              <w:rPr>
                <w:rFonts w:hint="default" w:ascii="Times New Roman" w:hAnsi="Times New Roman" w:eastAsia="宋体" w:cs="Times New Roman"/>
                <w:b/>
                <w:bCs/>
                <w:color w:val="000000" w:themeColor="text1"/>
                <w:lang w:eastAsia="zh-CN"/>
                <w14:textFill>
                  <w14:solidFill>
                    <w14:schemeClr w14:val="tx1"/>
                  </w14:solidFill>
                </w14:textFill>
              </w:rPr>
              <w:t>（</w:t>
            </w:r>
            <w:r>
              <w:rPr>
                <w:rFonts w:hint="default" w:ascii="Times New Roman" w:hAnsi="Times New Roman" w:eastAsia="宋体" w:cs="Times New Roman"/>
                <w:b/>
                <w:bCs/>
                <w:color w:val="000000" w:themeColor="text1"/>
                <w:lang w:val="en-US" w:eastAsia="zh-CN"/>
                <w14:textFill>
                  <w14:solidFill>
                    <w14:schemeClr w14:val="tx1"/>
                  </w14:solidFill>
                </w14:textFill>
              </w:rPr>
              <w:t>10</w:t>
            </w:r>
            <w:r>
              <w:rPr>
                <w:rFonts w:hint="default" w:ascii="Times New Roman" w:hAnsi="Times New Roman" w:eastAsia="宋体" w:cs="Times New Roman"/>
                <w:b/>
                <w:bCs/>
                <w:color w:val="000000" w:themeColor="text1"/>
                <w:lang w:eastAsia="zh-CN"/>
                <w14:textFill>
                  <w14:solidFill>
                    <w14:schemeClr w14:val="tx1"/>
                  </w14:solidFill>
                </w14:textFill>
              </w:rPr>
              <w:t>）覆土植被生态修复工程</w:t>
            </w:r>
          </w:p>
          <w:p w14:paraId="7BFC65E4">
            <w:pPr>
              <w:snapToGrid w:val="0"/>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1）工程设计原则</w:t>
            </w:r>
          </w:p>
          <w:p w14:paraId="4230119D">
            <w:pPr>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（1）依据国家法律法规，生态修复治理要充分利用可生态修复的每一寸土地、严格按复垦标准进行工程设计，最大限度的弥补因项目建设造成的土地损毁。</w:t>
            </w:r>
          </w:p>
          <w:p w14:paraId="15A410AF">
            <w:pPr>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（2）生态修复治理尊重当地自然规律，适应当地气象、土壤条件，促进生态修复土地生态重建。</w:t>
            </w:r>
          </w:p>
          <w:p w14:paraId="5A5E5A94">
            <w:pPr>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（3）栽植树种的选择以当地乡土树种优先的原则，生态修复治理后土地的生态景观要与周边环境相容，需引入适宜品种。</w:t>
            </w:r>
          </w:p>
          <w:p w14:paraId="68F4AE34">
            <w:pPr>
              <w:snapToGrid w:val="0"/>
              <w:spacing w:line="360" w:lineRule="auto"/>
              <w:ind w:firstLine="482" w:firstLineChars="200"/>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2）工程设计体系</w:t>
            </w:r>
          </w:p>
          <w:p w14:paraId="24BC4E51">
            <w:pPr>
              <w:snapToGrid w:val="0"/>
              <w:spacing w:line="360" w:lineRule="auto"/>
              <w:ind w:firstLine="480" w:firstLineChars="20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确定的生态修复工程设计，以《云南省土地开发整理工程建设标准（试行）》、《矿山地质环境保护与恢复治理方案编制规范》为依据，对生态修复区损毁的土地进行工程设计，主要内容包括土壤重构工程、生物化学工程、植被恢复工程、监测管护工程等。</w:t>
            </w:r>
          </w:p>
          <w:p w14:paraId="5E2825DA">
            <w:pPr>
              <w:pStyle w:val="94"/>
              <w:spacing w:before="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立地条件</w:t>
            </w:r>
          </w:p>
          <w:p w14:paraId="0E75A752">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本次生态修复2#拦挡坝外坝坡及底部平缓区修复为果园，周边斜坡区恢复为乔木林地，回填区域堆填斜坡恢复为灌木林地。乔木林地采用乔灌草结合的方式进行植被重建，灌木林地采用灌草结合的方式进行植被重建，果园由当地村民进行果树栽种，生态修复为耕地的区域，进行覆土培肥，交由矿权人耕种。</w:t>
            </w:r>
          </w:p>
          <w:p w14:paraId="048103C4">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通过修复区地形地貌、土壤、植被的调查，研究分析了影响林木生长发育的各项因子，依据主导因子编制了立地类型。将修复区划分为阳坡立地类型。</w:t>
            </w:r>
          </w:p>
          <w:p w14:paraId="5484B7C5">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造林技术相关规程，坡度应分别以平坡（0-5°）、缓坡（6-15°）、斜坡（16-25°）、陡坡（26-35°）、急坡（36-45°）、险坡（46°以上）划分小班，并按小班考虑海拔、坡向、土壤类型、土层厚度等立地因子，分别种植乔木、灌木，混合撒播多种优质草籽，宜林则林，宜草则草，以达到全区全面绿化修复的效果。项目位于寻甸县江底镇</w:t>
            </w:r>
            <w:bookmarkStart w:id="40" w:name="_Hlk192692950"/>
            <w:r>
              <w:rPr>
                <w:rFonts w:hint="default" w:ascii="Times New Roman" w:hAnsi="Times New Roman" w:eastAsia="宋体" w:cs="Times New Roman"/>
                <w:color w:val="000000" w:themeColor="text1"/>
                <w:kern w:val="0"/>
                <w:sz w:val="24"/>
                <w14:textFill>
                  <w14:solidFill>
                    <w14:schemeClr w14:val="tx1"/>
                  </w14:solidFill>
                </w14:textFill>
              </w:rPr>
              <w:t>鸡场村委员会</w:t>
            </w:r>
            <w:bookmarkEnd w:id="40"/>
            <w:r>
              <w:rPr>
                <w:rFonts w:hint="default" w:ascii="Times New Roman" w:hAnsi="Times New Roman" w:eastAsia="宋体" w:cs="Times New Roman"/>
                <w:color w:val="000000" w:themeColor="text1"/>
                <w:sz w:val="24"/>
                <w14:textFill>
                  <w14:solidFill>
                    <w14:schemeClr w14:val="tx1"/>
                  </w14:solidFill>
                </w14:textFill>
              </w:rPr>
              <w:t>，本次设计修复面积42491.91m2（190.65亩）。可分为1林班2小班。</w:t>
            </w:r>
          </w:p>
          <w:p w14:paraId="2A4732C8">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生态修复区回填完成后，1小班为拦挡坝及周边斜坡区属于阳坡，坡度20°-30°，土壤为红壤土，土壤厚度60cm，土壤PH值为6.55-7.22，石砾含量1%。修复完成时地表无植被。2小班为回填区域堆填斜坡区域，坡度18°-22°，土壤为红壤土，土壤厚度为40cm阻隔支撑土层+60cm表土，土壤PH值为6.55-7.22，石砾含量1%。修复完成时地表无植被。</w:t>
            </w:r>
          </w:p>
          <w:p w14:paraId="22175674">
            <w:pPr>
              <w:pStyle w:val="94"/>
              <w:spacing w:before="0"/>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sz w:val="24"/>
                <w:szCs w:val="24"/>
                <w14:textFill>
                  <w14:solidFill>
                    <w14:schemeClr w14:val="tx1"/>
                  </w14:solidFill>
                </w14:textFill>
              </w:rPr>
              <w:t>植被选择</w:t>
            </w:r>
          </w:p>
          <w:p w14:paraId="07DE4693">
            <w:pPr>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fldChar w:fldCharType="begin"/>
            </w:r>
            <w:r>
              <w:rPr>
                <w:rFonts w:hint="default" w:ascii="Times New Roman" w:hAnsi="Times New Roman" w:eastAsia="宋体" w:cs="Times New Roman"/>
                <w:color w:val="000000" w:themeColor="text1"/>
                <w:sz w:val="24"/>
                <w14:textFill>
                  <w14:solidFill>
                    <w14:schemeClr w14:val="tx1"/>
                  </w14:solidFill>
                </w14:textFill>
              </w:rPr>
              <w:instrText xml:space="preserve"> = 1 \* GB3 </w:instrText>
            </w:r>
            <w:r>
              <w:rPr>
                <w:rFonts w:hint="default" w:ascii="Times New Roman" w:hAnsi="Times New Roman" w:eastAsia="宋体" w:cs="Times New Roman"/>
                <w:color w:val="000000" w:themeColor="text1"/>
                <w:sz w:val="24"/>
                <w14:textFill>
                  <w14:solidFill>
                    <w14:schemeClr w14:val="tx1"/>
                  </w14:solidFill>
                </w14:textFill>
              </w:rPr>
              <w:fldChar w:fldCharType="separate"/>
            </w:r>
            <w:r>
              <w:rPr>
                <w:rFonts w:hint="default" w:ascii="Times New Roman" w:hAnsi="Times New Roman" w:eastAsia="宋体" w:cs="Times New Roman"/>
                <w:color w:val="000000" w:themeColor="text1"/>
                <w:sz w:val="24"/>
                <w14:textFill>
                  <w14:solidFill>
                    <w14:schemeClr w14:val="tx1"/>
                  </w14:solidFill>
                </w14:textFill>
              </w:rPr>
              <w:t>①</w:t>
            </w:r>
            <w:r>
              <w:rPr>
                <w:rFonts w:hint="default" w:ascii="Times New Roman" w:hAnsi="Times New Roman" w:eastAsia="宋体" w:cs="Times New Roman"/>
                <w:color w:val="000000" w:themeColor="text1"/>
                <w:sz w:val="24"/>
                <w14:textFill>
                  <w14:solidFill>
                    <w14:schemeClr w14:val="tx1"/>
                  </w14:solidFill>
                </w14:textFill>
              </w:rPr>
              <w:fldChar w:fldCharType="end"/>
            </w:r>
            <w:r>
              <w:rPr>
                <w:rFonts w:hint="default" w:ascii="Times New Roman" w:hAnsi="Times New Roman" w:eastAsia="宋体" w:cs="Times New Roman"/>
                <w:color w:val="000000" w:themeColor="text1"/>
                <w:sz w:val="24"/>
                <w14:textFill>
                  <w14:solidFill>
                    <w14:schemeClr w14:val="tx1"/>
                  </w14:solidFill>
                </w14:textFill>
              </w:rPr>
              <w:t>绿化植物选择</w:t>
            </w:r>
          </w:p>
          <w:p w14:paraId="42DB8F80">
            <w:pPr>
              <w:spacing w:line="360" w:lineRule="auto"/>
              <w:ind w:firstLine="48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根据《云南主要造林树种》，本次生态修复，乔木选用圆柏、旱冬瓜，灌木选用车桑子、火棘，草种选用狗牙根、白三叶、黑麦草混播。</w:t>
            </w:r>
          </w:p>
          <w:p w14:paraId="5363BAAC">
            <w:pPr>
              <w:pStyle w:val="93"/>
              <w:spacing w:before="0"/>
              <w:ind w:firstLine="482"/>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3、林地清理和整地</w:t>
            </w:r>
          </w:p>
          <w:p w14:paraId="448C4985">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种植点采用穴状整地，覆土用人工整平、压实。人工造林乔木（圆柏、旱冬瓜）种植坑穴为50×50×50cm，灌木（火棘、车桑子）种植坑穴为30×30×30cm，草籽为直接撒播，整地时间一般应在造林前一个月。</w:t>
            </w:r>
          </w:p>
          <w:p w14:paraId="27136B82">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①种植穴规格：乔木树穴规格均为长×宽×深（50×50×50cm）；灌木树穴规格均为长×宽×深（30×30×30cm）；</w:t>
            </w:r>
          </w:p>
          <w:p w14:paraId="042C40AA">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②栽植时间：在各区土方工程完成后进行。</w:t>
            </w:r>
          </w:p>
          <w:p w14:paraId="3B55ADD6">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③造林密度：</w:t>
            </w:r>
          </w:p>
          <w:p w14:paraId="1483E714">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乔木：167株/亩，株间距2m×2m。</w:t>
            </w:r>
          </w:p>
          <w:p w14:paraId="00E18CD1">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灌木：333株/亩，株间距2m×1m。</w:t>
            </w:r>
          </w:p>
          <w:p w14:paraId="6588A9FD">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草种：65kg/hm</w:t>
            </w:r>
            <w:r>
              <w:rPr>
                <w:rFonts w:hint="default" w:ascii="Times New Roman" w:hAnsi="Times New Roman" w:eastAsia="宋体" w:cs="Times New Roman"/>
                <w:color w:val="000000" w:themeColor="text1"/>
                <w:sz w:val="24"/>
                <w:vertAlign w:val="superscript"/>
                <w14:textFill>
                  <w14:solidFill>
                    <w14:schemeClr w14:val="tx1"/>
                  </w14:solidFill>
                </w14:textFill>
              </w:rPr>
              <w:t>2</w:t>
            </w:r>
            <w:r>
              <w:rPr>
                <w:rFonts w:hint="default" w:ascii="Times New Roman" w:hAnsi="Times New Roman" w:eastAsia="宋体" w:cs="Times New Roman"/>
                <w:color w:val="000000" w:themeColor="text1"/>
                <w:sz w:val="24"/>
                <w14:textFill>
                  <w14:solidFill>
                    <w14:schemeClr w14:val="tx1"/>
                  </w14:solidFill>
                </w14:textFill>
              </w:rPr>
              <w:t>。</w:t>
            </w:r>
          </w:p>
          <w:p w14:paraId="2BFD9D27">
            <w:pPr>
              <w:pStyle w:val="93"/>
              <w:spacing w:before="0"/>
              <w:ind w:firstLine="482"/>
              <w:rPr>
                <w:rFonts w:hint="default" w:ascii="Times New Roman" w:hAnsi="Times New Roman" w:eastAsia="宋体" w:cs="Times New Roman"/>
                <w:b/>
                <w:bCs/>
                <w:color w:val="000000" w:themeColor="text1"/>
                <w:sz w:val="24"/>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4、苗木要求</w:t>
            </w:r>
          </w:p>
          <w:p w14:paraId="487BD0F6">
            <w:pPr>
              <w:pStyle w:val="93"/>
              <w:spacing w:before="0"/>
              <w:rPr>
                <w:rFonts w:hint="default" w:ascii="Times New Roman" w:hAnsi="Times New Roman" w:eastAsia="宋体" w:cs="Times New Roman"/>
                <w:color w:val="000000" w:themeColor="text1"/>
                <w:sz w:val="24"/>
                <w14:textFill>
                  <w14:solidFill>
                    <w14:schemeClr w14:val="tx1"/>
                  </w14:solidFill>
                </w14:textFill>
              </w:rPr>
            </w:pPr>
            <w:r>
              <w:rPr>
                <w:rFonts w:hint="default" w:ascii="Times New Roman" w:hAnsi="Times New Roman" w:eastAsia="宋体" w:cs="Times New Roman"/>
                <w:color w:val="000000" w:themeColor="text1"/>
                <w:sz w:val="24"/>
                <w14:textFill>
                  <w14:solidFill>
                    <w14:schemeClr w14:val="tx1"/>
                  </w14:solidFill>
                </w14:textFill>
              </w:rPr>
              <w:t>（1）苗木规格</w:t>
            </w:r>
          </w:p>
          <w:p w14:paraId="595C4774">
            <w:pPr>
              <w:adjustRightInd w:val="0"/>
              <w:snapToGrid w:val="0"/>
              <w:ind w:firstLine="482"/>
              <w:rPr>
                <w:b/>
                <w:bCs/>
                <w:kern w:val="0"/>
                <w:lang w:bidi="ar"/>
              </w:rPr>
            </w:pPr>
            <w:r>
              <w:rPr>
                <w:rFonts w:hint="eastAsia" w:ascii="宋体" w:hAnsi="宋体"/>
                <w:sz w:val="24"/>
              </w:rPr>
              <w:t>苗种是造林的物质基础，良种壮苗是提高造林成活率的重要条件。本次修复工作使用的圆柏、旱冬瓜、火棘、车桑子要求苗木应尽量采用Ⅰ级中、大苗，要求根系完整、发达、生长健壮、无病虫害、无机械损伤的优质壮苗。同时避免长距离调苗。草籽需到专业部门购进。禁止使用带有森林病虫害检疫对象的种子、苗木。</w:t>
            </w:r>
          </w:p>
          <w:p w14:paraId="26D9075A">
            <w:pPr>
              <w:adjustRightInd w:val="0"/>
              <w:snapToGrid w:val="0"/>
              <w:ind w:firstLine="482"/>
              <w:rPr>
                <w:b/>
                <w:bCs/>
                <w:kern w:val="0"/>
                <w:lang w:bidi="ar"/>
              </w:rPr>
            </w:pPr>
            <w:r>
              <w:rPr>
                <w:b/>
                <w:bCs/>
                <w:kern w:val="0"/>
                <w:lang w:bidi="ar"/>
              </w:rPr>
              <w:t>（</w:t>
            </w:r>
            <w:r>
              <w:rPr>
                <w:rFonts w:hint="eastAsia"/>
                <w:b/>
                <w:bCs/>
                <w:kern w:val="0"/>
                <w:lang w:val="en-US" w:eastAsia="zh-CN" w:bidi="ar"/>
              </w:rPr>
              <w:t>11</w:t>
            </w:r>
            <w:r>
              <w:rPr>
                <w:b/>
                <w:bCs/>
                <w:kern w:val="0"/>
                <w:lang w:bidi="ar"/>
              </w:rPr>
              <w:t>）环保工程</w:t>
            </w:r>
          </w:p>
          <w:p w14:paraId="078822BC">
            <w:pPr>
              <w:adjustRightInd w:val="0"/>
              <w:snapToGrid w:val="0"/>
              <w:ind w:firstLine="480"/>
              <w:rPr>
                <w:kern w:val="0"/>
                <w:lang w:bidi="ar"/>
              </w:rPr>
            </w:pPr>
            <w:r>
              <w:rPr>
                <w:kern w:val="0"/>
                <w:szCs w:val="21"/>
              </w:rPr>
              <w:t>1</w:t>
            </w:r>
            <w:r>
              <w:rPr>
                <w:kern w:val="0"/>
                <w:lang w:bidi="ar"/>
              </w:rPr>
              <w:t>）废气</w:t>
            </w:r>
          </w:p>
          <w:p w14:paraId="45EDA798">
            <w:pPr>
              <w:adjustRightInd w:val="0"/>
              <w:snapToGrid w:val="0"/>
              <w:ind w:firstLine="480"/>
              <w:rPr>
                <w:kern w:val="0"/>
                <w:lang w:bidi="ar"/>
              </w:rPr>
            </w:pPr>
            <w:r>
              <w:rPr>
                <w:kern w:val="0"/>
                <w:lang w:bidi="ar"/>
              </w:rPr>
              <w:t>项目配备一辆洒水车，对修复区施工面进行洒水降尘，运输车辆须以篷布遮盖，密闭运输，并注意控制车速。</w:t>
            </w:r>
          </w:p>
          <w:p w14:paraId="223FDD8D">
            <w:pPr>
              <w:adjustRightInd w:val="0"/>
              <w:snapToGrid w:val="0"/>
              <w:ind w:firstLine="480"/>
              <w:rPr>
                <w:kern w:val="0"/>
                <w:lang w:bidi="ar"/>
              </w:rPr>
            </w:pPr>
            <w:r>
              <w:rPr>
                <w:kern w:val="0"/>
                <w:lang w:bidi="ar"/>
              </w:rPr>
              <w:t>2）废水</w:t>
            </w:r>
          </w:p>
          <w:p w14:paraId="087251F0">
            <w:pPr>
              <w:adjustRightInd w:val="0"/>
              <w:snapToGrid w:val="0"/>
              <w:ind w:firstLine="480"/>
              <w:rPr>
                <w:kern w:val="0"/>
                <w:lang w:bidi="ar"/>
              </w:rPr>
            </w:pPr>
            <w:r>
              <w:rPr>
                <w:kern w:val="0"/>
                <w:lang w:bidi="ar"/>
              </w:rPr>
              <w:t>①设置1个容积为3m³的临时沉淀池，并配套车辆高压冲洗装置，位于项目区进出口处，对运输车辆进行冲洗，冲洗废水经沉淀池沉淀后回用于场地洒水降尘。</w:t>
            </w:r>
          </w:p>
          <w:p w14:paraId="52914F55">
            <w:pPr>
              <w:adjustRightInd w:val="0"/>
              <w:snapToGrid w:val="0"/>
              <w:ind w:firstLine="480"/>
              <w:rPr>
                <w:kern w:val="0"/>
                <w:lang w:bidi="ar"/>
              </w:rPr>
            </w:pPr>
            <w:r>
              <w:rPr>
                <w:kern w:val="0"/>
                <w:lang w:bidi="ar"/>
              </w:rPr>
              <w:t>②设置一个渗滤液收集井，用于收集产生的渗滤液。</w:t>
            </w:r>
          </w:p>
          <w:p w14:paraId="5FA80555">
            <w:pPr>
              <w:adjustRightInd w:val="0"/>
              <w:snapToGrid w:val="0"/>
              <w:ind w:firstLine="480"/>
              <w:rPr>
                <w:kern w:val="0"/>
                <w:lang w:bidi="ar"/>
              </w:rPr>
            </w:pPr>
            <w:r>
              <w:rPr>
                <w:kern w:val="0"/>
                <w:lang w:bidi="ar"/>
              </w:rPr>
              <w:t>3）噪声</w:t>
            </w:r>
          </w:p>
          <w:p w14:paraId="1D08D1D8">
            <w:pPr>
              <w:adjustRightInd w:val="0"/>
              <w:snapToGrid w:val="0"/>
              <w:ind w:firstLine="480"/>
              <w:rPr>
                <w:kern w:val="0"/>
                <w:lang w:bidi="ar"/>
              </w:rPr>
            </w:pPr>
            <w:r>
              <w:rPr>
                <w:kern w:val="0"/>
                <w:lang w:bidi="ar"/>
              </w:rPr>
              <w:t>选用低噪设备、合理布局、合理施工、加强设备维护。</w:t>
            </w:r>
          </w:p>
          <w:p w14:paraId="4D95B9DF">
            <w:pPr>
              <w:adjustRightInd w:val="0"/>
              <w:snapToGrid w:val="0"/>
              <w:ind w:firstLine="480"/>
              <w:rPr>
                <w:kern w:val="0"/>
                <w:lang w:bidi="ar"/>
              </w:rPr>
            </w:pPr>
            <w:r>
              <w:rPr>
                <w:kern w:val="0"/>
                <w:lang w:bidi="ar"/>
              </w:rPr>
              <w:t>4）固体废物</w:t>
            </w:r>
          </w:p>
          <w:p w14:paraId="25C7C704">
            <w:pPr>
              <w:adjustRightInd w:val="0"/>
              <w:snapToGrid w:val="0"/>
              <w:ind w:firstLine="480"/>
              <w:rPr>
                <w:kern w:val="0"/>
                <w:lang w:bidi="ar"/>
              </w:rPr>
            </w:pPr>
            <w:r>
              <w:rPr>
                <w:kern w:val="0"/>
                <w:lang w:bidi="ar"/>
              </w:rPr>
              <w:t>①生活垃圾：施工期生活垃圾集中收集后清运至就近村庄生活垃圾收集点堆存，由环卫部门清运处置。</w:t>
            </w:r>
          </w:p>
          <w:p w14:paraId="5ED56337">
            <w:pPr>
              <w:adjustRightInd w:val="0"/>
              <w:snapToGrid w:val="0"/>
              <w:ind w:firstLine="480"/>
              <w:rPr>
                <w:rFonts w:hint="eastAsia"/>
                <w:kern w:val="0"/>
                <w:lang w:val="en-US" w:eastAsia="zh-CN" w:bidi="ar"/>
              </w:rPr>
            </w:pPr>
            <w:r>
              <w:rPr>
                <w:kern w:val="0"/>
                <w:lang w:bidi="ar"/>
              </w:rPr>
              <w:t>②旱厕粪便：旱厕粪便</w:t>
            </w:r>
            <w:r>
              <w:rPr>
                <w:rFonts w:hint="eastAsia"/>
                <w:kern w:val="0"/>
                <w:lang w:val="en-US" w:eastAsia="zh-CN" w:bidi="ar"/>
              </w:rPr>
              <w:t>定期清掏肥田。</w:t>
            </w:r>
          </w:p>
          <w:p w14:paraId="02C141C4">
            <w:pPr>
              <w:adjustRightInd w:val="0"/>
              <w:snapToGrid w:val="0"/>
              <w:ind w:firstLine="480"/>
              <w:rPr>
                <w:kern w:val="0"/>
                <w:lang w:bidi="ar"/>
              </w:rPr>
            </w:pPr>
            <w:r>
              <w:rPr>
                <w:kern w:val="0"/>
                <w:lang w:bidi="ar"/>
              </w:rPr>
              <w:t>③场地清理土石方及拆除构筑物固体废物：施工期场地清理及边坡整治产生的土石方用于场地平整回填，</w:t>
            </w:r>
            <w:r>
              <w:t>拆除工程产生的建筑垃圾清运至政府指定地点进行处置</w:t>
            </w:r>
            <w:r>
              <w:rPr>
                <w:kern w:val="0"/>
                <w:lang w:bidi="ar"/>
              </w:rPr>
              <w:t>。</w:t>
            </w:r>
          </w:p>
          <w:p w14:paraId="66A022E5">
            <w:pPr>
              <w:adjustRightInd w:val="0"/>
              <w:snapToGrid w:val="0"/>
              <w:ind w:firstLine="482"/>
              <w:rPr>
                <w:b/>
                <w:bCs/>
                <w:kern w:val="0"/>
              </w:rPr>
            </w:pPr>
            <w:r>
              <w:rPr>
                <w:b/>
                <w:bCs/>
                <w:kern w:val="0"/>
              </w:rPr>
              <w:t>（</w:t>
            </w:r>
            <w:r>
              <w:rPr>
                <w:rFonts w:hint="eastAsia"/>
                <w:b/>
                <w:bCs/>
                <w:kern w:val="0"/>
                <w:lang w:val="en-US" w:eastAsia="zh-CN"/>
              </w:rPr>
              <w:t>12</w:t>
            </w:r>
            <w:r>
              <w:rPr>
                <w:b/>
                <w:bCs/>
                <w:kern w:val="0"/>
              </w:rPr>
              <w:t>）项目区防渗及地下水监测工程</w:t>
            </w:r>
          </w:p>
          <w:p w14:paraId="0E2B8D08">
            <w:pPr>
              <w:snapToGrid w:val="0"/>
              <w:spacing w:line="360" w:lineRule="auto"/>
              <w:ind w:right="-1" w:firstLine="480" w:firstLineChars="200"/>
              <w:rPr>
                <w:rFonts w:ascii="宋体" w:hAnsi="宋体"/>
                <w:kern w:val="0"/>
                <w:sz w:val="24"/>
              </w:rPr>
            </w:pPr>
            <w:r>
              <w:rPr>
                <w:rFonts w:ascii="宋体" w:hAnsi="宋体"/>
                <w:kern w:val="0"/>
                <w:sz w:val="24"/>
              </w:rPr>
              <w:t>根据区内项目分布及生态修复实施情况，确定项目重点监测堆填体边坡稳定情况监测。根据矿山主要工程设施、存在的主要地质环境问题及治理工程的分布情况，共设置</w:t>
            </w:r>
            <w:r>
              <w:rPr>
                <w:rFonts w:hint="eastAsia" w:ascii="宋体" w:hAnsi="宋体"/>
                <w:kern w:val="0"/>
                <w:sz w:val="24"/>
              </w:rPr>
              <w:t>20</w:t>
            </w:r>
            <w:r>
              <w:rPr>
                <w:rFonts w:ascii="宋体" w:hAnsi="宋体"/>
                <w:kern w:val="0"/>
                <w:sz w:val="24"/>
              </w:rPr>
              <w:t>个堆填体边坡变形监测点，</w:t>
            </w:r>
            <w:r>
              <w:rPr>
                <w:rFonts w:hint="eastAsia" w:ascii="宋体" w:hAnsi="宋体"/>
                <w:kern w:val="0"/>
                <w:sz w:val="24"/>
              </w:rPr>
              <w:t>12</w:t>
            </w:r>
            <w:r>
              <w:rPr>
                <w:rFonts w:ascii="宋体" w:hAnsi="宋体"/>
                <w:kern w:val="0"/>
                <w:sz w:val="24"/>
              </w:rPr>
              <w:t>个位移监测基准点。</w:t>
            </w:r>
          </w:p>
          <w:p w14:paraId="603E78F1">
            <w:pPr>
              <w:adjustRightInd w:val="0"/>
              <w:snapToGrid w:val="0"/>
              <w:ind w:firstLine="482"/>
              <w:rPr>
                <w:rFonts w:hint="default" w:ascii="Times New Roman" w:hAnsi="Times New Roman" w:cs="Times New Roman"/>
                <w:b/>
                <w:bCs/>
                <w:kern w:val="0"/>
              </w:rPr>
            </w:pPr>
            <w:r>
              <w:rPr>
                <w:rFonts w:hint="default" w:ascii="Times New Roman" w:hAnsi="Times New Roman" w:cs="Times New Roman"/>
                <w:kern w:val="0"/>
                <w:sz w:val="24"/>
              </w:rPr>
              <w:t>边坡稳定性监测点：寻甸县鸡街镇大旋塘北部露天采场布置于堆填体边坡标高2097m、标高2117m、标高2137m和标高2147m各2个，大旋塘南部采石场露天采场布置于堆填体边坡标高2096m、标高2116m、标高2136m和标高2151m各2个，监测堆填体边坡稳定性情况。位移监测基准点布置于场地周边稳固处，作为位移变形监测的基准点。</w:t>
            </w:r>
          </w:p>
          <w:p w14:paraId="4DDE64D9">
            <w:pPr>
              <w:adjustRightInd w:val="0"/>
              <w:snapToGrid w:val="0"/>
              <w:ind w:firstLine="482"/>
              <w:rPr>
                <w:b/>
                <w:bCs/>
                <w:kern w:val="0"/>
              </w:rPr>
            </w:pPr>
            <w:r>
              <w:rPr>
                <w:b/>
                <w:bCs/>
                <w:kern w:val="0"/>
              </w:rPr>
              <w:t>（</w:t>
            </w:r>
            <w:r>
              <w:rPr>
                <w:rFonts w:hint="eastAsia"/>
                <w:b/>
                <w:bCs/>
                <w:kern w:val="0"/>
                <w:lang w:val="en-US" w:eastAsia="zh-CN"/>
              </w:rPr>
              <w:t>13</w:t>
            </w:r>
            <w:r>
              <w:rPr>
                <w:b/>
                <w:bCs/>
                <w:kern w:val="0"/>
              </w:rPr>
              <w:t>）地下水监控工程</w:t>
            </w:r>
          </w:p>
          <w:p w14:paraId="5A00FCB6">
            <w:pPr>
              <w:snapToGrid w:val="0"/>
              <w:spacing w:line="360" w:lineRule="auto"/>
              <w:ind w:right="-1" w:firstLine="480" w:firstLineChars="200"/>
              <w:rPr>
                <w:rFonts w:ascii="宋体" w:hAnsi="宋体"/>
                <w:kern w:val="0"/>
                <w:sz w:val="24"/>
              </w:rPr>
            </w:pPr>
            <w:r>
              <w:rPr>
                <w:rFonts w:ascii="宋体" w:hAnsi="宋体"/>
                <w:kern w:val="0"/>
                <w:sz w:val="24"/>
              </w:rPr>
              <w:t>建立回填区地下水环境监控体系，包括建立地下水污染监控制度和环境管理体系，以便及时发现问题，及时采取预防措施。根据《改性磷石膏用于矿山废弃地生态修复回填技术规范</w:t>
            </w:r>
            <w:r>
              <w:rPr>
                <w:rFonts w:hint="default" w:ascii="Times New Roman" w:hAnsi="Times New Roman" w:cs="Times New Roman"/>
                <w:kern w:val="0"/>
                <w:sz w:val="24"/>
              </w:rPr>
              <w:t>》（DB53T/1269-2024）要求，结合项目实际水文地质调查情况，项目设置</w:t>
            </w:r>
            <w:r>
              <w:rPr>
                <w:rFonts w:hint="default" w:ascii="Times New Roman" w:hAnsi="Times New Roman" w:cs="Times New Roman"/>
                <w:kern w:val="0"/>
                <w:sz w:val="24"/>
                <w:lang w:val="en-US" w:eastAsia="zh-CN"/>
              </w:rPr>
              <w:t>7</w:t>
            </w:r>
            <w:r>
              <w:rPr>
                <w:rFonts w:hint="default" w:ascii="Times New Roman" w:hAnsi="Times New Roman" w:cs="Times New Roman"/>
                <w:kern w:val="0"/>
                <w:sz w:val="24"/>
              </w:rPr>
              <w:t>个地下水跟踪监测井。</w:t>
            </w:r>
          </w:p>
          <w:p w14:paraId="09B7E284">
            <w:pPr>
              <w:snapToGrid w:val="0"/>
              <w:spacing w:line="360" w:lineRule="auto"/>
              <w:ind w:right="-1" w:firstLine="480" w:firstLineChars="200"/>
              <w:rPr>
                <w:rFonts w:ascii="宋体" w:hAnsi="宋体"/>
                <w:kern w:val="0"/>
                <w:sz w:val="24"/>
              </w:rPr>
            </w:pPr>
            <w:r>
              <w:rPr>
                <w:rFonts w:ascii="宋体" w:hAnsi="宋体"/>
                <w:kern w:val="0"/>
                <w:sz w:val="24"/>
              </w:rPr>
              <w:t>1、定期对渗滤液进行监测，记录水质情况，直到连续2年不超出地下水本底水平。</w:t>
            </w:r>
          </w:p>
          <w:p w14:paraId="4569CD76">
            <w:pPr>
              <w:snapToGrid w:val="0"/>
              <w:spacing w:line="360" w:lineRule="auto"/>
              <w:ind w:right="-1" w:firstLine="480" w:firstLineChars="200"/>
              <w:rPr>
                <w:rFonts w:ascii="宋体" w:hAnsi="宋体"/>
                <w:kern w:val="0"/>
                <w:sz w:val="24"/>
                <w:szCs w:val="24"/>
              </w:rPr>
            </w:pPr>
            <w:r>
              <w:rPr>
                <w:rFonts w:ascii="宋体" w:hAnsi="宋体"/>
                <w:kern w:val="0"/>
                <w:sz w:val="24"/>
                <w:szCs w:val="24"/>
              </w:rPr>
              <w:t>2、</w:t>
            </w:r>
            <w:r>
              <w:rPr>
                <w:rFonts w:hint="default" w:ascii="Times New Roman" w:hAnsi="Times New Roman" w:eastAsia="宋体" w:cs="Times New Roman"/>
                <w:color w:val="000000" w:themeColor="text1"/>
                <w:kern w:val="0"/>
                <w:sz w:val="24"/>
                <w:szCs w:val="24"/>
                <w:highlight w:val="none"/>
                <w:lang w:bidi="ar"/>
                <w14:textFill>
                  <w14:solidFill>
                    <w14:schemeClr w14:val="tx1"/>
                  </w14:solidFill>
                </w14:textFill>
              </w:rPr>
              <w:t>结合项目实际水文地质调查情况，</w:t>
            </w:r>
            <w:r>
              <w:rPr>
                <w:rFonts w:hint="eastAsia"/>
                <w:color w:val="000000" w:themeColor="text1"/>
                <w:sz w:val="24"/>
                <w:szCs w:val="24"/>
                <w:highlight w:val="none"/>
                <w:lang w:val="en-US" w:eastAsia="zh-CN"/>
                <w14:textFill>
                  <w14:solidFill>
                    <w14:schemeClr w14:val="tx1"/>
                  </w14:solidFill>
                </w14:textFill>
              </w:rPr>
              <w:t>设置7个地下水水质监测井，其中上游1个，垂直于地下水主径流方向分别布设3个水质监测井，代表矿坑测游污染扩散井，下游布设1个水质监测井，新石桥村设置2口监控井。</w:t>
            </w:r>
            <w:r>
              <w:rPr>
                <w:rFonts w:ascii="宋体" w:hAnsi="宋体"/>
                <w:kern w:val="0"/>
                <w:sz w:val="24"/>
                <w:szCs w:val="24"/>
              </w:rPr>
              <w:t>生态修复覆土绿化完成后，监测频次至少每半年1次</w:t>
            </w:r>
            <w:r>
              <w:rPr>
                <w:rFonts w:hint="default" w:ascii="Times New Roman" w:hAnsi="Times New Roman" w:cs="Times New Roman"/>
                <w:kern w:val="0"/>
                <w:sz w:val="24"/>
                <w:szCs w:val="24"/>
              </w:rPr>
              <w:t>，直到地下水水质连续2年</w:t>
            </w:r>
            <w:bookmarkStart w:id="41" w:name="_Hlk201047161"/>
            <w:r>
              <w:rPr>
                <w:rFonts w:hint="default" w:ascii="Times New Roman" w:hAnsi="Times New Roman" w:cs="Times New Roman"/>
                <w:kern w:val="0"/>
                <w:sz w:val="24"/>
                <w:szCs w:val="24"/>
              </w:rPr>
              <w:t>不超出地下水本底水平。</w:t>
            </w:r>
            <w:bookmarkEnd w:id="41"/>
          </w:p>
          <w:p w14:paraId="59702156">
            <w:pPr>
              <w:snapToGrid w:val="0"/>
              <w:spacing w:line="360" w:lineRule="auto"/>
              <w:ind w:right="-1" w:firstLine="480" w:firstLineChars="200"/>
              <w:rPr>
                <w:rFonts w:ascii="宋体" w:hAnsi="宋体"/>
                <w:kern w:val="0"/>
                <w:sz w:val="24"/>
              </w:rPr>
            </w:pPr>
            <w:r>
              <w:rPr>
                <w:rFonts w:ascii="宋体" w:hAnsi="宋体"/>
                <w:kern w:val="0"/>
                <w:sz w:val="24"/>
              </w:rPr>
              <w:t>3、通过地下水监控井和生态修复回填场防渗膜底部地下水导排管对地下水和防渗效果进行监控，防止地下水污染，监测资料存档，便于长时间观测生态修复区下游水质变化情况，一旦发现监控井中水质出现异常，及时上报主管部门。</w:t>
            </w:r>
          </w:p>
          <w:p w14:paraId="791368C7">
            <w:pPr>
              <w:keepNext w:val="0"/>
              <w:keepLines w:val="0"/>
              <w:pageBreakBefore w:val="0"/>
              <w:widowControl w:val="0"/>
              <w:kinsoku/>
              <w:wordWrap/>
              <w:overflowPunct/>
              <w:topLinePunct w:val="0"/>
              <w:autoSpaceDE/>
              <w:autoSpaceDN/>
              <w:bidi w:val="0"/>
              <w:adjustRightInd/>
              <w:snapToGrid w:val="0"/>
              <w:spacing w:line="240" w:lineRule="auto"/>
              <w:ind w:right="0" w:firstLine="482" w:firstLineChars="200"/>
              <w:jc w:val="center"/>
              <w:textAlignment w:val="auto"/>
              <w:rPr>
                <w:rFonts w:hint="default" w:ascii="Times New Roman" w:hAnsi="Times New Roman" w:cs="Times New Roman"/>
                <w:b/>
                <w:bCs/>
                <w:kern w:val="0"/>
                <w:sz w:val="24"/>
              </w:rPr>
            </w:pPr>
            <w:r>
              <w:rPr>
                <w:rFonts w:hint="default" w:ascii="Times New Roman" w:hAnsi="Times New Roman" w:cs="Times New Roman"/>
                <w:b/>
                <w:bCs/>
                <w:kern w:val="0"/>
                <w:sz w:val="24"/>
              </w:rPr>
              <w:t>表</w:t>
            </w:r>
            <w:r>
              <w:rPr>
                <w:rFonts w:hint="eastAsia" w:cs="Times New Roman"/>
                <w:b/>
                <w:bCs/>
                <w:kern w:val="0"/>
                <w:sz w:val="24"/>
                <w:lang w:val="en-US" w:eastAsia="zh-CN"/>
              </w:rPr>
              <w:t>2-4</w:t>
            </w:r>
            <w:r>
              <w:rPr>
                <w:rFonts w:hint="default" w:ascii="Times New Roman" w:hAnsi="Times New Roman" w:cs="Times New Roman"/>
                <w:b/>
                <w:bCs/>
                <w:kern w:val="0"/>
                <w:sz w:val="24"/>
              </w:rPr>
              <w:t xml:space="preserve">  地下水跟踪监测井建设要求</w:t>
            </w:r>
          </w:p>
          <w:tbl>
            <w:tblPr>
              <w:tblStyle w:val="40"/>
              <w:tblW w:w="50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098"/>
              <w:gridCol w:w="3307"/>
            </w:tblGrid>
            <w:tr w14:paraId="5C11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jc w:val="center"/>
              </w:trPr>
              <w:tc>
                <w:tcPr>
                  <w:tcW w:w="6049" w:type="dxa"/>
                  <w:shd w:val="clear" w:color="auto" w:fill="auto"/>
                  <w:vAlign w:val="center"/>
                </w:tcPr>
                <w:p w14:paraId="31A9FCBD">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ascii="宋体" w:hAnsi="宋体"/>
                      <w:b/>
                      <w:bCs/>
                      <w:kern w:val="0"/>
                      <w:sz w:val="21"/>
                      <w:szCs w:val="21"/>
                    </w:rPr>
                  </w:pPr>
                  <w:r>
                    <w:rPr>
                      <w:rFonts w:ascii="宋体" w:hAnsi="宋体"/>
                      <w:b/>
                      <w:bCs/>
                      <w:kern w:val="0"/>
                      <w:sz w:val="21"/>
                      <w:szCs w:val="21"/>
                    </w:rPr>
                    <w:t>建井要求</w:t>
                  </w:r>
                </w:p>
              </w:tc>
              <w:tc>
                <w:tcPr>
                  <w:tcW w:w="3281" w:type="dxa"/>
                  <w:shd w:val="clear" w:color="auto" w:fill="auto"/>
                  <w:vAlign w:val="center"/>
                </w:tcPr>
                <w:p w14:paraId="42019980">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jc w:val="center"/>
                    <w:textAlignment w:val="auto"/>
                    <w:rPr>
                      <w:rFonts w:ascii="宋体" w:hAnsi="宋体"/>
                      <w:b/>
                      <w:bCs/>
                      <w:kern w:val="0"/>
                      <w:sz w:val="21"/>
                      <w:szCs w:val="21"/>
                    </w:rPr>
                  </w:pPr>
                  <w:r>
                    <w:rPr>
                      <w:rFonts w:ascii="宋体" w:hAnsi="宋体"/>
                      <w:b/>
                      <w:bCs/>
                      <w:kern w:val="0"/>
                      <w:sz w:val="21"/>
                      <w:szCs w:val="21"/>
                    </w:rPr>
                    <w:t>监测井设置参考</w:t>
                  </w:r>
                </w:p>
              </w:tc>
            </w:tr>
            <w:tr w14:paraId="3746B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03" w:hRule="atLeast"/>
                <w:jc w:val="center"/>
              </w:trPr>
              <w:tc>
                <w:tcPr>
                  <w:tcW w:w="6049" w:type="dxa"/>
                  <w:shd w:val="clear" w:color="auto" w:fill="auto"/>
                  <w:vAlign w:val="center"/>
                </w:tcPr>
                <w:p w14:paraId="7CB339E9">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①监测井井管使用PVC管材（纯PVC无其他添加成分，厚度为4～6mm）。</w:t>
                  </w:r>
                </w:p>
                <w:p w14:paraId="1BF4A14E">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②监测井管应采用螺纹接口，不得使用任何粘接剂。滤水管段应使用120目钢丝网包缠，采用封口条固定。</w:t>
                  </w:r>
                </w:p>
                <w:p w14:paraId="6B731417">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③井口保护套管应为不锈钢材质。</w:t>
                  </w:r>
                </w:p>
                <w:p w14:paraId="66682F1B">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textAlignment w:val="auto"/>
                    <w:rPr>
                      <w:rFonts w:hint="default" w:ascii="Times New Roman" w:hAnsi="Times New Roman" w:cs="Times New Roman"/>
                      <w:kern w:val="0"/>
                      <w:sz w:val="21"/>
                      <w:szCs w:val="21"/>
                    </w:rPr>
                  </w:pPr>
                  <w:r>
                    <w:rPr>
                      <w:rFonts w:hint="default" w:ascii="Times New Roman" w:hAnsi="Times New Roman" w:cs="Times New Roman"/>
                      <w:kern w:val="0"/>
                      <w:sz w:val="21"/>
                      <w:szCs w:val="21"/>
                    </w:rPr>
                    <w:t>④监测井过滤材料采用分级（均匀系数在1.5～2.0之间）石英砂作为过滤层滤料。过滤材料使用前应进行冲洗，在钻井场地存储时应确保不与污染物接触并防止外部杂质混入。</w:t>
                  </w:r>
                </w:p>
                <w:p w14:paraId="1B0061E8">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textAlignment w:val="auto"/>
                    <w:rPr>
                      <w:rFonts w:ascii="宋体" w:hAnsi="宋体"/>
                      <w:kern w:val="0"/>
                      <w:sz w:val="21"/>
                      <w:szCs w:val="21"/>
                    </w:rPr>
                  </w:pPr>
                  <w:r>
                    <w:rPr>
                      <w:rFonts w:hint="default" w:ascii="Times New Roman" w:hAnsi="Times New Roman" w:cs="Times New Roman"/>
                      <w:kern w:val="0"/>
                      <w:sz w:val="21"/>
                      <w:szCs w:val="21"/>
                    </w:rPr>
                    <w:t>⑤过滤层上下部环状间隙应用止水材料进行封隔，为膨润土和水泥。</w:t>
                  </w:r>
                </w:p>
              </w:tc>
              <w:tc>
                <w:tcPr>
                  <w:tcW w:w="3281" w:type="dxa"/>
                  <w:shd w:val="clear" w:color="auto" w:fill="auto"/>
                  <w:vAlign w:val="center"/>
                </w:tcPr>
                <w:p w14:paraId="33E739CB">
                  <w:pPr>
                    <w:keepNext w:val="0"/>
                    <w:keepLines w:val="0"/>
                    <w:pageBreakBefore w:val="0"/>
                    <w:widowControl w:val="0"/>
                    <w:kinsoku/>
                    <w:wordWrap/>
                    <w:overflowPunct/>
                    <w:topLinePunct w:val="0"/>
                    <w:autoSpaceDE/>
                    <w:autoSpaceDN/>
                    <w:bidi w:val="0"/>
                    <w:adjustRightInd w:val="0"/>
                    <w:snapToGrid w:val="0"/>
                    <w:spacing w:line="240" w:lineRule="auto"/>
                    <w:ind w:right="0" w:firstLine="0" w:firstLineChars="0"/>
                    <w:textAlignment w:val="auto"/>
                    <w:rPr>
                      <w:rFonts w:ascii="宋体" w:hAnsi="宋体"/>
                      <w:kern w:val="0"/>
                      <w:sz w:val="21"/>
                      <w:szCs w:val="21"/>
                    </w:rPr>
                  </w:pPr>
                  <w:r>
                    <w:rPr>
                      <w:rFonts w:ascii="宋体" w:hAnsi="宋体"/>
                      <w:kern w:val="0"/>
                      <w:sz w:val="21"/>
                      <w:szCs w:val="21"/>
                    </w:rPr>
                    <w:drawing>
                      <wp:inline distT="0" distB="0" distL="114300" distR="114300">
                        <wp:extent cx="1543050" cy="2085975"/>
                        <wp:effectExtent l="0" t="0" r="0" b="9525"/>
                        <wp:docPr id="2"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
                                <pic:cNvPicPr>
                                  <a:picLocks noChangeAspect="1"/>
                                </pic:cNvPicPr>
                              </pic:nvPicPr>
                              <pic:blipFill>
                                <a:blip r:embed="rId9"/>
                                <a:stretch>
                                  <a:fillRect/>
                                </a:stretch>
                              </pic:blipFill>
                              <pic:spPr>
                                <a:xfrm>
                                  <a:off x="0" y="0"/>
                                  <a:ext cx="1543050" cy="2085975"/>
                                </a:xfrm>
                                <a:prstGeom prst="rect">
                                  <a:avLst/>
                                </a:prstGeom>
                                <a:noFill/>
                                <a:ln>
                                  <a:noFill/>
                                </a:ln>
                              </pic:spPr>
                            </pic:pic>
                          </a:graphicData>
                        </a:graphic>
                      </wp:inline>
                    </w:drawing>
                  </w:r>
                </w:p>
              </w:tc>
            </w:tr>
          </w:tbl>
          <w:p w14:paraId="7175EA3E">
            <w:pPr>
              <w:adjustRightInd w:val="0"/>
              <w:snapToGrid w:val="0"/>
              <w:ind w:left="0" w:leftChars="0" w:firstLine="0" w:firstLineChars="0"/>
              <w:jc w:val="both"/>
              <w:rPr>
                <w:b/>
                <w:bCs/>
                <w:kern w:val="0"/>
                <w:lang w:bidi="ar"/>
              </w:rPr>
            </w:pPr>
            <w:r>
              <w:rPr>
                <w:rFonts w:hint="eastAsia"/>
                <w:b/>
                <w:bCs/>
                <w:kern w:val="0"/>
                <w:lang w:val="en-US" w:eastAsia="zh-CN" w:bidi="ar"/>
              </w:rPr>
              <w:t>4</w:t>
            </w:r>
            <w:r>
              <w:rPr>
                <w:b/>
                <w:bCs/>
                <w:kern w:val="0"/>
                <w:lang w:bidi="ar"/>
              </w:rPr>
              <w:t>、回填材料相关情况</w:t>
            </w:r>
          </w:p>
          <w:p w14:paraId="24229BFF">
            <w:pPr>
              <w:ind w:firstLine="480"/>
              <w:rPr>
                <w:rFonts w:hint="default" w:eastAsia="宋体"/>
                <w:b/>
                <w:bCs/>
                <w:lang w:val="en-US" w:eastAsia="zh-CN"/>
              </w:rPr>
            </w:pPr>
            <w:r>
              <w:rPr>
                <w:rFonts w:hint="eastAsia"/>
                <w:b/>
                <w:bCs/>
                <w:lang w:eastAsia="zh-CN"/>
              </w:rPr>
              <w:t>（</w:t>
            </w:r>
            <w:r>
              <w:rPr>
                <w:rFonts w:hint="eastAsia"/>
                <w:b/>
                <w:bCs/>
                <w:lang w:val="en-US" w:eastAsia="zh-CN"/>
              </w:rPr>
              <w:t>1</w:t>
            </w:r>
            <w:r>
              <w:rPr>
                <w:rFonts w:hint="eastAsia"/>
                <w:b/>
                <w:bCs/>
                <w:lang w:eastAsia="zh-CN"/>
              </w:rPr>
              <w:t>）</w:t>
            </w:r>
            <w:r>
              <w:rPr>
                <w:rFonts w:hint="eastAsia"/>
                <w:b/>
                <w:bCs/>
                <w:lang w:val="en-US" w:eastAsia="zh-CN"/>
              </w:rPr>
              <w:t>回填料</w:t>
            </w:r>
          </w:p>
          <w:p w14:paraId="7AEA51D6">
            <w:pPr>
              <w:ind w:firstLine="480"/>
            </w:pPr>
            <w:r>
              <w:t>本项目是将云南常青树化工有限公司磷石膏渣场内的全部100万吨磷石膏回采后进行预处理，预处理合格后的磷石膏用汽车运输至生态修复区，用于采石场矿坑的生态修复，本项目的产品方案即将云南常青树化工有限公司磷石膏渣场堆存磷石膏经预处理后达到第I类一般工业固体废物，同时满足《改性磷石膏用于矿山废弃地生态修复回填技术规范》（DB53/T 1269-2024）改性磷石膏质量要求，即预处理后按照HJ557开展浸出，浸出液污染物含量满足下表标准限值。</w:t>
            </w:r>
          </w:p>
          <w:p w14:paraId="35B5AF24">
            <w:pPr>
              <w:pStyle w:val="39"/>
              <w:keepNext w:val="0"/>
              <w:keepLines w:val="0"/>
              <w:pageBreakBefore w:val="0"/>
              <w:widowControl w:val="0"/>
              <w:kinsoku/>
              <w:wordWrap/>
              <w:overflowPunct/>
              <w:topLinePunct w:val="0"/>
              <w:autoSpaceDE/>
              <w:autoSpaceDN/>
              <w:bidi w:val="0"/>
              <w:adjustRightInd w:val="0"/>
              <w:snapToGrid w:val="0"/>
              <w:spacing w:after="0" w:line="240" w:lineRule="auto"/>
              <w:ind w:left="0" w:leftChars="0" w:firstLine="0" w:firstLineChars="0"/>
              <w:jc w:val="center"/>
              <w:textAlignment w:val="auto"/>
              <w:outlineLvl w:val="5"/>
              <w:rPr>
                <w:b/>
                <w:bCs/>
                <w:kern w:val="0"/>
                <w:sz w:val="24"/>
                <w:szCs w:val="24"/>
              </w:rPr>
            </w:pPr>
            <w:r>
              <w:rPr>
                <w:b/>
                <w:bCs/>
                <w:sz w:val="24"/>
                <w:szCs w:val="24"/>
              </w:rPr>
              <w:t>表</w:t>
            </w:r>
            <w:r>
              <w:rPr>
                <w:rFonts w:hint="eastAsia"/>
                <w:b/>
                <w:bCs/>
                <w:sz w:val="24"/>
                <w:szCs w:val="24"/>
                <w:lang w:val="en-US" w:eastAsia="zh-CN"/>
              </w:rPr>
              <w:t>2-5</w:t>
            </w:r>
            <w:r>
              <w:rPr>
                <w:b/>
                <w:bCs/>
                <w:sz w:val="24"/>
                <w:szCs w:val="24"/>
              </w:rPr>
              <w:t xml:space="preserve">  改性磷石膏浸出液主要指标</w:t>
            </w:r>
            <w:r>
              <w:rPr>
                <w:rFonts w:hint="eastAsia"/>
                <w:b/>
                <w:bCs/>
                <w:sz w:val="24"/>
                <w:szCs w:val="24"/>
                <w:lang w:val="en-US" w:eastAsia="zh-CN"/>
              </w:rPr>
              <w:t xml:space="preserve">  </w:t>
            </w:r>
            <w:r>
              <w:rPr>
                <w:b/>
                <w:bCs/>
                <w:kern w:val="0"/>
                <w:sz w:val="24"/>
                <w:szCs w:val="24"/>
              </w:rPr>
              <w:t>单位为 mg/L</w:t>
            </w:r>
          </w:p>
          <w:tbl>
            <w:tblPr>
              <w:tblStyle w:val="40"/>
              <w:tblW w:w="5000" w:type="pct"/>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434"/>
              <w:gridCol w:w="5120"/>
              <w:gridCol w:w="2806"/>
            </w:tblGrid>
            <w:tr w14:paraId="0C1558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2" w:type="dxa"/>
                  <w:vAlign w:val="center"/>
                </w:tcPr>
                <w:p w14:paraId="14629955">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序号</w:t>
                  </w:r>
                </w:p>
              </w:tc>
              <w:tc>
                <w:tcPr>
                  <w:tcW w:w="4543" w:type="dxa"/>
                  <w:vAlign w:val="center"/>
                </w:tcPr>
                <w:p w14:paraId="41290A5E">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特征污染物</w:t>
                  </w:r>
                </w:p>
              </w:tc>
              <w:tc>
                <w:tcPr>
                  <w:tcW w:w="2490" w:type="dxa"/>
                  <w:vAlign w:val="center"/>
                </w:tcPr>
                <w:p w14:paraId="779C5E23">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w w:val="95"/>
                      <w:kern w:val="0"/>
                      <w:sz w:val="21"/>
                      <w:szCs w:val="21"/>
                    </w:rPr>
                  </w:pPr>
                  <w:r>
                    <w:rPr>
                      <w:rFonts w:hint="default" w:ascii="Times New Roman" w:hAnsi="Times New Roman" w:eastAsia="宋体" w:cs="Times New Roman"/>
                      <w:kern w:val="0"/>
                      <w:sz w:val="21"/>
                      <w:szCs w:val="21"/>
                    </w:rPr>
                    <w:t>指标</w:t>
                  </w:r>
                </w:p>
              </w:tc>
            </w:tr>
            <w:tr w14:paraId="30782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2" w:type="dxa"/>
                  <w:vAlign w:val="center"/>
                </w:tcPr>
                <w:p w14:paraId="332B1FFB">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w w:val="99"/>
                      <w:kern w:val="0"/>
                      <w:sz w:val="21"/>
                      <w:szCs w:val="21"/>
                    </w:rPr>
                  </w:pPr>
                  <w:r>
                    <w:rPr>
                      <w:rFonts w:hint="default" w:ascii="Times New Roman" w:hAnsi="Times New Roman" w:eastAsia="宋体" w:cs="Times New Roman"/>
                      <w:w w:val="99"/>
                      <w:kern w:val="0"/>
                      <w:sz w:val="21"/>
                      <w:szCs w:val="21"/>
                    </w:rPr>
                    <w:t>1</w:t>
                  </w:r>
                </w:p>
              </w:tc>
              <w:tc>
                <w:tcPr>
                  <w:tcW w:w="4543" w:type="dxa"/>
                  <w:vAlign w:val="center"/>
                </w:tcPr>
                <w:p w14:paraId="02CADDA8">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pH</w:t>
                  </w:r>
                </w:p>
              </w:tc>
              <w:tc>
                <w:tcPr>
                  <w:tcW w:w="2490" w:type="dxa"/>
                  <w:vAlign w:val="center"/>
                </w:tcPr>
                <w:p w14:paraId="69B16087">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6～9</w:t>
                  </w:r>
                </w:p>
              </w:tc>
            </w:tr>
            <w:tr w14:paraId="50429D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2" w:type="dxa"/>
                  <w:vAlign w:val="center"/>
                </w:tcPr>
                <w:p w14:paraId="7302B91F">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w w:val="99"/>
                      <w:kern w:val="0"/>
                      <w:sz w:val="21"/>
                      <w:szCs w:val="21"/>
                    </w:rPr>
                  </w:pPr>
                  <w:r>
                    <w:rPr>
                      <w:rFonts w:hint="default" w:ascii="Times New Roman" w:hAnsi="Times New Roman" w:eastAsia="宋体" w:cs="Times New Roman"/>
                      <w:w w:val="99"/>
                      <w:kern w:val="0"/>
                      <w:sz w:val="21"/>
                      <w:szCs w:val="21"/>
                    </w:rPr>
                    <w:t>2</w:t>
                  </w:r>
                </w:p>
              </w:tc>
              <w:tc>
                <w:tcPr>
                  <w:tcW w:w="4543" w:type="dxa"/>
                  <w:vAlign w:val="center"/>
                </w:tcPr>
                <w:p w14:paraId="6E22FF22">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磷酸盐（以 P 计）</w:t>
                  </w:r>
                </w:p>
              </w:tc>
              <w:tc>
                <w:tcPr>
                  <w:tcW w:w="2490" w:type="dxa"/>
                  <w:vAlign w:val="center"/>
                </w:tcPr>
                <w:p w14:paraId="735D1423">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≤0.5</w:t>
                  </w:r>
                </w:p>
              </w:tc>
            </w:tr>
            <w:tr w14:paraId="325141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2" w:type="dxa"/>
                  <w:vAlign w:val="center"/>
                </w:tcPr>
                <w:p w14:paraId="51116D39">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w w:val="99"/>
                      <w:kern w:val="0"/>
                      <w:sz w:val="21"/>
                      <w:szCs w:val="21"/>
                    </w:rPr>
                  </w:pPr>
                  <w:r>
                    <w:rPr>
                      <w:rFonts w:hint="default" w:ascii="Times New Roman" w:hAnsi="Times New Roman" w:eastAsia="宋体" w:cs="Times New Roman"/>
                      <w:w w:val="99"/>
                      <w:kern w:val="0"/>
                      <w:sz w:val="21"/>
                      <w:szCs w:val="21"/>
                    </w:rPr>
                    <w:t>3</w:t>
                  </w:r>
                </w:p>
              </w:tc>
              <w:tc>
                <w:tcPr>
                  <w:tcW w:w="4543" w:type="dxa"/>
                  <w:vAlign w:val="center"/>
                </w:tcPr>
                <w:p w14:paraId="067DFC8F">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氟化物（以F</w:t>
                  </w:r>
                  <w:r>
                    <w:rPr>
                      <w:rFonts w:hint="default" w:ascii="Times New Roman" w:hAnsi="Times New Roman" w:eastAsia="宋体" w:cs="Times New Roman"/>
                      <w:kern w:val="0"/>
                      <w:position w:val="6"/>
                      <w:sz w:val="21"/>
                      <w:szCs w:val="21"/>
                    </w:rPr>
                    <w:t>-</w:t>
                  </w:r>
                  <w:r>
                    <w:rPr>
                      <w:rFonts w:hint="default" w:ascii="Times New Roman" w:hAnsi="Times New Roman" w:eastAsia="宋体" w:cs="Times New Roman"/>
                      <w:kern w:val="0"/>
                      <w:sz w:val="21"/>
                      <w:szCs w:val="21"/>
                    </w:rPr>
                    <w:t>计）</w:t>
                  </w:r>
                </w:p>
              </w:tc>
              <w:tc>
                <w:tcPr>
                  <w:tcW w:w="2490" w:type="dxa"/>
                  <w:vAlign w:val="center"/>
                </w:tcPr>
                <w:p w14:paraId="427FF6F3">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r>
            <w:tr w14:paraId="2CECAD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2" w:type="dxa"/>
                  <w:vAlign w:val="center"/>
                </w:tcPr>
                <w:p w14:paraId="314AF71C">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w w:val="99"/>
                      <w:kern w:val="0"/>
                      <w:sz w:val="21"/>
                      <w:szCs w:val="21"/>
                    </w:rPr>
                  </w:pPr>
                  <w:r>
                    <w:rPr>
                      <w:rFonts w:hint="default" w:ascii="Times New Roman" w:hAnsi="Times New Roman" w:eastAsia="宋体" w:cs="Times New Roman"/>
                      <w:w w:val="99"/>
                      <w:kern w:val="0"/>
                      <w:sz w:val="21"/>
                      <w:szCs w:val="21"/>
                    </w:rPr>
                    <w:t>4</w:t>
                  </w:r>
                </w:p>
              </w:tc>
              <w:tc>
                <w:tcPr>
                  <w:tcW w:w="4543" w:type="dxa"/>
                  <w:vAlign w:val="center"/>
                </w:tcPr>
                <w:p w14:paraId="7AD261DB">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总汞</w:t>
                  </w:r>
                </w:p>
              </w:tc>
              <w:tc>
                <w:tcPr>
                  <w:tcW w:w="2490" w:type="dxa"/>
                  <w:vAlign w:val="center"/>
                </w:tcPr>
                <w:p w14:paraId="6B75B1EC">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bCs/>
                      <w:kern w:val="0"/>
                      <w:sz w:val="21"/>
                      <w:szCs w:val="21"/>
                    </w:rPr>
                    <w:t>≤</w:t>
                  </w:r>
                  <w:r>
                    <w:rPr>
                      <w:rFonts w:hint="default" w:ascii="Times New Roman" w:hAnsi="Times New Roman" w:eastAsia="宋体" w:cs="Times New Roman"/>
                      <w:kern w:val="0"/>
                      <w:sz w:val="21"/>
                      <w:szCs w:val="21"/>
                    </w:rPr>
                    <w:t>0.05</w:t>
                  </w:r>
                </w:p>
              </w:tc>
            </w:tr>
            <w:tr w14:paraId="12685D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2" w:type="dxa"/>
                  <w:vAlign w:val="center"/>
                </w:tcPr>
                <w:p w14:paraId="1C89EDDB">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w w:val="99"/>
                      <w:kern w:val="0"/>
                      <w:sz w:val="21"/>
                      <w:szCs w:val="21"/>
                    </w:rPr>
                  </w:pPr>
                  <w:r>
                    <w:rPr>
                      <w:rFonts w:hint="default" w:ascii="Times New Roman" w:hAnsi="Times New Roman" w:eastAsia="宋体" w:cs="Times New Roman"/>
                      <w:w w:val="99"/>
                      <w:kern w:val="0"/>
                      <w:sz w:val="21"/>
                      <w:szCs w:val="21"/>
                    </w:rPr>
                    <w:t>5</w:t>
                  </w:r>
                </w:p>
              </w:tc>
              <w:tc>
                <w:tcPr>
                  <w:tcW w:w="4543" w:type="dxa"/>
                  <w:vAlign w:val="center"/>
                </w:tcPr>
                <w:p w14:paraId="19E5EB0F">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总镉</w:t>
                  </w:r>
                </w:p>
              </w:tc>
              <w:tc>
                <w:tcPr>
                  <w:tcW w:w="2490" w:type="dxa"/>
                  <w:vAlign w:val="center"/>
                </w:tcPr>
                <w:p w14:paraId="74A9CACF">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bCs/>
                      <w:kern w:val="0"/>
                      <w:sz w:val="21"/>
                      <w:szCs w:val="21"/>
                    </w:rPr>
                    <w:t>≤</w:t>
                  </w:r>
                  <w:r>
                    <w:rPr>
                      <w:rFonts w:hint="default" w:ascii="Times New Roman" w:hAnsi="Times New Roman" w:eastAsia="宋体" w:cs="Times New Roman"/>
                      <w:kern w:val="0"/>
                      <w:sz w:val="21"/>
                      <w:szCs w:val="21"/>
                    </w:rPr>
                    <w:t>0.1</w:t>
                  </w:r>
                </w:p>
              </w:tc>
            </w:tr>
            <w:tr w14:paraId="54A2E0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2" w:type="dxa"/>
                  <w:vAlign w:val="center"/>
                </w:tcPr>
                <w:p w14:paraId="323E21D1">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w w:val="99"/>
                      <w:kern w:val="0"/>
                      <w:sz w:val="21"/>
                      <w:szCs w:val="21"/>
                    </w:rPr>
                  </w:pPr>
                  <w:r>
                    <w:rPr>
                      <w:rFonts w:hint="default" w:ascii="Times New Roman" w:hAnsi="Times New Roman" w:eastAsia="宋体" w:cs="Times New Roman"/>
                      <w:w w:val="99"/>
                      <w:kern w:val="0"/>
                      <w:sz w:val="21"/>
                      <w:szCs w:val="21"/>
                    </w:rPr>
                    <w:t>6</w:t>
                  </w:r>
                </w:p>
              </w:tc>
              <w:tc>
                <w:tcPr>
                  <w:tcW w:w="4543" w:type="dxa"/>
                  <w:vAlign w:val="center"/>
                </w:tcPr>
                <w:p w14:paraId="787C0131">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总铬</w:t>
                  </w:r>
                </w:p>
              </w:tc>
              <w:tc>
                <w:tcPr>
                  <w:tcW w:w="2490" w:type="dxa"/>
                  <w:vAlign w:val="center"/>
                </w:tcPr>
                <w:p w14:paraId="14E043CC">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bCs/>
                      <w:kern w:val="0"/>
                      <w:sz w:val="21"/>
                      <w:szCs w:val="21"/>
                    </w:rPr>
                    <w:t>≤</w:t>
                  </w:r>
                  <w:r>
                    <w:rPr>
                      <w:rFonts w:hint="default" w:ascii="Times New Roman" w:hAnsi="Times New Roman" w:eastAsia="宋体" w:cs="Times New Roman"/>
                      <w:kern w:val="0"/>
                      <w:sz w:val="21"/>
                      <w:szCs w:val="21"/>
                    </w:rPr>
                    <w:t>1.5</w:t>
                  </w:r>
                </w:p>
              </w:tc>
            </w:tr>
            <w:tr w14:paraId="605B2F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2" w:type="dxa"/>
                  <w:vAlign w:val="center"/>
                </w:tcPr>
                <w:p w14:paraId="1EB504D1">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w w:val="99"/>
                      <w:kern w:val="0"/>
                      <w:sz w:val="21"/>
                      <w:szCs w:val="21"/>
                    </w:rPr>
                  </w:pPr>
                  <w:r>
                    <w:rPr>
                      <w:rFonts w:hint="default" w:ascii="Times New Roman" w:hAnsi="Times New Roman" w:eastAsia="宋体" w:cs="Times New Roman"/>
                      <w:w w:val="99"/>
                      <w:kern w:val="0"/>
                      <w:sz w:val="21"/>
                      <w:szCs w:val="21"/>
                    </w:rPr>
                    <w:t>7</w:t>
                  </w:r>
                </w:p>
              </w:tc>
              <w:tc>
                <w:tcPr>
                  <w:tcW w:w="4543" w:type="dxa"/>
                  <w:vAlign w:val="center"/>
                </w:tcPr>
                <w:p w14:paraId="4C6A7425">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六价铬</w:t>
                  </w:r>
                </w:p>
              </w:tc>
              <w:tc>
                <w:tcPr>
                  <w:tcW w:w="2490" w:type="dxa"/>
                  <w:vAlign w:val="center"/>
                </w:tcPr>
                <w:p w14:paraId="64BBB19E">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bCs/>
                      <w:kern w:val="0"/>
                      <w:sz w:val="21"/>
                      <w:szCs w:val="21"/>
                    </w:rPr>
                    <w:t>≤</w:t>
                  </w:r>
                  <w:r>
                    <w:rPr>
                      <w:rFonts w:hint="default" w:ascii="Times New Roman" w:hAnsi="Times New Roman" w:eastAsia="宋体" w:cs="Times New Roman"/>
                      <w:kern w:val="0"/>
                      <w:sz w:val="21"/>
                      <w:szCs w:val="21"/>
                    </w:rPr>
                    <w:t>0.5</w:t>
                  </w:r>
                </w:p>
              </w:tc>
            </w:tr>
            <w:tr w14:paraId="531245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2" w:type="dxa"/>
                  <w:vAlign w:val="center"/>
                </w:tcPr>
                <w:p w14:paraId="2633E309">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w w:val="99"/>
                      <w:kern w:val="0"/>
                      <w:sz w:val="21"/>
                      <w:szCs w:val="21"/>
                    </w:rPr>
                  </w:pPr>
                  <w:r>
                    <w:rPr>
                      <w:rFonts w:hint="default" w:ascii="Times New Roman" w:hAnsi="Times New Roman" w:eastAsia="宋体" w:cs="Times New Roman"/>
                      <w:w w:val="99"/>
                      <w:kern w:val="0"/>
                      <w:sz w:val="21"/>
                      <w:szCs w:val="21"/>
                    </w:rPr>
                    <w:t>8</w:t>
                  </w:r>
                </w:p>
              </w:tc>
              <w:tc>
                <w:tcPr>
                  <w:tcW w:w="4543" w:type="dxa"/>
                  <w:vAlign w:val="center"/>
                </w:tcPr>
                <w:p w14:paraId="55B83716">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总砷</w:t>
                  </w:r>
                </w:p>
              </w:tc>
              <w:tc>
                <w:tcPr>
                  <w:tcW w:w="2490" w:type="dxa"/>
                  <w:vAlign w:val="center"/>
                </w:tcPr>
                <w:p w14:paraId="1137B65C">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bCs/>
                      <w:kern w:val="0"/>
                      <w:sz w:val="21"/>
                      <w:szCs w:val="21"/>
                    </w:rPr>
                    <w:t>≤</w:t>
                  </w:r>
                  <w:r>
                    <w:rPr>
                      <w:rFonts w:hint="default" w:ascii="Times New Roman" w:hAnsi="Times New Roman" w:eastAsia="宋体" w:cs="Times New Roman"/>
                      <w:kern w:val="0"/>
                      <w:sz w:val="21"/>
                      <w:szCs w:val="21"/>
                    </w:rPr>
                    <w:t>0.5</w:t>
                  </w:r>
                </w:p>
              </w:tc>
            </w:tr>
            <w:tr w14:paraId="30E97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2" w:type="dxa"/>
                  <w:vAlign w:val="center"/>
                </w:tcPr>
                <w:p w14:paraId="206A4DFD">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w w:val="99"/>
                      <w:kern w:val="0"/>
                      <w:sz w:val="21"/>
                      <w:szCs w:val="21"/>
                    </w:rPr>
                  </w:pPr>
                  <w:r>
                    <w:rPr>
                      <w:rFonts w:hint="default" w:ascii="Times New Roman" w:hAnsi="Times New Roman" w:eastAsia="宋体" w:cs="Times New Roman"/>
                      <w:w w:val="99"/>
                      <w:kern w:val="0"/>
                      <w:sz w:val="21"/>
                      <w:szCs w:val="21"/>
                    </w:rPr>
                    <w:t>9</w:t>
                  </w:r>
                </w:p>
              </w:tc>
              <w:tc>
                <w:tcPr>
                  <w:tcW w:w="4543" w:type="dxa"/>
                  <w:vAlign w:val="center"/>
                </w:tcPr>
                <w:p w14:paraId="1D9373DF">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总铅</w:t>
                  </w:r>
                </w:p>
              </w:tc>
              <w:tc>
                <w:tcPr>
                  <w:tcW w:w="2490" w:type="dxa"/>
                  <w:vAlign w:val="center"/>
                </w:tcPr>
                <w:p w14:paraId="1C45F8A8">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bCs/>
                      <w:kern w:val="0"/>
                      <w:sz w:val="21"/>
                      <w:szCs w:val="21"/>
                    </w:rPr>
                    <w:t>≤</w:t>
                  </w:r>
                  <w:r>
                    <w:rPr>
                      <w:rFonts w:hint="default" w:ascii="Times New Roman" w:hAnsi="Times New Roman" w:eastAsia="宋体" w:cs="Times New Roman"/>
                      <w:kern w:val="0"/>
                      <w:sz w:val="21"/>
                      <w:szCs w:val="21"/>
                    </w:rPr>
                    <w:t>1.0</w:t>
                  </w:r>
                </w:p>
              </w:tc>
            </w:tr>
            <w:tr w14:paraId="2F97C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2" w:type="dxa"/>
                  <w:vAlign w:val="center"/>
                </w:tcPr>
                <w:p w14:paraId="420ADA91">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10</w:t>
                  </w:r>
                </w:p>
              </w:tc>
              <w:tc>
                <w:tcPr>
                  <w:tcW w:w="4543" w:type="dxa"/>
                  <w:vAlign w:val="center"/>
                </w:tcPr>
                <w:p w14:paraId="20A353EC">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总镍</w:t>
                  </w:r>
                </w:p>
              </w:tc>
              <w:tc>
                <w:tcPr>
                  <w:tcW w:w="2490" w:type="dxa"/>
                  <w:vAlign w:val="center"/>
                </w:tcPr>
                <w:p w14:paraId="053E50D9">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bCs/>
                      <w:kern w:val="0"/>
                      <w:sz w:val="21"/>
                      <w:szCs w:val="21"/>
                    </w:rPr>
                    <w:t>≤</w:t>
                  </w:r>
                  <w:r>
                    <w:rPr>
                      <w:rFonts w:hint="default" w:ascii="Times New Roman" w:hAnsi="Times New Roman" w:eastAsia="宋体" w:cs="Times New Roman"/>
                      <w:kern w:val="0"/>
                      <w:sz w:val="21"/>
                      <w:szCs w:val="21"/>
                    </w:rPr>
                    <w:t>1.0</w:t>
                  </w:r>
                </w:p>
              </w:tc>
            </w:tr>
            <w:tr w14:paraId="4A8E3A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2" w:type="dxa"/>
                  <w:vAlign w:val="center"/>
                </w:tcPr>
                <w:p w14:paraId="41DE3917">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11</w:t>
                  </w:r>
                </w:p>
              </w:tc>
              <w:tc>
                <w:tcPr>
                  <w:tcW w:w="4543" w:type="dxa"/>
                  <w:vAlign w:val="center"/>
                </w:tcPr>
                <w:p w14:paraId="2FE01ACB">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总铜</w:t>
                  </w:r>
                </w:p>
              </w:tc>
              <w:tc>
                <w:tcPr>
                  <w:tcW w:w="2490" w:type="dxa"/>
                  <w:vAlign w:val="center"/>
                </w:tcPr>
                <w:p w14:paraId="1A959137">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≤0.5</w:t>
                  </w:r>
                </w:p>
              </w:tc>
            </w:tr>
            <w:tr w14:paraId="3D5BC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2" w:type="dxa"/>
                  <w:vAlign w:val="center"/>
                </w:tcPr>
                <w:p w14:paraId="4E5C0629">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12</w:t>
                  </w:r>
                </w:p>
              </w:tc>
              <w:tc>
                <w:tcPr>
                  <w:tcW w:w="4543" w:type="dxa"/>
                  <w:vAlign w:val="center"/>
                </w:tcPr>
                <w:p w14:paraId="74280D7C">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总锌</w:t>
                  </w:r>
                </w:p>
              </w:tc>
              <w:tc>
                <w:tcPr>
                  <w:tcW w:w="2490" w:type="dxa"/>
                  <w:vAlign w:val="center"/>
                </w:tcPr>
                <w:p w14:paraId="7D2D03C9">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≤2.0</w:t>
                  </w:r>
                </w:p>
              </w:tc>
            </w:tr>
            <w:tr w14:paraId="7A1F85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2" w:type="dxa"/>
                  <w:vAlign w:val="center"/>
                </w:tcPr>
                <w:p w14:paraId="5F902772">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13</w:t>
                  </w:r>
                </w:p>
              </w:tc>
              <w:tc>
                <w:tcPr>
                  <w:tcW w:w="4543" w:type="dxa"/>
                  <w:vAlign w:val="center"/>
                </w:tcPr>
                <w:p w14:paraId="10FA8EB9">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总铍</w:t>
                  </w:r>
                </w:p>
              </w:tc>
              <w:tc>
                <w:tcPr>
                  <w:tcW w:w="2490" w:type="dxa"/>
                  <w:vAlign w:val="center"/>
                </w:tcPr>
                <w:p w14:paraId="41730F57">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b/>
                      <w:bCs/>
                      <w:kern w:val="0"/>
                      <w:sz w:val="21"/>
                      <w:szCs w:val="21"/>
                    </w:rPr>
                    <w:t>≤</w:t>
                  </w:r>
                  <w:r>
                    <w:rPr>
                      <w:rFonts w:hint="default" w:ascii="Times New Roman" w:hAnsi="Times New Roman" w:eastAsia="宋体" w:cs="Times New Roman"/>
                      <w:kern w:val="0"/>
                      <w:sz w:val="21"/>
                      <w:szCs w:val="21"/>
                    </w:rPr>
                    <w:t>0.005</w:t>
                  </w:r>
                </w:p>
              </w:tc>
            </w:tr>
            <w:tr w14:paraId="0CB52C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trPr>
              <w:tc>
                <w:tcPr>
                  <w:tcW w:w="1272" w:type="dxa"/>
                  <w:vAlign w:val="center"/>
                </w:tcPr>
                <w:p w14:paraId="0D1F1D68">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14</w:t>
                  </w:r>
                </w:p>
              </w:tc>
              <w:tc>
                <w:tcPr>
                  <w:tcW w:w="4543" w:type="dxa"/>
                  <w:vAlign w:val="center"/>
                </w:tcPr>
                <w:p w14:paraId="5207BAD2">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总银</w:t>
                  </w:r>
                </w:p>
              </w:tc>
              <w:tc>
                <w:tcPr>
                  <w:tcW w:w="2490" w:type="dxa"/>
                  <w:vAlign w:val="center"/>
                </w:tcPr>
                <w:p w14:paraId="4B90221D">
                  <w:pPr>
                    <w:keepNext w:val="0"/>
                    <w:keepLines w:val="0"/>
                    <w:pageBreakBefore w:val="0"/>
                    <w:widowControl w:val="0"/>
                    <w:kinsoku w:val="0"/>
                    <w:wordWrap/>
                    <w:overflowPunct w:val="0"/>
                    <w:topLinePunct w:val="0"/>
                    <w:autoSpaceDE w:val="0"/>
                    <w:autoSpaceDN w:val="0"/>
                    <w:bidi w:val="0"/>
                    <w:adjustRightInd w:val="0"/>
                    <w:snapToGrid w:val="0"/>
                    <w:spacing w:line="240" w:lineRule="auto"/>
                    <w:ind w:firstLine="0" w:firstLineChars="0"/>
                    <w:jc w:val="center"/>
                    <w:textAlignment w:val="auto"/>
                    <w:rPr>
                      <w:rFonts w:hint="default" w:ascii="Times New Roman" w:hAnsi="Times New Roman" w:eastAsia="宋体" w:cs="Times New Roman"/>
                      <w:kern w:val="0"/>
                      <w:sz w:val="21"/>
                      <w:szCs w:val="21"/>
                    </w:rPr>
                  </w:pPr>
                  <w:r>
                    <w:rPr>
                      <w:rFonts w:hint="default" w:ascii="Times New Roman" w:hAnsi="Times New Roman" w:eastAsia="宋体" w:cs="Times New Roman"/>
                      <w:kern w:val="0"/>
                      <w:sz w:val="21"/>
                      <w:szCs w:val="21"/>
                    </w:rPr>
                    <w:t>≤0.5</w:t>
                  </w:r>
                </w:p>
              </w:tc>
            </w:tr>
          </w:tbl>
          <w:p w14:paraId="3BC9C237">
            <w:pPr>
              <w:adjustRightInd w:val="0"/>
              <w:ind w:firstLine="480"/>
              <w:rPr>
                <w:kern w:val="0"/>
                <w:szCs w:val="21"/>
              </w:rPr>
            </w:pPr>
            <w:r>
              <w:rPr>
                <w:kern w:val="0"/>
                <w:szCs w:val="21"/>
              </w:rPr>
              <w:t>本项目</w:t>
            </w:r>
            <w:r>
              <w:rPr>
                <w:rFonts w:hint="eastAsia"/>
                <w:kern w:val="0"/>
                <w:szCs w:val="21"/>
              </w:rPr>
              <w:t>填充的</w:t>
            </w:r>
            <w:r>
              <w:rPr>
                <w:kern w:val="0"/>
                <w:szCs w:val="21"/>
              </w:rPr>
              <w:t>的改性磷石膏</w:t>
            </w:r>
            <w:r>
              <w:rPr>
                <w:kern w:val="0"/>
                <w:lang w:bidi="ar"/>
              </w:rPr>
              <w:t>按照HJ557规定方法制备改性磷石膏浸出液</w:t>
            </w:r>
            <w:r>
              <w:rPr>
                <w:kern w:val="0"/>
                <w:szCs w:val="21"/>
              </w:rPr>
              <w:t>检测浓度结果</w:t>
            </w:r>
            <w:r>
              <w:rPr>
                <w:rFonts w:hint="eastAsia"/>
                <w:kern w:val="0"/>
                <w:szCs w:val="21"/>
              </w:rPr>
              <w:t>不得</w:t>
            </w:r>
            <w:r>
              <w:rPr>
                <w:kern w:val="0"/>
                <w:szCs w:val="21"/>
              </w:rPr>
              <w:t>超过《污水综合排放标准》（GB8978-1996）一级标准，有机质含量</w:t>
            </w:r>
            <w:r>
              <w:rPr>
                <w:rFonts w:hint="eastAsia"/>
                <w:kern w:val="0"/>
                <w:szCs w:val="21"/>
              </w:rPr>
              <w:t>应满足</w:t>
            </w:r>
            <w:r>
              <w:rPr>
                <w:kern w:val="0"/>
                <w:szCs w:val="21"/>
              </w:rPr>
              <w:t>《改性磷石膏综合利用  矿山生态修复环境风险评估规范》（DB5301/T98-2023）中“4.2 用于露天矿山生态修复的改性磷石膏应满足GB 18599中第Ⅰ类一般工业固体废物的要求，且有机物含量超过5%的改性磷石膏不应用于矿山生态修复。”相关要求，改性磷石膏回填材料</w:t>
            </w:r>
            <w:r>
              <w:rPr>
                <w:rFonts w:hint="eastAsia"/>
                <w:kern w:val="0"/>
                <w:szCs w:val="21"/>
              </w:rPr>
              <w:t>需</w:t>
            </w:r>
            <w:r>
              <w:rPr>
                <w:kern w:val="0"/>
                <w:szCs w:val="21"/>
              </w:rPr>
              <w:t>满足</w:t>
            </w:r>
            <w:r>
              <w:rPr>
                <w:kern w:val="0"/>
                <w:lang w:bidi="ar"/>
              </w:rPr>
              <w:t>《改性磷石膏用于矿山废弃地生态修复回填技术规范》（DB53/T1269-2024）对改性磷石膏要求</w:t>
            </w:r>
            <w:r>
              <w:rPr>
                <w:kern w:val="0"/>
                <w:szCs w:val="21"/>
              </w:rPr>
              <w:t>。</w:t>
            </w:r>
          </w:p>
          <w:p w14:paraId="1F2769A5">
            <w:pPr>
              <w:adjustRightInd w:val="0"/>
              <w:ind w:firstLine="480" w:firstLineChars="0"/>
              <w:rPr>
                <w:b/>
                <w:bCs/>
                <w:kern w:val="0"/>
                <w:szCs w:val="21"/>
              </w:rPr>
            </w:pPr>
            <w:r>
              <w:rPr>
                <w:b/>
                <w:bCs/>
                <w:kern w:val="0"/>
                <w:szCs w:val="21"/>
              </w:rPr>
              <w:t>（2）耕植土要求</w:t>
            </w:r>
          </w:p>
          <w:p w14:paraId="0279B256">
            <w:pPr>
              <w:adjustRightInd w:val="0"/>
              <w:ind w:firstLine="480" w:firstLineChars="0"/>
              <w:rPr>
                <w:kern w:val="0"/>
                <w:szCs w:val="21"/>
              </w:rPr>
            </w:pPr>
            <w:r>
              <w:rPr>
                <w:kern w:val="0"/>
                <w:lang w:bidi="ar"/>
              </w:rPr>
              <w:t>根据云南省地方标准《改性磷石膏用于矿山废弃地生态修复回填技术规范》（DB53/T1269-2024），土地复垦后开发利用的，应符合GB15618和GB36600相应规划用途的土壤环境质量要求。本项目修复区域</w:t>
            </w:r>
            <w:r>
              <w:rPr>
                <w:kern w:val="0"/>
                <w:szCs w:val="21"/>
              </w:rPr>
              <w:t>恢复为林地区域的耕植土须满足《土壤环境质量农用地土壤污染风险管控标准（试行）》（GB15618-2018）。该项目采用的耕植土全部外购。</w:t>
            </w:r>
          </w:p>
          <w:p w14:paraId="6371D757">
            <w:pPr>
              <w:adjustRightInd w:val="0"/>
              <w:ind w:left="0" w:leftChars="0" w:firstLine="0" w:firstLineChars="0"/>
              <w:rPr>
                <w:b/>
                <w:bCs/>
                <w:kern w:val="0"/>
                <w:szCs w:val="21"/>
              </w:rPr>
            </w:pPr>
            <w:r>
              <w:rPr>
                <w:rFonts w:hint="eastAsia"/>
                <w:b/>
                <w:bCs/>
                <w:kern w:val="0"/>
                <w:szCs w:val="21"/>
                <w:lang w:val="en-US" w:eastAsia="zh-CN"/>
              </w:rPr>
              <w:t>5</w:t>
            </w:r>
            <w:r>
              <w:rPr>
                <w:b/>
                <w:bCs/>
                <w:kern w:val="0"/>
                <w:szCs w:val="21"/>
              </w:rPr>
              <w:t>、施工期原辅料</w:t>
            </w:r>
          </w:p>
          <w:p w14:paraId="4D9970E1">
            <w:pPr>
              <w:adjustRightInd w:val="0"/>
              <w:ind w:firstLine="480" w:firstLineChars="0"/>
              <w:rPr>
                <w:b/>
                <w:bCs/>
                <w:kern w:val="0"/>
                <w:sz w:val="21"/>
                <w:szCs w:val="18"/>
              </w:rPr>
            </w:pPr>
            <w:r>
              <w:rPr>
                <w:b/>
                <w:bCs/>
                <w:kern w:val="0"/>
                <w:szCs w:val="21"/>
              </w:rPr>
              <w:t>（1）原辅料用量</w:t>
            </w:r>
          </w:p>
          <w:p w14:paraId="5F3B0CD2">
            <w:pPr>
              <w:adjustRightInd w:val="0"/>
              <w:snapToGrid w:val="0"/>
              <w:spacing w:line="240" w:lineRule="auto"/>
              <w:ind w:firstLine="0" w:firstLineChars="0"/>
              <w:jc w:val="center"/>
              <w:rPr>
                <w:b/>
                <w:bCs/>
                <w:kern w:val="0"/>
                <w:sz w:val="24"/>
                <w:szCs w:val="24"/>
              </w:rPr>
            </w:pPr>
            <w:r>
              <w:rPr>
                <w:b/>
                <w:bCs/>
                <w:kern w:val="0"/>
                <w:sz w:val="24"/>
                <w:szCs w:val="24"/>
              </w:rPr>
              <w:t>表2-</w:t>
            </w:r>
            <w:r>
              <w:rPr>
                <w:rFonts w:hint="eastAsia"/>
                <w:b/>
                <w:bCs/>
                <w:kern w:val="0"/>
                <w:sz w:val="24"/>
                <w:szCs w:val="24"/>
                <w:lang w:val="en-US" w:eastAsia="zh-CN"/>
              </w:rPr>
              <w:t xml:space="preserve">6  </w:t>
            </w:r>
            <w:r>
              <w:rPr>
                <w:b/>
                <w:bCs/>
                <w:kern w:val="0"/>
                <w:sz w:val="24"/>
                <w:szCs w:val="24"/>
              </w:rPr>
              <w:t>项目主要原辅料用量</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31"/>
              <w:gridCol w:w="2553"/>
              <w:gridCol w:w="5172"/>
            </w:tblGrid>
            <w:tr w14:paraId="7EAC1A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tcPr>
                <w:p w14:paraId="611E2A0D">
                  <w:pPr>
                    <w:adjustRightInd w:val="0"/>
                    <w:snapToGrid w:val="0"/>
                    <w:spacing w:line="240" w:lineRule="auto"/>
                    <w:ind w:firstLine="0" w:firstLineChars="0"/>
                    <w:jc w:val="center"/>
                    <w:rPr>
                      <w:b/>
                      <w:bCs/>
                      <w:kern w:val="0"/>
                      <w:sz w:val="21"/>
                      <w:szCs w:val="21"/>
                    </w:rPr>
                  </w:pPr>
                  <w:r>
                    <w:rPr>
                      <w:b/>
                      <w:bCs/>
                      <w:kern w:val="0"/>
                      <w:sz w:val="21"/>
                      <w:szCs w:val="21"/>
                    </w:rPr>
                    <w:t>名称</w:t>
                  </w:r>
                </w:p>
              </w:tc>
              <w:tc>
                <w:tcPr>
                  <w:tcW w:w="1364" w:type="pct"/>
                </w:tcPr>
                <w:p w14:paraId="546F043B">
                  <w:pPr>
                    <w:adjustRightInd w:val="0"/>
                    <w:snapToGrid w:val="0"/>
                    <w:spacing w:line="240" w:lineRule="auto"/>
                    <w:ind w:firstLine="0" w:firstLineChars="0"/>
                    <w:jc w:val="center"/>
                    <w:rPr>
                      <w:b/>
                      <w:bCs/>
                      <w:kern w:val="0"/>
                      <w:sz w:val="21"/>
                      <w:szCs w:val="21"/>
                    </w:rPr>
                  </w:pPr>
                  <w:r>
                    <w:rPr>
                      <w:b/>
                      <w:bCs/>
                      <w:kern w:val="0"/>
                      <w:sz w:val="21"/>
                      <w:szCs w:val="21"/>
                    </w:rPr>
                    <w:t>用量</w:t>
                  </w:r>
                </w:p>
              </w:tc>
              <w:tc>
                <w:tcPr>
                  <w:tcW w:w="2763" w:type="pct"/>
                </w:tcPr>
                <w:p w14:paraId="454AD535">
                  <w:pPr>
                    <w:adjustRightInd w:val="0"/>
                    <w:snapToGrid w:val="0"/>
                    <w:spacing w:line="240" w:lineRule="auto"/>
                    <w:ind w:firstLine="0" w:firstLineChars="0"/>
                    <w:jc w:val="center"/>
                    <w:rPr>
                      <w:b/>
                      <w:bCs/>
                      <w:kern w:val="0"/>
                      <w:sz w:val="21"/>
                      <w:szCs w:val="21"/>
                    </w:rPr>
                  </w:pPr>
                  <w:r>
                    <w:rPr>
                      <w:b/>
                      <w:bCs/>
                      <w:kern w:val="0"/>
                      <w:sz w:val="21"/>
                      <w:szCs w:val="21"/>
                    </w:rPr>
                    <w:t>来源</w:t>
                  </w:r>
                </w:p>
              </w:tc>
            </w:tr>
            <w:tr w14:paraId="79ACE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Merge w:val="restart"/>
                  <w:vAlign w:val="center"/>
                </w:tcPr>
                <w:p w14:paraId="2F724973">
                  <w:pPr>
                    <w:adjustRightInd w:val="0"/>
                    <w:snapToGrid w:val="0"/>
                    <w:spacing w:line="240" w:lineRule="auto"/>
                    <w:ind w:firstLine="0" w:firstLineChars="0"/>
                    <w:jc w:val="center"/>
                    <w:rPr>
                      <w:kern w:val="0"/>
                      <w:sz w:val="21"/>
                      <w:szCs w:val="21"/>
                    </w:rPr>
                  </w:pPr>
                  <w:r>
                    <w:rPr>
                      <w:kern w:val="0"/>
                      <w:sz w:val="21"/>
                      <w:szCs w:val="21"/>
                    </w:rPr>
                    <w:t>改性磷石膏</w:t>
                  </w:r>
                </w:p>
              </w:tc>
              <w:tc>
                <w:tcPr>
                  <w:tcW w:w="1364" w:type="pct"/>
                  <w:vAlign w:val="center"/>
                </w:tcPr>
                <w:p w14:paraId="7D9D0358">
                  <w:pPr>
                    <w:adjustRightInd w:val="0"/>
                    <w:snapToGrid w:val="0"/>
                    <w:spacing w:line="240" w:lineRule="auto"/>
                    <w:ind w:firstLine="0" w:firstLineChars="0"/>
                    <w:jc w:val="center"/>
                    <w:rPr>
                      <w:kern w:val="0"/>
                      <w:sz w:val="21"/>
                      <w:szCs w:val="21"/>
                    </w:rPr>
                  </w:pPr>
                  <w:r>
                    <w:rPr>
                      <w:kern w:val="0"/>
                      <w:sz w:val="21"/>
                      <w:szCs w:val="21"/>
                    </w:rPr>
                    <w:t>100万吨</w:t>
                  </w:r>
                </w:p>
              </w:tc>
              <w:tc>
                <w:tcPr>
                  <w:tcW w:w="2763" w:type="pct"/>
                  <w:vAlign w:val="center"/>
                </w:tcPr>
                <w:p w14:paraId="63888DF0">
                  <w:pPr>
                    <w:adjustRightInd w:val="0"/>
                    <w:snapToGrid w:val="0"/>
                    <w:spacing w:line="240" w:lineRule="auto"/>
                    <w:ind w:firstLine="0" w:firstLineChars="0"/>
                    <w:jc w:val="center"/>
                    <w:rPr>
                      <w:kern w:val="0"/>
                      <w:sz w:val="21"/>
                      <w:szCs w:val="21"/>
                    </w:rPr>
                  </w:pPr>
                  <w:r>
                    <w:rPr>
                      <w:kern w:val="0"/>
                      <w:sz w:val="21"/>
                      <w:szCs w:val="21"/>
                    </w:rPr>
                    <w:t>云南常青树化工有限公司</w:t>
                  </w:r>
                </w:p>
              </w:tc>
            </w:tr>
            <w:tr w14:paraId="74FCF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Merge w:val="continue"/>
                  <w:vAlign w:val="center"/>
                </w:tcPr>
                <w:p w14:paraId="62070446">
                  <w:pPr>
                    <w:adjustRightInd w:val="0"/>
                    <w:snapToGrid w:val="0"/>
                    <w:spacing w:line="240" w:lineRule="auto"/>
                    <w:ind w:firstLine="0" w:firstLineChars="0"/>
                    <w:jc w:val="center"/>
                    <w:rPr>
                      <w:kern w:val="0"/>
                      <w:sz w:val="21"/>
                      <w:szCs w:val="21"/>
                    </w:rPr>
                  </w:pPr>
                </w:p>
              </w:tc>
              <w:tc>
                <w:tcPr>
                  <w:tcW w:w="1364" w:type="pct"/>
                  <w:vAlign w:val="center"/>
                </w:tcPr>
                <w:p w14:paraId="75237012">
                  <w:pPr>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115.622</w:t>
                  </w:r>
                  <w:r>
                    <w:rPr>
                      <w:kern w:val="0"/>
                      <w:sz w:val="21"/>
                      <w:szCs w:val="21"/>
                    </w:rPr>
                    <w:t>万吨</w:t>
                  </w:r>
                </w:p>
              </w:tc>
              <w:tc>
                <w:tcPr>
                  <w:tcW w:w="2763" w:type="pct"/>
                  <w:vAlign w:val="center"/>
                </w:tcPr>
                <w:p w14:paraId="59892E31">
                  <w:pPr>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寻甸县其他磷石膏生产企业</w:t>
                  </w:r>
                </w:p>
              </w:tc>
            </w:tr>
            <w:tr w14:paraId="6BCD1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71" w:type="pct"/>
                  <w:vAlign w:val="center"/>
                </w:tcPr>
                <w:p w14:paraId="3C325D5C">
                  <w:pPr>
                    <w:adjustRightInd w:val="0"/>
                    <w:snapToGrid w:val="0"/>
                    <w:spacing w:line="240" w:lineRule="auto"/>
                    <w:ind w:firstLine="0" w:firstLineChars="0"/>
                    <w:jc w:val="center"/>
                    <w:rPr>
                      <w:kern w:val="0"/>
                      <w:sz w:val="21"/>
                      <w:szCs w:val="21"/>
                    </w:rPr>
                  </w:pPr>
                  <w:r>
                    <w:rPr>
                      <w:kern w:val="0"/>
                      <w:sz w:val="21"/>
                      <w:szCs w:val="21"/>
                    </w:rPr>
                    <w:t>耕植土</w:t>
                  </w:r>
                </w:p>
              </w:tc>
              <w:tc>
                <w:tcPr>
                  <w:tcW w:w="1364" w:type="pct"/>
                  <w:vAlign w:val="center"/>
                </w:tcPr>
                <w:p w14:paraId="3B2D6E7F">
                  <w:pPr>
                    <w:adjustRightInd w:val="0"/>
                    <w:snapToGrid w:val="0"/>
                    <w:spacing w:line="240" w:lineRule="auto"/>
                    <w:ind w:firstLine="0" w:firstLineChars="0"/>
                    <w:jc w:val="center"/>
                    <w:rPr>
                      <w:kern w:val="0"/>
                      <w:sz w:val="21"/>
                      <w:szCs w:val="21"/>
                    </w:rPr>
                  </w:pPr>
                  <w:r>
                    <w:t>覆耕植土80cm</w:t>
                  </w:r>
                </w:p>
              </w:tc>
              <w:tc>
                <w:tcPr>
                  <w:tcW w:w="2763" w:type="pct"/>
                  <w:vAlign w:val="center"/>
                </w:tcPr>
                <w:p w14:paraId="6873C703">
                  <w:pPr>
                    <w:adjustRightInd w:val="0"/>
                    <w:snapToGrid w:val="0"/>
                    <w:spacing w:line="240" w:lineRule="auto"/>
                    <w:ind w:firstLine="0" w:firstLineChars="0"/>
                    <w:jc w:val="center"/>
                    <w:rPr>
                      <w:rFonts w:hint="default" w:eastAsia="宋体"/>
                      <w:kern w:val="0"/>
                      <w:sz w:val="21"/>
                      <w:szCs w:val="21"/>
                      <w:lang w:val="en-US" w:eastAsia="zh-CN"/>
                    </w:rPr>
                  </w:pPr>
                  <w:r>
                    <w:rPr>
                      <w:rFonts w:hint="eastAsia"/>
                      <w:kern w:val="0"/>
                      <w:sz w:val="21"/>
                      <w:szCs w:val="21"/>
                      <w:lang w:val="en-US" w:eastAsia="zh-CN"/>
                    </w:rPr>
                    <w:t>外购</w:t>
                  </w:r>
                </w:p>
              </w:tc>
            </w:tr>
          </w:tbl>
          <w:p w14:paraId="7AB1729F">
            <w:pPr>
              <w:adjustRightInd w:val="0"/>
              <w:ind w:firstLine="480" w:firstLineChars="0"/>
              <w:rPr>
                <w:b/>
                <w:bCs/>
                <w:kern w:val="0"/>
                <w:szCs w:val="21"/>
              </w:rPr>
            </w:pPr>
            <w:r>
              <w:rPr>
                <w:b/>
                <w:bCs/>
                <w:kern w:val="0"/>
                <w:szCs w:val="21"/>
              </w:rPr>
              <w:t>（2）种苗用量</w:t>
            </w:r>
          </w:p>
          <w:p w14:paraId="0AE7B739">
            <w:pPr>
              <w:adjustRightInd w:val="0"/>
              <w:snapToGrid w:val="0"/>
              <w:spacing w:line="240" w:lineRule="auto"/>
              <w:ind w:firstLine="0" w:firstLineChars="0"/>
              <w:jc w:val="center"/>
              <w:rPr>
                <w:b/>
                <w:bCs/>
                <w:kern w:val="0"/>
                <w:sz w:val="24"/>
                <w:szCs w:val="24"/>
              </w:rPr>
            </w:pPr>
            <w:r>
              <w:rPr>
                <w:b/>
                <w:bCs/>
                <w:kern w:val="0"/>
                <w:sz w:val="24"/>
                <w:szCs w:val="24"/>
              </w:rPr>
              <w:t>表2-</w:t>
            </w:r>
            <w:r>
              <w:rPr>
                <w:rFonts w:hint="eastAsia"/>
                <w:b/>
                <w:bCs/>
                <w:kern w:val="0"/>
                <w:sz w:val="24"/>
                <w:szCs w:val="24"/>
                <w:lang w:val="en-US" w:eastAsia="zh-CN"/>
              </w:rPr>
              <w:t xml:space="preserve">7  </w:t>
            </w:r>
            <w:r>
              <w:rPr>
                <w:b/>
                <w:bCs/>
                <w:kern w:val="0"/>
                <w:sz w:val="24"/>
                <w:szCs w:val="24"/>
              </w:rPr>
              <w:t>施工期种苗用量</w:t>
            </w:r>
          </w:p>
          <w:tbl>
            <w:tblPr>
              <w:tblStyle w:val="4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18"/>
              <w:gridCol w:w="3119"/>
              <w:gridCol w:w="3121"/>
            </w:tblGrid>
            <w:tr w14:paraId="08733C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tcPr>
                <w:p w14:paraId="0C93E296">
                  <w:pPr>
                    <w:adjustRightInd w:val="0"/>
                    <w:snapToGrid w:val="0"/>
                    <w:spacing w:line="240" w:lineRule="auto"/>
                    <w:ind w:firstLine="0" w:firstLineChars="0"/>
                    <w:jc w:val="center"/>
                    <w:rPr>
                      <w:b/>
                      <w:bCs/>
                      <w:kern w:val="0"/>
                      <w:sz w:val="21"/>
                      <w:szCs w:val="21"/>
                    </w:rPr>
                  </w:pPr>
                  <w:r>
                    <w:rPr>
                      <w:b/>
                      <w:bCs/>
                      <w:kern w:val="0"/>
                      <w:sz w:val="21"/>
                      <w:szCs w:val="21"/>
                    </w:rPr>
                    <w:t>名称</w:t>
                  </w:r>
                </w:p>
              </w:tc>
              <w:tc>
                <w:tcPr>
                  <w:tcW w:w="1666" w:type="pct"/>
                </w:tcPr>
                <w:p w14:paraId="6701D730">
                  <w:pPr>
                    <w:adjustRightInd w:val="0"/>
                    <w:snapToGrid w:val="0"/>
                    <w:spacing w:line="240" w:lineRule="auto"/>
                    <w:ind w:firstLine="0" w:firstLineChars="0"/>
                    <w:jc w:val="center"/>
                    <w:rPr>
                      <w:b/>
                      <w:bCs/>
                      <w:kern w:val="0"/>
                      <w:sz w:val="21"/>
                      <w:szCs w:val="21"/>
                    </w:rPr>
                  </w:pPr>
                  <w:r>
                    <w:rPr>
                      <w:b/>
                      <w:bCs/>
                      <w:kern w:val="0"/>
                      <w:sz w:val="21"/>
                      <w:szCs w:val="21"/>
                    </w:rPr>
                    <w:t>用量</w:t>
                  </w:r>
                </w:p>
              </w:tc>
              <w:tc>
                <w:tcPr>
                  <w:tcW w:w="1667" w:type="pct"/>
                </w:tcPr>
                <w:p w14:paraId="78FDF52F">
                  <w:pPr>
                    <w:adjustRightInd w:val="0"/>
                    <w:snapToGrid w:val="0"/>
                    <w:spacing w:line="240" w:lineRule="auto"/>
                    <w:ind w:firstLine="0" w:firstLineChars="0"/>
                    <w:jc w:val="center"/>
                    <w:rPr>
                      <w:b/>
                      <w:bCs/>
                      <w:kern w:val="0"/>
                      <w:sz w:val="21"/>
                      <w:szCs w:val="21"/>
                    </w:rPr>
                  </w:pPr>
                  <w:r>
                    <w:rPr>
                      <w:b/>
                      <w:bCs/>
                      <w:kern w:val="0"/>
                      <w:sz w:val="21"/>
                      <w:szCs w:val="21"/>
                    </w:rPr>
                    <w:t>来源</w:t>
                  </w:r>
                </w:p>
              </w:tc>
            </w:tr>
            <w:tr w14:paraId="39771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5" w:type="pct"/>
                  <w:vAlign w:val="center"/>
                </w:tcPr>
                <w:p w14:paraId="74BF4BD7">
                  <w:pPr>
                    <w:adjustRightInd w:val="0"/>
                    <w:snapToGrid w:val="0"/>
                    <w:spacing w:line="240" w:lineRule="auto"/>
                    <w:ind w:firstLine="0" w:firstLineChars="0"/>
                    <w:jc w:val="center"/>
                    <w:rPr>
                      <w:kern w:val="0"/>
                      <w:sz w:val="21"/>
                      <w:szCs w:val="21"/>
                    </w:rPr>
                  </w:pPr>
                  <w:r>
                    <w:rPr>
                      <w:rFonts w:hint="eastAsia"/>
                      <w:kern w:val="0"/>
                      <w:sz w:val="21"/>
                      <w:szCs w:val="21"/>
                    </w:rPr>
                    <w:t>灌草种植</w:t>
                  </w:r>
                </w:p>
              </w:tc>
              <w:tc>
                <w:tcPr>
                  <w:tcW w:w="1666" w:type="pct"/>
                  <w:vAlign w:val="center"/>
                </w:tcPr>
                <w:p w14:paraId="66005A98">
                  <w:pPr>
                    <w:adjustRightInd w:val="0"/>
                    <w:snapToGrid w:val="0"/>
                    <w:spacing w:line="240" w:lineRule="auto"/>
                    <w:ind w:firstLine="0" w:firstLineChars="0"/>
                    <w:jc w:val="center"/>
                    <w:rPr>
                      <w:kern w:val="0"/>
                      <w:sz w:val="21"/>
                      <w:szCs w:val="21"/>
                    </w:rPr>
                  </w:pPr>
                  <w:r>
                    <w:rPr>
                      <w:rFonts w:hint="eastAsia"/>
                      <w:kern w:val="0"/>
                      <w:sz w:val="21"/>
                      <w:szCs w:val="21"/>
                    </w:rPr>
                    <w:t>51277</w:t>
                  </w:r>
                  <w:r>
                    <w:rPr>
                      <w:kern w:val="0"/>
                      <w:sz w:val="21"/>
                      <w:szCs w:val="21"/>
                    </w:rPr>
                    <w:t>株</w:t>
                  </w:r>
                </w:p>
              </w:tc>
              <w:tc>
                <w:tcPr>
                  <w:tcW w:w="1667" w:type="pct"/>
                </w:tcPr>
                <w:p w14:paraId="4F4CF4A9">
                  <w:pPr>
                    <w:adjustRightInd w:val="0"/>
                    <w:snapToGrid w:val="0"/>
                    <w:spacing w:line="240" w:lineRule="auto"/>
                    <w:ind w:firstLine="0" w:firstLineChars="0"/>
                    <w:jc w:val="center"/>
                    <w:rPr>
                      <w:kern w:val="0"/>
                      <w:sz w:val="21"/>
                      <w:szCs w:val="21"/>
                    </w:rPr>
                  </w:pPr>
                  <w:r>
                    <w:rPr>
                      <w:kern w:val="0"/>
                      <w:sz w:val="21"/>
                      <w:szCs w:val="21"/>
                    </w:rPr>
                    <w:t>外购</w:t>
                  </w:r>
                </w:p>
              </w:tc>
            </w:tr>
          </w:tbl>
          <w:p w14:paraId="3BEABC29">
            <w:pPr>
              <w:adjustRightInd w:val="0"/>
              <w:ind w:left="0" w:leftChars="0" w:firstLine="0" w:firstLineChars="0"/>
              <w:rPr>
                <w:b/>
                <w:bCs/>
                <w:kern w:val="0"/>
                <w:szCs w:val="21"/>
              </w:rPr>
            </w:pPr>
            <w:r>
              <w:rPr>
                <w:rFonts w:hint="eastAsia"/>
                <w:b/>
                <w:bCs/>
                <w:kern w:val="0"/>
                <w:szCs w:val="21"/>
                <w:lang w:val="en-US" w:eastAsia="zh-CN"/>
              </w:rPr>
              <w:t>6</w:t>
            </w:r>
            <w:r>
              <w:rPr>
                <w:b/>
                <w:bCs/>
                <w:kern w:val="0"/>
                <w:szCs w:val="21"/>
              </w:rPr>
              <w:t>、主要设备</w:t>
            </w:r>
          </w:p>
          <w:p w14:paraId="5802385C">
            <w:pPr>
              <w:adjustRightInd w:val="0"/>
              <w:snapToGrid w:val="0"/>
              <w:spacing w:line="240" w:lineRule="auto"/>
              <w:ind w:firstLine="0" w:firstLineChars="0"/>
              <w:jc w:val="center"/>
              <w:rPr>
                <w:b/>
                <w:bCs/>
                <w:kern w:val="0"/>
                <w:sz w:val="24"/>
                <w:szCs w:val="24"/>
              </w:rPr>
            </w:pPr>
            <w:r>
              <w:rPr>
                <w:b/>
                <w:bCs/>
                <w:kern w:val="0"/>
                <w:sz w:val="24"/>
                <w:szCs w:val="24"/>
              </w:rPr>
              <w:t>表2-</w:t>
            </w:r>
            <w:r>
              <w:rPr>
                <w:rFonts w:hint="eastAsia"/>
                <w:b/>
                <w:bCs/>
                <w:kern w:val="0"/>
                <w:sz w:val="24"/>
                <w:szCs w:val="24"/>
                <w:lang w:val="en-US" w:eastAsia="zh-CN"/>
              </w:rPr>
              <w:t xml:space="preserve">8  </w:t>
            </w:r>
            <w:r>
              <w:rPr>
                <w:b/>
                <w:bCs/>
                <w:kern w:val="0"/>
                <w:sz w:val="24"/>
                <w:szCs w:val="24"/>
              </w:rPr>
              <w:t>主要施工设备一览表</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120"/>
              <w:gridCol w:w="3120"/>
              <w:gridCol w:w="3120"/>
            </w:tblGrid>
            <w:tr w14:paraId="58C9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22952F78">
                  <w:pPr>
                    <w:bidi/>
                    <w:adjustRightInd w:val="0"/>
                    <w:snapToGrid w:val="0"/>
                    <w:spacing w:line="240" w:lineRule="auto"/>
                    <w:ind w:firstLine="0" w:firstLineChars="0"/>
                    <w:jc w:val="center"/>
                    <w:rPr>
                      <w:b/>
                      <w:bCs/>
                      <w:kern w:val="0"/>
                      <w:sz w:val="21"/>
                      <w:szCs w:val="21"/>
                    </w:rPr>
                  </w:pPr>
                  <w:r>
                    <w:rPr>
                      <w:b/>
                      <w:bCs/>
                      <w:kern w:val="0"/>
                      <w:sz w:val="21"/>
                      <w:szCs w:val="21"/>
                    </w:rPr>
                    <w:t>设备名称</w:t>
                  </w:r>
                </w:p>
              </w:tc>
              <w:tc>
                <w:tcPr>
                  <w:tcW w:w="1666" w:type="pct"/>
                </w:tcPr>
                <w:p w14:paraId="4145A7D3">
                  <w:pPr>
                    <w:bidi/>
                    <w:adjustRightInd w:val="0"/>
                    <w:snapToGrid w:val="0"/>
                    <w:spacing w:line="240" w:lineRule="auto"/>
                    <w:ind w:firstLine="0" w:firstLineChars="0"/>
                    <w:jc w:val="center"/>
                    <w:rPr>
                      <w:b/>
                      <w:bCs/>
                      <w:kern w:val="0"/>
                      <w:sz w:val="21"/>
                      <w:szCs w:val="21"/>
                    </w:rPr>
                  </w:pPr>
                  <w:r>
                    <w:rPr>
                      <w:b/>
                      <w:bCs/>
                      <w:kern w:val="0"/>
                      <w:sz w:val="21"/>
                      <w:szCs w:val="21"/>
                    </w:rPr>
                    <w:t>规格</w:t>
                  </w:r>
                </w:p>
              </w:tc>
              <w:tc>
                <w:tcPr>
                  <w:tcW w:w="1666" w:type="pct"/>
                </w:tcPr>
                <w:p w14:paraId="6F219E00">
                  <w:pPr>
                    <w:bidi/>
                    <w:adjustRightInd w:val="0"/>
                    <w:snapToGrid w:val="0"/>
                    <w:spacing w:line="240" w:lineRule="auto"/>
                    <w:ind w:firstLine="0" w:firstLineChars="0"/>
                    <w:jc w:val="center"/>
                    <w:rPr>
                      <w:b/>
                      <w:bCs/>
                      <w:kern w:val="0"/>
                      <w:sz w:val="21"/>
                      <w:szCs w:val="21"/>
                    </w:rPr>
                  </w:pPr>
                  <w:r>
                    <w:rPr>
                      <w:b/>
                      <w:bCs/>
                      <w:kern w:val="0"/>
                      <w:sz w:val="21"/>
                      <w:szCs w:val="21"/>
                    </w:rPr>
                    <w:t>数量</w:t>
                  </w:r>
                </w:p>
              </w:tc>
            </w:tr>
            <w:tr w14:paraId="69389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5982908E">
                  <w:pPr>
                    <w:bidi/>
                    <w:adjustRightInd w:val="0"/>
                    <w:snapToGrid w:val="0"/>
                    <w:spacing w:line="240" w:lineRule="auto"/>
                    <w:ind w:firstLine="0" w:firstLineChars="0"/>
                    <w:jc w:val="center"/>
                    <w:rPr>
                      <w:kern w:val="0"/>
                      <w:sz w:val="21"/>
                      <w:szCs w:val="21"/>
                    </w:rPr>
                  </w:pPr>
                  <w:r>
                    <w:rPr>
                      <w:kern w:val="0"/>
                      <w:sz w:val="21"/>
                      <w:szCs w:val="21"/>
                    </w:rPr>
                    <w:t>挖掘机</w:t>
                  </w:r>
                </w:p>
              </w:tc>
              <w:tc>
                <w:tcPr>
                  <w:tcW w:w="1666" w:type="pct"/>
                </w:tcPr>
                <w:p w14:paraId="28FC3CF6">
                  <w:pPr>
                    <w:bidi/>
                    <w:adjustRightInd w:val="0"/>
                    <w:snapToGrid w:val="0"/>
                    <w:spacing w:line="240" w:lineRule="auto"/>
                    <w:ind w:firstLine="0" w:firstLineChars="0"/>
                    <w:jc w:val="center"/>
                    <w:rPr>
                      <w:kern w:val="0"/>
                      <w:sz w:val="21"/>
                      <w:szCs w:val="21"/>
                    </w:rPr>
                  </w:pPr>
                  <w:r>
                    <w:rPr>
                      <w:kern w:val="0"/>
                      <w:sz w:val="21"/>
                      <w:szCs w:val="21"/>
                    </w:rPr>
                    <w:t>1m³</w:t>
                  </w:r>
                </w:p>
              </w:tc>
              <w:tc>
                <w:tcPr>
                  <w:tcW w:w="1666" w:type="pct"/>
                </w:tcPr>
                <w:p w14:paraId="40114594">
                  <w:pPr>
                    <w:bidi/>
                    <w:adjustRightInd w:val="0"/>
                    <w:snapToGrid w:val="0"/>
                    <w:spacing w:line="240" w:lineRule="auto"/>
                    <w:ind w:firstLine="0" w:firstLineChars="0"/>
                    <w:jc w:val="center"/>
                    <w:rPr>
                      <w:kern w:val="0"/>
                      <w:sz w:val="21"/>
                      <w:szCs w:val="21"/>
                    </w:rPr>
                  </w:pPr>
                  <w:r>
                    <w:rPr>
                      <w:kern w:val="0"/>
                      <w:sz w:val="21"/>
                      <w:szCs w:val="21"/>
                    </w:rPr>
                    <w:t>2辆</w:t>
                  </w:r>
                </w:p>
              </w:tc>
            </w:tr>
            <w:tr w14:paraId="227019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174F0791">
                  <w:pPr>
                    <w:bidi/>
                    <w:adjustRightInd w:val="0"/>
                    <w:snapToGrid w:val="0"/>
                    <w:spacing w:line="240" w:lineRule="auto"/>
                    <w:ind w:firstLine="0" w:firstLineChars="0"/>
                    <w:jc w:val="center"/>
                    <w:rPr>
                      <w:sz w:val="21"/>
                      <w:szCs w:val="21"/>
                    </w:rPr>
                  </w:pPr>
                  <w:r>
                    <w:rPr>
                      <w:sz w:val="21"/>
                      <w:szCs w:val="21"/>
                    </w:rPr>
                    <w:t>推土机</w:t>
                  </w:r>
                </w:p>
              </w:tc>
              <w:tc>
                <w:tcPr>
                  <w:tcW w:w="1666" w:type="pct"/>
                </w:tcPr>
                <w:p w14:paraId="49C386A6">
                  <w:pPr>
                    <w:bidi/>
                    <w:adjustRightInd w:val="0"/>
                    <w:snapToGrid w:val="0"/>
                    <w:spacing w:line="240" w:lineRule="auto"/>
                    <w:ind w:firstLine="0" w:firstLineChars="0"/>
                    <w:jc w:val="center"/>
                    <w:rPr>
                      <w:kern w:val="0"/>
                      <w:sz w:val="21"/>
                      <w:szCs w:val="21"/>
                    </w:rPr>
                  </w:pPr>
                  <w:r>
                    <w:rPr>
                      <w:kern w:val="0"/>
                      <w:sz w:val="21"/>
                      <w:szCs w:val="21"/>
                    </w:rPr>
                    <w:t>履带式</w:t>
                  </w:r>
                </w:p>
              </w:tc>
              <w:tc>
                <w:tcPr>
                  <w:tcW w:w="1666" w:type="pct"/>
                </w:tcPr>
                <w:p w14:paraId="326C546E">
                  <w:pPr>
                    <w:bidi/>
                    <w:adjustRightInd w:val="0"/>
                    <w:snapToGrid w:val="0"/>
                    <w:spacing w:line="240" w:lineRule="auto"/>
                    <w:ind w:firstLine="0" w:firstLineChars="0"/>
                    <w:jc w:val="center"/>
                    <w:rPr>
                      <w:kern w:val="0"/>
                      <w:sz w:val="21"/>
                      <w:szCs w:val="21"/>
                    </w:rPr>
                  </w:pPr>
                  <w:r>
                    <w:rPr>
                      <w:kern w:val="0"/>
                      <w:sz w:val="21"/>
                      <w:szCs w:val="21"/>
                    </w:rPr>
                    <w:t>3辆</w:t>
                  </w:r>
                </w:p>
              </w:tc>
            </w:tr>
            <w:tr w14:paraId="6DDF98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7BEE3A59">
                  <w:pPr>
                    <w:bidi/>
                    <w:adjustRightInd w:val="0"/>
                    <w:snapToGrid w:val="0"/>
                    <w:spacing w:line="240" w:lineRule="auto"/>
                    <w:ind w:firstLine="0" w:firstLineChars="0"/>
                    <w:jc w:val="center"/>
                    <w:rPr>
                      <w:sz w:val="21"/>
                      <w:szCs w:val="21"/>
                    </w:rPr>
                  </w:pPr>
                  <w:r>
                    <w:rPr>
                      <w:sz w:val="21"/>
                      <w:szCs w:val="21"/>
                    </w:rPr>
                    <w:t>重型运输车辆</w:t>
                  </w:r>
                </w:p>
              </w:tc>
              <w:tc>
                <w:tcPr>
                  <w:tcW w:w="1666" w:type="pct"/>
                </w:tcPr>
                <w:p w14:paraId="35BA3570">
                  <w:pPr>
                    <w:bidi/>
                    <w:adjustRightInd w:val="0"/>
                    <w:snapToGrid w:val="0"/>
                    <w:spacing w:line="240" w:lineRule="auto"/>
                    <w:ind w:firstLine="0" w:firstLineChars="0"/>
                    <w:jc w:val="center"/>
                    <w:rPr>
                      <w:kern w:val="0"/>
                      <w:sz w:val="21"/>
                      <w:szCs w:val="21"/>
                    </w:rPr>
                  </w:pPr>
                  <w:r>
                    <w:rPr>
                      <w:kern w:val="0"/>
                      <w:sz w:val="21"/>
                      <w:szCs w:val="21"/>
                    </w:rPr>
                    <w:t>15t</w:t>
                  </w:r>
                </w:p>
              </w:tc>
              <w:tc>
                <w:tcPr>
                  <w:tcW w:w="1666" w:type="pct"/>
                </w:tcPr>
                <w:p w14:paraId="2B7B4CFC">
                  <w:pPr>
                    <w:bidi/>
                    <w:adjustRightInd w:val="0"/>
                    <w:snapToGrid w:val="0"/>
                    <w:spacing w:line="240" w:lineRule="auto"/>
                    <w:ind w:firstLine="0" w:firstLineChars="0"/>
                    <w:jc w:val="center"/>
                    <w:rPr>
                      <w:kern w:val="0"/>
                      <w:sz w:val="21"/>
                      <w:szCs w:val="21"/>
                    </w:rPr>
                  </w:pPr>
                  <w:r>
                    <w:rPr>
                      <w:kern w:val="0"/>
                      <w:sz w:val="21"/>
                      <w:szCs w:val="21"/>
                    </w:rPr>
                    <w:t>5辆</w:t>
                  </w:r>
                </w:p>
              </w:tc>
            </w:tr>
            <w:tr w14:paraId="3E0A8B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3CC84C3F">
                  <w:pPr>
                    <w:bidi/>
                    <w:adjustRightInd w:val="0"/>
                    <w:snapToGrid w:val="0"/>
                    <w:spacing w:line="240" w:lineRule="auto"/>
                    <w:ind w:firstLine="0" w:firstLineChars="0"/>
                    <w:jc w:val="center"/>
                    <w:rPr>
                      <w:sz w:val="21"/>
                      <w:szCs w:val="21"/>
                    </w:rPr>
                  </w:pPr>
                  <w:r>
                    <w:rPr>
                      <w:sz w:val="21"/>
                      <w:szCs w:val="21"/>
                    </w:rPr>
                    <w:t>洒水车</w:t>
                  </w:r>
                </w:p>
              </w:tc>
              <w:tc>
                <w:tcPr>
                  <w:tcW w:w="1666" w:type="pct"/>
                </w:tcPr>
                <w:p w14:paraId="77C19848">
                  <w:pPr>
                    <w:bidi/>
                    <w:adjustRightInd w:val="0"/>
                    <w:snapToGrid w:val="0"/>
                    <w:spacing w:line="240" w:lineRule="auto"/>
                    <w:ind w:firstLine="0" w:firstLineChars="0"/>
                    <w:jc w:val="center"/>
                    <w:rPr>
                      <w:kern w:val="0"/>
                      <w:sz w:val="21"/>
                      <w:szCs w:val="21"/>
                    </w:rPr>
                  </w:pPr>
                  <w:r>
                    <w:rPr>
                      <w:kern w:val="0"/>
                      <w:sz w:val="21"/>
                      <w:szCs w:val="21"/>
                    </w:rPr>
                    <w:t>20m³</w:t>
                  </w:r>
                </w:p>
              </w:tc>
              <w:tc>
                <w:tcPr>
                  <w:tcW w:w="1666" w:type="pct"/>
                </w:tcPr>
                <w:p w14:paraId="4189E6C6">
                  <w:pPr>
                    <w:bidi/>
                    <w:adjustRightInd w:val="0"/>
                    <w:snapToGrid w:val="0"/>
                    <w:spacing w:line="240" w:lineRule="auto"/>
                    <w:ind w:firstLine="0" w:firstLineChars="0"/>
                    <w:jc w:val="center"/>
                    <w:rPr>
                      <w:kern w:val="0"/>
                      <w:sz w:val="21"/>
                      <w:szCs w:val="21"/>
                    </w:rPr>
                  </w:pPr>
                  <w:r>
                    <w:rPr>
                      <w:kern w:val="0"/>
                      <w:sz w:val="21"/>
                      <w:szCs w:val="21"/>
                    </w:rPr>
                    <w:t>1辆</w:t>
                  </w:r>
                </w:p>
              </w:tc>
            </w:tr>
            <w:tr w14:paraId="57C25C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39EF2EE2">
                  <w:pPr>
                    <w:bidi/>
                    <w:adjustRightInd w:val="0"/>
                    <w:snapToGrid w:val="0"/>
                    <w:spacing w:line="240" w:lineRule="auto"/>
                    <w:ind w:firstLine="0" w:firstLineChars="0"/>
                    <w:jc w:val="center"/>
                    <w:rPr>
                      <w:sz w:val="21"/>
                      <w:szCs w:val="21"/>
                    </w:rPr>
                  </w:pPr>
                  <w:r>
                    <w:rPr>
                      <w:sz w:val="21"/>
                      <w:szCs w:val="21"/>
                    </w:rPr>
                    <w:t>压路机</w:t>
                  </w:r>
                </w:p>
              </w:tc>
              <w:tc>
                <w:tcPr>
                  <w:tcW w:w="1666" w:type="pct"/>
                </w:tcPr>
                <w:p w14:paraId="2B870CCA">
                  <w:pPr>
                    <w:bidi/>
                    <w:adjustRightInd w:val="0"/>
                    <w:snapToGrid w:val="0"/>
                    <w:spacing w:line="240" w:lineRule="auto"/>
                    <w:ind w:firstLine="0" w:firstLineChars="0"/>
                    <w:jc w:val="center"/>
                    <w:rPr>
                      <w:kern w:val="0"/>
                      <w:sz w:val="21"/>
                      <w:szCs w:val="21"/>
                    </w:rPr>
                  </w:pPr>
                  <w:r>
                    <w:rPr>
                      <w:kern w:val="0"/>
                      <w:sz w:val="21"/>
                      <w:szCs w:val="21"/>
                    </w:rPr>
                    <w:t>30t</w:t>
                  </w:r>
                </w:p>
              </w:tc>
              <w:tc>
                <w:tcPr>
                  <w:tcW w:w="1666" w:type="pct"/>
                </w:tcPr>
                <w:p w14:paraId="5A7BE8E1">
                  <w:pPr>
                    <w:bidi/>
                    <w:adjustRightInd w:val="0"/>
                    <w:snapToGrid w:val="0"/>
                    <w:spacing w:line="240" w:lineRule="auto"/>
                    <w:ind w:firstLine="0" w:firstLineChars="0"/>
                    <w:jc w:val="center"/>
                    <w:rPr>
                      <w:kern w:val="0"/>
                      <w:sz w:val="21"/>
                      <w:szCs w:val="21"/>
                    </w:rPr>
                  </w:pPr>
                  <w:r>
                    <w:rPr>
                      <w:kern w:val="0"/>
                      <w:sz w:val="21"/>
                      <w:szCs w:val="21"/>
                    </w:rPr>
                    <w:t>1辆</w:t>
                  </w:r>
                </w:p>
              </w:tc>
            </w:tr>
            <w:tr w14:paraId="4DAAE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66" w:type="pct"/>
                </w:tcPr>
                <w:p w14:paraId="24668544">
                  <w:pPr>
                    <w:bidi/>
                    <w:adjustRightInd w:val="0"/>
                    <w:snapToGrid w:val="0"/>
                    <w:spacing w:line="240" w:lineRule="auto"/>
                    <w:ind w:firstLine="0" w:firstLineChars="0"/>
                    <w:jc w:val="center"/>
                    <w:rPr>
                      <w:sz w:val="21"/>
                      <w:szCs w:val="21"/>
                    </w:rPr>
                  </w:pPr>
                  <w:r>
                    <w:rPr>
                      <w:sz w:val="21"/>
                      <w:szCs w:val="21"/>
                    </w:rPr>
                    <w:t>装载机</w:t>
                  </w:r>
                </w:p>
              </w:tc>
              <w:tc>
                <w:tcPr>
                  <w:tcW w:w="1666" w:type="pct"/>
                </w:tcPr>
                <w:p w14:paraId="282A6299">
                  <w:pPr>
                    <w:bidi/>
                    <w:adjustRightInd w:val="0"/>
                    <w:snapToGrid w:val="0"/>
                    <w:spacing w:line="240" w:lineRule="auto"/>
                    <w:ind w:firstLine="0" w:firstLineChars="0"/>
                    <w:jc w:val="center"/>
                    <w:rPr>
                      <w:kern w:val="0"/>
                      <w:sz w:val="21"/>
                      <w:szCs w:val="21"/>
                    </w:rPr>
                  </w:pPr>
                  <w:r>
                    <w:rPr>
                      <w:kern w:val="0"/>
                      <w:sz w:val="21"/>
                      <w:szCs w:val="21"/>
                    </w:rPr>
                    <w:t>3m³</w:t>
                  </w:r>
                </w:p>
              </w:tc>
              <w:tc>
                <w:tcPr>
                  <w:tcW w:w="1666" w:type="pct"/>
                </w:tcPr>
                <w:p w14:paraId="51E68962">
                  <w:pPr>
                    <w:bidi/>
                    <w:adjustRightInd w:val="0"/>
                    <w:snapToGrid w:val="0"/>
                    <w:spacing w:line="240" w:lineRule="auto"/>
                    <w:ind w:firstLine="0" w:firstLineChars="0"/>
                    <w:jc w:val="center"/>
                    <w:rPr>
                      <w:kern w:val="0"/>
                      <w:sz w:val="21"/>
                      <w:szCs w:val="21"/>
                    </w:rPr>
                  </w:pPr>
                  <w:r>
                    <w:rPr>
                      <w:kern w:val="0"/>
                      <w:sz w:val="21"/>
                      <w:szCs w:val="21"/>
                    </w:rPr>
                    <w:t>1辆</w:t>
                  </w:r>
                </w:p>
              </w:tc>
            </w:tr>
          </w:tbl>
          <w:p w14:paraId="04F609AF">
            <w:pPr>
              <w:adjustRightInd w:val="0"/>
              <w:ind w:left="0" w:leftChars="0" w:firstLine="0" w:firstLineChars="0"/>
              <w:jc w:val="both"/>
              <w:rPr>
                <w:b/>
                <w:bCs/>
                <w:kern w:val="0"/>
                <w:szCs w:val="21"/>
              </w:rPr>
            </w:pPr>
            <w:r>
              <w:rPr>
                <w:rFonts w:hint="eastAsia"/>
                <w:b/>
                <w:bCs/>
                <w:kern w:val="0"/>
                <w:szCs w:val="21"/>
                <w:lang w:val="en-US" w:eastAsia="zh-CN"/>
              </w:rPr>
              <w:t>7</w:t>
            </w:r>
            <w:r>
              <w:rPr>
                <w:b/>
                <w:bCs/>
                <w:kern w:val="0"/>
                <w:szCs w:val="21"/>
              </w:rPr>
              <w:t>、劳动定员</w:t>
            </w:r>
          </w:p>
          <w:p w14:paraId="57F7DEE6">
            <w:pPr>
              <w:adjustRightInd w:val="0"/>
              <w:ind w:firstLine="480" w:firstLineChars="0"/>
              <w:rPr>
                <w:kern w:val="0"/>
                <w:szCs w:val="21"/>
              </w:rPr>
            </w:pPr>
            <w:r>
              <w:rPr>
                <w:kern w:val="0"/>
                <w:szCs w:val="21"/>
              </w:rPr>
              <w:t>该项目施工高峰期劳动定员30人，负责回填修复区回填及植被种植，不在施工场地内食宿。每天一班，每班8小时，年工作365天，项目建设时间为</w:t>
            </w:r>
            <w:r>
              <w:rPr>
                <w:kern w:val="0"/>
                <w:lang w:bidi="ar"/>
              </w:rPr>
              <w:t>202</w:t>
            </w:r>
            <w:r>
              <w:rPr>
                <w:rFonts w:hint="eastAsia"/>
                <w:kern w:val="0"/>
                <w:lang w:bidi="ar"/>
              </w:rPr>
              <w:t>5</w:t>
            </w:r>
            <w:r>
              <w:rPr>
                <w:kern w:val="0"/>
                <w:lang w:bidi="ar"/>
              </w:rPr>
              <w:t>年</w:t>
            </w:r>
            <w:r>
              <w:rPr>
                <w:rFonts w:hint="eastAsia"/>
                <w:kern w:val="0"/>
                <w:lang w:val="en-US" w:eastAsia="zh-CN" w:bidi="ar"/>
              </w:rPr>
              <w:t>10</w:t>
            </w:r>
            <w:r>
              <w:rPr>
                <w:kern w:val="0"/>
                <w:lang w:bidi="ar"/>
              </w:rPr>
              <w:t>月至20</w:t>
            </w:r>
            <w:r>
              <w:rPr>
                <w:rFonts w:hint="eastAsia"/>
                <w:kern w:val="0"/>
                <w:lang w:bidi="ar"/>
              </w:rPr>
              <w:t>28</w:t>
            </w:r>
            <w:r>
              <w:rPr>
                <w:kern w:val="0"/>
                <w:lang w:bidi="ar"/>
              </w:rPr>
              <w:t>年</w:t>
            </w:r>
            <w:r>
              <w:rPr>
                <w:rFonts w:hint="eastAsia"/>
                <w:kern w:val="0"/>
                <w:lang w:val="en-US" w:eastAsia="zh-CN" w:bidi="ar"/>
              </w:rPr>
              <w:t>4</w:t>
            </w:r>
            <w:r>
              <w:rPr>
                <w:kern w:val="0"/>
                <w:lang w:bidi="ar"/>
              </w:rPr>
              <w:t>月</w:t>
            </w:r>
            <w:r>
              <w:rPr>
                <w:kern w:val="0"/>
                <w:szCs w:val="21"/>
              </w:rPr>
              <w:t>。</w:t>
            </w:r>
          </w:p>
        </w:tc>
      </w:tr>
      <w:tr w14:paraId="4C2B67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14:paraId="685D6015">
            <w:pPr>
              <w:adjustRightInd w:val="0"/>
              <w:snapToGrid w:val="0"/>
              <w:spacing w:line="240" w:lineRule="auto"/>
              <w:ind w:firstLine="0" w:firstLineChars="0"/>
              <w:rPr>
                <w:kern w:val="0"/>
                <w:szCs w:val="21"/>
              </w:rPr>
            </w:pPr>
            <w:r>
              <w:rPr>
                <w:kern w:val="0"/>
                <w:szCs w:val="21"/>
              </w:rPr>
              <w:t>总平面及现场布置</w:t>
            </w:r>
          </w:p>
        </w:tc>
        <w:tc>
          <w:tcPr>
            <w:tcW w:w="8380" w:type="dxa"/>
            <w:vAlign w:val="center"/>
          </w:tcPr>
          <w:p w14:paraId="0EA1085F">
            <w:pPr>
              <w:adjustRightInd w:val="0"/>
              <w:snapToGrid w:val="0"/>
              <w:ind w:firstLine="480"/>
            </w:pPr>
            <w:r>
              <w:rPr>
                <w:kern w:val="0"/>
                <w:szCs w:val="21"/>
              </w:rPr>
              <w:t>本次生态修复项目修复面积</w:t>
            </w:r>
            <w:r>
              <w:rPr>
                <w:rFonts w:hint="eastAsia"/>
                <w:kern w:val="0"/>
                <w:szCs w:val="21"/>
                <w:lang w:eastAsia="zh-CN"/>
              </w:rPr>
              <w:t>127097</w:t>
            </w:r>
            <w:r>
              <w:rPr>
                <w:kern w:val="0"/>
                <w:szCs w:val="21"/>
              </w:rPr>
              <w:t>m</w:t>
            </w:r>
            <w:r>
              <w:rPr>
                <w:kern w:val="0"/>
                <w:szCs w:val="21"/>
                <w:vertAlign w:val="superscript"/>
              </w:rPr>
              <w:t>2</w:t>
            </w:r>
            <w:r>
              <w:rPr>
                <w:kern w:val="0"/>
                <w:szCs w:val="21"/>
              </w:rPr>
              <w:t>。矿坑生态修复工程平面布置见附图3。</w:t>
            </w:r>
          </w:p>
        </w:tc>
      </w:tr>
      <w:tr w14:paraId="3C9FD52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14:paraId="0E9608D8">
            <w:pPr>
              <w:adjustRightInd w:val="0"/>
              <w:snapToGrid w:val="0"/>
              <w:spacing w:line="240" w:lineRule="auto"/>
              <w:ind w:firstLine="0" w:firstLineChars="0"/>
              <w:rPr>
                <w:kern w:val="0"/>
                <w:szCs w:val="21"/>
              </w:rPr>
            </w:pPr>
            <w:r>
              <w:rPr>
                <w:kern w:val="0"/>
                <w:szCs w:val="21"/>
              </w:rPr>
              <w:t>施工方案</w:t>
            </w:r>
          </w:p>
        </w:tc>
        <w:tc>
          <w:tcPr>
            <w:tcW w:w="8380" w:type="dxa"/>
            <w:vAlign w:val="center"/>
          </w:tcPr>
          <w:p w14:paraId="0B382042">
            <w:pPr>
              <w:adjustRightInd w:val="0"/>
              <w:snapToGrid w:val="0"/>
              <w:ind w:firstLine="480"/>
              <w:rPr>
                <w:kern w:val="0"/>
                <w:szCs w:val="21"/>
              </w:rPr>
            </w:pPr>
            <w:r>
              <w:rPr>
                <w:kern w:val="0"/>
                <w:szCs w:val="21"/>
              </w:rPr>
              <w:t>根据项目总体布局，生态修复区回填区工程施工工序为：场地清理→截排水沟施工→拦挡设施修建→底部防渗工程→回填生态修复材料→顶部防渗层→植被恢复。</w:t>
            </w:r>
          </w:p>
          <w:p w14:paraId="184D3C33">
            <w:pPr>
              <w:adjustRightInd w:val="0"/>
              <w:snapToGrid w:val="0"/>
              <w:ind w:firstLine="480"/>
              <w:rPr>
                <w:kern w:val="0"/>
                <w:szCs w:val="21"/>
              </w:rPr>
            </w:pPr>
            <w:r>
              <w:rPr>
                <w:kern w:val="0"/>
                <w:szCs w:val="21"/>
              </w:rPr>
              <w:t>生态修复区非回填区施工工序为覆耕植土→植被恢复施工。</w:t>
            </w:r>
          </w:p>
          <w:p w14:paraId="0BB2C8C5">
            <w:pPr>
              <w:pStyle w:val="71"/>
              <w:adjustRightInd w:val="0"/>
              <w:ind w:firstLine="498"/>
              <w:jc w:val="both"/>
              <w:rPr>
                <w:b/>
                <w:bCs/>
                <w:lang w:val="en-US"/>
              </w:rPr>
            </w:pPr>
            <w:r>
              <w:rPr>
                <w:b/>
                <w:bCs/>
                <w:lang w:val="en-US"/>
              </w:rPr>
              <w:t>1、施工组织设计</w:t>
            </w:r>
          </w:p>
          <w:p w14:paraId="0059AAFE">
            <w:pPr>
              <w:widowControl/>
              <w:ind w:firstLine="482"/>
              <w:rPr>
                <w:b/>
                <w:bCs/>
              </w:rPr>
            </w:pPr>
            <w:r>
              <w:rPr>
                <w:b/>
                <w:bCs/>
              </w:rPr>
              <w:t>（1）施工交通</w:t>
            </w:r>
          </w:p>
          <w:p w14:paraId="06F2CEF5">
            <w:pPr>
              <w:widowControl/>
              <w:ind w:firstLine="480"/>
              <w:rPr>
                <w:kern w:val="0"/>
                <w:lang w:bidi="ar"/>
              </w:rPr>
            </w:pPr>
            <w:r>
              <w:rPr>
                <w:kern w:val="0"/>
                <w:lang w:bidi="ar"/>
              </w:rPr>
              <w:t>主要交通道路为以往用于矿业运输的运输通道，外部连接各村庄的农村道路，路宽3.0—4.0m治理区向外连接附近农村水泥路，交通便利。</w:t>
            </w:r>
          </w:p>
          <w:p w14:paraId="7FCCCE4C">
            <w:pPr>
              <w:widowControl/>
              <w:ind w:firstLine="480"/>
              <w:rPr>
                <w:kern w:val="0"/>
                <w:lang w:bidi="ar"/>
              </w:rPr>
            </w:pPr>
            <w:r>
              <w:rPr>
                <w:kern w:val="0"/>
                <w:lang w:bidi="ar"/>
              </w:rPr>
              <w:t>项目改性磷石膏材料运输由寻甸县科技和工业信息化局委托第三方运输队伍进行运输，改性</w:t>
            </w:r>
            <w:r>
              <w:rPr>
                <w:spacing w:val="10"/>
              </w:rPr>
              <w:t>磷石膏材料运输采用汽车运输，外部运输道路与修复区运输道路平顺连接。矿坑修复区</w:t>
            </w:r>
            <w:r>
              <w:rPr>
                <w:rFonts w:hint="eastAsia"/>
                <w:spacing w:val="10"/>
                <w:lang w:val="en-US" w:eastAsia="zh-CN"/>
              </w:rPr>
              <w:t>西侧</w:t>
            </w:r>
            <w:r>
              <w:rPr>
                <w:spacing w:val="10"/>
              </w:rPr>
              <w:t>的简易公路与</w:t>
            </w:r>
            <w:r>
              <w:rPr>
                <w:rFonts w:hint="eastAsia"/>
                <w:spacing w:val="10"/>
              </w:rPr>
              <w:t>柯鸡线</w:t>
            </w:r>
            <w:r>
              <w:rPr>
                <w:spacing w:val="10"/>
              </w:rPr>
              <w:t>相连</w:t>
            </w:r>
            <w:r>
              <w:rPr>
                <w:rFonts w:hint="eastAsia"/>
                <w:spacing w:val="10"/>
              </w:rPr>
              <w:t>矿区运输线路方便</w:t>
            </w:r>
            <w:r>
              <w:rPr>
                <w:spacing w:val="10"/>
              </w:rPr>
              <w:t>。</w:t>
            </w:r>
          </w:p>
          <w:p w14:paraId="345D19F0">
            <w:pPr>
              <w:pStyle w:val="71"/>
              <w:adjustRightInd w:val="0"/>
              <w:ind w:firstLine="498"/>
              <w:jc w:val="both"/>
              <w:rPr>
                <w:b/>
                <w:bCs/>
                <w:lang w:val="en-US"/>
              </w:rPr>
            </w:pPr>
            <w:r>
              <w:rPr>
                <w:b/>
                <w:bCs/>
                <w:lang w:val="en-US"/>
              </w:rPr>
              <w:t>（2）施工用水</w:t>
            </w:r>
          </w:p>
          <w:p w14:paraId="73257644">
            <w:pPr>
              <w:widowControl/>
              <w:ind w:firstLine="480"/>
              <w:jc w:val="left"/>
            </w:pPr>
            <w:r>
              <w:rPr>
                <w:kern w:val="0"/>
                <w:lang w:bidi="ar"/>
              </w:rPr>
              <w:t>项目用水主要为洒水降尘用水，项目用水从渗滤液收集井、回用水池内取水，不够的由建设单位洒水车运至施工区域，供水能力满足项目需要。</w:t>
            </w:r>
          </w:p>
          <w:p w14:paraId="59452C6A">
            <w:pPr>
              <w:pStyle w:val="71"/>
              <w:adjustRightInd w:val="0"/>
              <w:ind w:firstLine="498"/>
              <w:jc w:val="both"/>
              <w:rPr>
                <w:b/>
                <w:bCs/>
                <w:lang w:val="en-US"/>
              </w:rPr>
            </w:pPr>
            <w:r>
              <w:rPr>
                <w:b/>
                <w:bCs/>
                <w:lang w:val="en-US"/>
              </w:rPr>
              <w:t>（3）施工用电</w:t>
            </w:r>
          </w:p>
          <w:p w14:paraId="5287666E">
            <w:pPr>
              <w:widowControl/>
              <w:ind w:firstLine="480"/>
            </w:pPr>
            <w:r>
              <w:t>从附近供电系统接入，供电能力满足项目需要。</w:t>
            </w:r>
          </w:p>
          <w:p w14:paraId="5F15B5A2">
            <w:pPr>
              <w:pStyle w:val="71"/>
              <w:adjustRightInd w:val="0"/>
              <w:ind w:firstLine="498"/>
              <w:jc w:val="both"/>
              <w:rPr>
                <w:b/>
                <w:bCs/>
                <w:lang w:val="en-US"/>
              </w:rPr>
            </w:pPr>
            <w:r>
              <w:rPr>
                <w:b/>
                <w:bCs/>
                <w:lang w:val="en-US"/>
              </w:rPr>
              <w:t>（4）施工排水</w:t>
            </w:r>
          </w:p>
          <w:p w14:paraId="1B72B503">
            <w:pPr>
              <w:widowControl/>
              <w:ind w:firstLine="480"/>
            </w:pPr>
            <w:r>
              <w:t>施工期施工废水经收集沉淀后回用，回填区内部雨水及渗滤液经收集后排入渗滤液收集井、回用水池，最终回用于洒水降尘。</w:t>
            </w:r>
          </w:p>
          <w:p w14:paraId="5D536E44">
            <w:pPr>
              <w:pStyle w:val="71"/>
              <w:adjustRightInd w:val="0"/>
              <w:ind w:firstLine="498"/>
              <w:jc w:val="both"/>
              <w:rPr>
                <w:b/>
                <w:bCs/>
                <w:lang w:val="en-US"/>
              </w:rPr>
            </w:pPr>
            <w:r>
              <w:rPr>
                <w:b/>
                <w:bCs/>
                <w:lang w:val="en-US"/>
              </w:rPr>
              <w:t>（5）三场设施</w:t>
            </w:r>
          </w:p>
          <w:p w14:paraId="101A4F80">
            <w:pPr>
              <w:widowControl/>
              <w:ind w:firstLine="480"/>
            </w:pPr>
            <w:r>
              <w:t>项目无临时堆场，施工场地均在项目修复面积内设置，不新增临时占地。不设取土场，不设弃土场，不设施工营地。</w:t>
            </w:r>
          </w:p>
          <w:p w14:paraId="6D525667">
            <w:pPr>
              <w:widowControl/>
              <w:ind w:firstLine="480"/>
            </w:pPr>
            <w:r>
              <w:t>施工营地：施工人员均为附近村民，不设施工营地。</w:t>
            </w:r>
          </w:p>
          <w:p w14:paraId="6F517497">
            <w:pPr>
              <w:pStyle w:val="71"/>
              <w:adjustRightInd w:val="0"/>
              <w:ind w:firstLine="498"/>
              <w:jc w:val="both"/>
              <w:rPr>
                <w:b/>
                <w:bCs/>
                <w:lang w:val="en-US"/>
              </w:rPr>
            </w:pPr>
            <w:r>
              <w:rPr>
                <w:b/>
                <w:bCs/>
                <w:lang w:val="en-US"/>
              </w:rPr>
              <w:t>2、施工时限</w:t>
            </w:r>
          </w:p>
          <w:p w14:paraId="3C708D67">
            <w:pPr>
              <w:widowControl/>
              <w:ind w:firstLine="480"/>
            </w:pPr>
            <w:r>
              <w:t>项目</w:t>
            </w:r>
            <w:r>
              <w:rPr>
                <w:rFonts w:hint="eastAsia"/>
              </w:rPr>
              <w:t>施</w:t>
            </w:r>
            <w:r>
              <w:t>工期为</w:t>
            </w:r>
            <w:r>
              <w:rPr>
                <w:rFonts w:hint="eastAsia"/>
              </w:rPr>
              <w:t>30个月</w:t>
            </w:r>
            <w:r>
              <w:t>，养护期3年。</w:t>
            </w:r>
          </w:p>
        </w:tc>
      </w:tr>
      <w:tr w14:paraId="635505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jc w:val="center"/>
        </w:trPr>
        <w:tc>
          <w:tcPr>
            <w:tcW w:w="710" w:type="dxa"/>
            <w:vAlign w:val="center"/>
          </w:tcPr>
          <w:p w14:paraId="58D50990">
            <w:pPr>
              <w:adjustRightInd w:val="0"/>
              <w:snapToGrid w:val="0"/>
              <w:ind w:firstLine="0" w:firstLineChars="0"/>
              <w:jc w:val="center"/>
              <w:rPr>
                <w:kern w:val="0"/>
                <w:szCs w:val="21"/>
              </w:rPr>
            </w:pPr>
            <w:r>
              <w:rPr>
                <w:kern w:val="0"/>
                <w:szCs w:val="21"/>
              </w:rPr>
              <w:t>其他</w:t>
            </w:r>
          </w:p>
        </w:tc>
        <w:tc>
          <w:tcPr>
            <w:tcW w:w="8380" w:type="dxa"/>
            <w:vAlign w:val="center"/>
          </w:tcPr>
          <w:p w14:paraId="45797A89">
            <w:pPr>
              <w:adjustRightInd w:val="0"/>
              <w:ind w:firstLine="0" w:firstLineChars="0"/>
            </w:pPr>
            <w:r>
              <w:t>无</w:t>
            </w:r>
          </w:p>
          <w:p w14:paraId="281A758C">
            <w:pPr>
              <w:adjustRightInd w:val="0"/>
              <w:ind w:firstLine="0" w:firstLineChars="0"/>
            </w:pPr>
          </w:p>
          <w:p w14:paraId="6FAC0F5E">
            <w:pPr>
              <w:adjustRightInd w:val="0"/>
              <w:ind w:firstLine="0" w:firstLineChars="0"/>
            </w:pPr>
          </w:p>
          <w:p w14:paraId="73C31C09">
            <w:pPr>
              <w:adjustRightInd w:val="0"/>
              <w:ind w:firstLine="0" w:firstLineChars="0"/>
            </w:pPr>
          </w:p>
          <w:p w14:paraId="3BD876AE">
            <w:pPr>
              <w:adjustRightInd w:val="0"/>
              <w:ind w:firstLine="0" w:firstLineChars="0"/>
            </w:pPr>
          </w:p>
          <w:p w14:paraId="7BAAE9D6">
            <w:pPr>
              <w:adjustRightInd w:val="0"/>
              <w:ind w:firstLine="0" w:firstLineChars="0"/>
            </w:pPr>
          </w:p>
          <w:p w14:paraId="3BEBB3C7">
            <w:pPr>
              <w:adjustRightInd w:val="0"/>
              <w:ind w:firstLine="0" w:firstLineChars="0"/>
            </w:pPr>
          </w:p>
          <w:p w14:paraId="2B2D6DB0">
            <w:pPr>
              <w:pStyle w:val="2"/>
            </w:pPr>
          </w:p>
          <w:p w14:paraId="742DD449">
            <w:pPr>
              <w:pStyle w:val="5"/>
            </w:pPr>
          </w:p>
          <w:p w14:paraId="5B589FEC">
            <w:pPr>
              <w:pStyle w:val="6"/>
            </w:pPr>
          </w:p>
          <w:p w14:paraId="2A097FA4">
            <w:pPr>
              <w:adjustRightInd w:val="0"/>
              <w:ind w:firstLine="0" w:firstLineChars="0"/>
            </w:pPr>
          </w:p>
          <w:p w14:paraId="194C7443">
            <w:pPr>
              <w:adjustRightInd w:val="0"/>
              <w:ind w:firstLine="0" w:firstLineChars="0"/>
            </w:pPr>
          </w:p>
          <w:p w14:paraId="2B0646C8">
            <w:pPr>
              <w:adjustRightInd w:val="0"/>
              <w:ind w:firstLine="0" w:firstLineChars="0"/>
            </w:pPr>
          </w:p>
          <w:p w14:paraId="6C21BE42">
            <w:pPr>
              <w:adjustRightInd w:val="0"/>
              <w:ind w:firstLine="0" w:firstLineChars="0"/>
            </w:pPr>
          </w:p>
          <w:p w14:paraId="5E85FB56">
            <w:pPr>
              <w:adjustRightInd w:val="0"/>
              <w:ind w:firstLine="0" w:firstLineChars="0"/>
            </w:pPr>
          </w:p>
        </w:tc>
      </w:tr>
    </w:tbl>
    <w:p w14:paraId="3522FD39">
      <w:pPr>
        <w:pStyle w:val="35"/>
        <w:adjustRightInd w:val="0"/>
        <w:snapToGrid w:val="0"/>
        <w:spacing w:before="0" w:beforeAutospacing="0" w:after="0" w:afterAutospacing="0"/>
        <w:ind w:firstLine="0" w:firstLineChars="0"/>
        <w:jc w:val="center"/>
        <w:outlineLvl w:val="0"/>
        <w:rPr>
          <w:rFonts w:ascii="Times New Roman" w:hAnsi="Times New Roman"/>
          <w:snapToGrid w:val="0"/>
          <w:sz w:val="30"/>
          <w:szCs w:val="30"/>
        </w:rPr>
      </w:pPr>
      <w:r>
        <w:rPr>
          <w:rFonts w:ascii="Times New Roman" w:hAnsi="Times New Roman"/>
          <w:b/>
          <w:bCs/>
        </w:rPr>
        <w:br w:type="page"/>
      </w:r>
      <w:bookmarkStart w:id="42" w:name="_Toc29160"/>
      <w:bookmarkStart w:id="43" w:name="_Toc29695"/>
      <w:r>
        <w:rPr>
          <w:rFonts w:hint="eastAsia" w:ascii="Times New Roman" w:hAnsi="Times New Roman"/>
          <w:snapToGrid w:val="0"/>
          <w:sz w:val="30"/>
          <w:szCs w:val="30"/>
        </w:rPr>
        <w:t>三、生态环境现状、保护目标及评价标准</w:t>
      </w:r>
      <w:bookmarkEnd w:id="42"/>
      <w:bookmarkEnd w:id="43"/>
    </w:p>
    <w:tbl>
      <w:tblPr>
        <w:tblStyle w:val="40"/>
        <w:tblW w:w="9157"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53"/>
        <w:gridCol w:w="8304"/>
      </w:tblGrid>
      <w:tr w14:paraId="45F3626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817" w:hRule="atLeast"/>
          <w:jc w:val="center"/>
        </w:trPr>
        <w:tc>
          <w:tcPr>
            <w:tcW w:w="853" w:type="dxa"/>
            <w:vAlign w:val="center"/>
          </w:tcPr>
          <w:p w14:paraId="05ABB1F0">
            <w:pPr>
              <w:adjustRightInd w:val="0"/>
              <w:snapToGrid w:val="0"/>
              <w:spacing w:line="240" w:lineRule="auto"/>
              <w:ind w:firstLine="0" w:firstLineChars="0"/>
              <w:jc w:val="center"/>
              <w:rPr>
                <w:kern w:val="0"/>
                <w:szCs w:val="21"/>
              </w:rPr>
            </w:pPr>
            <w:r>
              <w:rPr>
                <w:rFonts w:hint="eastAsia"/>
                <w:kern w:val="0"/>
                <w:szCs w:val="21"/>
              </w:rPr>
              <w:t>生态环境现状</w:t>
            </w:r>
          </w:p>
        </w:tc>
        <w:tc>
          <w:tcPr>
            <w:tcW w:w="8304" w:type="dxa"/>
            <w:vAlign w:val="center"/>
          </w:tcPr>
          <w:p w14:paraId="00369607">
            <w:pPr>
              <w:ind w:firstLine="482"/>
              <w:rPr>
                <w:b/>
                <w:bCs/>
              </w:rPr>
            </w:pPr>
            <w:r>
              <w:rPr>
                <w:rFonts w:hint="eastAsia"/>
                <w:b/>
                <w:bCs/>
              </w:rPr>
              <w:t>1、云南省主体功能区规划</w:t>
            </w:r>
          </w:p>
          <w:p w14:paraId="2F7C106D">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pPr>
            <w:r>
              <w:rPr>
                <w:rFonts w:hint="eastAsia"/>
                <w:kern w:val="0"/>
                <w:lang w:bidi="ar"/>
              </w:rPr>
              <w:t>根据《云南省主体功能区规划》（</w:t>
            </w:r>
            <w:r>
              <w:rPr>
                <w:kern w:val="0"/>
                <w:lang w:bidi="ar"/>
              </w:rPr>
              <w:t>2014</w:t>
            </w:r>
            <w:r>
              <w:rPr>
                <w:rFonts w:hint="eastAsia"/>
                <w:kern w:val="0"/>
                <w:lang w:bidi="ar"/>
              </w:rPr>
              <w:t>年</w:t>
            </w:r>
            <w:r>
              <w:rPr>
                <w:kern w:val="0"/>
                <w:lang w:bidi="ar"/>
              </w:rPr>
              <w:t>1</w:t>
            </w:r>
            <w:r>
              <w:rPr>
                <w:rFonts w:hint="eastAsia"/>
                <w:kern w:val="0"/>
                <w:lang w:bidi="ar"/>
              </w:rPr>
              <w:t>月6日），根据云南省人民政府文件云政发〔</w:t>
            </w:r>
            <w:r>
              <w:rPr>
                <w:kern w:val="0"/>
                <w:lang w:bidi="ar"/>
              </w:rPr>
              <w:t>2014</w:t>
            </w:r>
            <w:r>
              <w:rPr>
                <w:rFonts w:hint="eastAsia"/>
                <w:kern w:val="0"/>
                <w:lang w:bidi="ar"/>
              </w:rPr>
              <w:t>〕</w:t>
            </w:r>
            <w:r>
              <w:rPr>
                <w:kern w:val="0"/>
                <w:lang w:bidi="ar"/>
              </w:rPr>
              <w:t>1</w:t>
            </w:r>
            <w:r>
              <w:rPr>
                <w:rFonts w:hint="eastAsia"/>
                <w:kern w:val="0"/>
                <w:lang w:bidi="ar"/>
              </w:rPr>
              <w:t>号云南省人民政府关于印发云南省主体功能区规划的通知（</w:t>
            </w:r>
            <w:r>
              <w:rPr>
                <w:kern w:val="0"/>
                <w:lang w:bidi="ar"/>
              </w:rPr>
              <w:t>2014</w:t>
            </w:r>
            <w:r>
              <w:rPr>
                <w:rFonts w:hint="eastAsia"/>
                <w:kern w:val="0"/>
                <w:lang w:bidi="ar"/>
              </w:rPr>
              <w:t>年</w:t>
            </w:r>
            <w:r>
              <w:rPr>
                <w:kern w:val="0"/>
                <w:lang w:bidi="ar"/>
              </w:rPr>
              <w:t>1</w:t>
            </w:r>
            <w:r>
              <w:rPr>
                <w:rFonts w:hint="eastAsia"/>
                <w:kern w:val="0"/>
                <w:lang w:bidi="ar"/>
              </w:rPr>
              <w:t>月6日）《云南省主体功能区规划》，根据国家对主体功能区规划编制的要求，结合云南省情，本规划将云南省国土空间按照开发方式分为重点开发区域、限制开发区域和禁止开发区域3类主体功能区；按开发内容分为城市化地区、农产品生产区和重点生态功能区；按层级分为国家和省级两个层面。项目位于云南省昆明市寻甸县鸡街镇古城新石桥村大旋塘采石场。</w:t>
            </w:r>
          </w:p>
          <w:p w14:paraId="250B1D10">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pPr>
            <w:r>
              <w:rPr>
                <w:rFonts w:hint="eastAsia"/>
                <w:kern w:val="0"/>
                <w:lang w:bidi="ar"/>
              </w:rPr>
              <w:t>拟建项目所在的寻甸回族彝族自治县位于国家层面重点开发区，国家层面重点开发区域是对全国区域经济协调发展有重大意义的城市化地区，是支撑全国经济增长的重要增长极。该区域的功能定位为：我国面向西南开放重要桥头堡建设的核心区，连接东南亚、南亚国家的陆路交通枢纽，面向东南亚、南亚对外开放的重要门户；全国重要的烟草、旅游、文化、能源和商贸物流基地，以化工、有色冶炼加工、生物为重点的区域性资源深加工基地，承接产业转移基地和外向型特色优势产业基地；我国城市化发展格局中特色鲜明的高原生态宜居城市群；全省跨越发展的引擎，我国西南地区重要的经济增长极。</w:t>
            </w:r>
          </w:p>
          <w:p w14:paraId="40F3FA42">
            <w:pPr>
              <w:keepNext w:val="0"/>
              <w:keepLines w:val="0"/>
              <w:pageBreakBefore w:val="0"/>
              <w:widowControl/>
              <w:kinsoku/>
              <w:wordWrap/>
              <w:overflowPunct/>
              <w:topLinePunct w:val="0"/>
              <w:autoSpaceDE/>
              <w:autoSpaceDN/>
              <w:bidi w:val="0"/>
              <w:adjustRightInd/>
              <w:snapToGrid/>
              <w:spacing w:line="500" w:lineRule="exact"/>
              <w:ind w:firstLine="480"/>
              <w:jc w:val="left"/>
              <w:textAlignment w:val="auto"/>
            </w:pPr>
            <w:r>
              <w:rPr>
                <w:rFonts w:hint="eastAsia"/>
                <w:kern w:val="0"/>
                <w:lang w:bidi="ar"/>
              </w:rPr>
              <w:t>项目属于生态修复项目，项目实施后，项目区生态环境得以恢复，工程建设有利于改善区域的生态环境条件。因此项目建设与《云南省主体功能区规划》功能定位不冲突。</w:t>
            </w:r>
          </w:p>
          <w:p w14:paraId="113B7F94">
            <w:pPr>
              <w:widowControl/>
              <w:ind w:firstLine="482"/>
              <w:jc w:val="left"/>
              <w:rPr>
                <w:b/>
                <w:bCs/>
              </w:rPr>
            </w:pPr>
            <w:r>
              <w:rPr>
                <w:rFonts w:hint="eastAsia"/>
                <w:b/>
                <w:bCs/>
              </w:rPr>
              <w:t>2、云南省生态功能区划</w:t>
            </w:r>
          </w:p>
          <w:p w14:paraId="262015F1">
            <w:pPr>
              <w:widowControl/>
              <w:ind w:firstLine="480"/>
              <w:jc w:val="left"/>
            </w:pPr>
            <w:r>
              <w:rPr>
                <w:rFonts w:hint="eastAsia"/>
                <w:kern w:val="0"/>
                <w:lang w:bidi="ar"/>
              </w:rPr>
              <w:t>本项目位于寻甸回族彝族自治县，根据《云南省生态功能区区划》，本项目所在区域属于Ⅲ高原亚热带北部常绿阔叶林生态区中的滇中高原谷盆半湿润常绿阔叶林、暖性针叶林生态亚区（Ⅲ</w:t>
            </w:r>
            <w:r>
              <w:rPr>
                <w:kern w:val="0"/>
                <w:lang w:bidi="ar"/>
              </w:rPr>
              <w:t>1</w:t>
            </w:r>
            <w:r>
              <w:rPr>
                <w:rFonts w:hint="eastAsia"/>
                <w:kern w:val="0"/>
                <w:lang w:bidi="ar"/>
              </w:rPr>
              <w:t>）的Ⅲ</w:t>
            </w:r>
            <w:r>
              <w:rPr>
                <w:kern w:val="0"/>
                <w:lang w:bidi="ar"/>
              </w:rPr>
              <w:t>1-</w:t>
            </w:r>
            <w:r>
              <w:rPr>
                <w:rFonts w:hint="eastAsia"/>
                <w:kern w:val="0"/>
                <w:lang w:bidi="ar"/>
              </w:rPr>
              <w:t>9普渡河干流、小江上游水土保持生态功能区。该生态功能区的主要特征以中山峡谷地貌为主。年降雨量在普渡河河谷为800毫米，高原上面为1200—1500毫米，植被垂直地带性分布明显，现存植被以云南松林为主，土壤以红壤和紫色土为主。主要生态环境问题为：森林质量较差，水土流失严重。生态环境敏感性为土壤侵蚀度较高。主要生态服务功能为金沙江中段峡谷地带的水土保持和生态灾害的综合治理。保护措施与发展方向为：保护现有植被，加大封山育林的强度，营造水土保护林，严格退耕还林，提高区域的森林数量及质量。</w:t>
            </w:r>
          </w:p>
          <w:p w14:paraId="4EA900D9">
            <w:pPr>
              <w:widowControl/>
              <w:ind w:firstLine="482"/>
              <w:rPr>
                <w:b/>
                <w:bCs/>
                <w:kern w:val="0"/>
                <w:lang w:bidi="ar"/>
              </w:rPr>
            </w:pPr>
            <w:r>
              <w:rPr>
                <w:rFonts w:hint="eastAsia"/>
                <w:b/>
                <w:bCs/>
                <w:kern w:val="0"/>
                <w:lang w:bidi="ar"/>
              </w:rPr>
              <w:t>3、生态环境现状</w:t>
            </w:r>
          </w:p>
          <w:p w14:paraId="4AB98527">
            <w:pPr>
              <w:widowControl/>
              <w:ind w:firstLine="482"/>
              <w:rPr>
                <w:b/>
                <w:bCs/>
                <w:kern w:val="0"/>
                <w:lang w:bidi="ar"/>
              </w:rPr>
            </w:pPr>
            <w:r>
              <w:rPr>
                <w:rFonts w:hint="eastAsia"/>
                <w:b/>
                <w:bCs/>
                <w:kern w:val="0"/>
                <w:lang w:bidi="ar"/>
              </w:rPr>
              <w:t>（1）土地利用现状</w:t>
            </w:r>
          </w:p>
          <w:p w14:paraId="34E8AC6E">
            <w:pPr>
              <w:widowControl/>
              <w:ind w:firstLine="480"/>
              <w:jc w:val="left"/>
              <w:rPr>
                <w:rFonts w:hint="eastAsia" w:eastAsia="宋体"/>
                <w:lang w:val="en-US" w:eastAsia="zh-CN"/>
              </w:rPr>
            </w:pPr>
            <w:r>
              <w:rPr>
                <w:rFonts w:hint="eastAsia"/>
                <w:lang w:val="en-US" w:eastAsia="zh-CN"/>
              </w:rPr>
              <w:t>根据寻甸县自然资源局提供的2023年国土变更调查土地利用现状数据，生态修复范围内破坏土地资源地类分为：采矿用地，面积为12.6747</w:t>
            </w:r>
            <w:r>
              <w:rPr>
                <w:rFonts w:hint="eastAsia"/>
              </w:rPr>
              <w:t>hm</w:t>
            </w:r>
            <w:r>
              <w:rPr>
                <w:rFonts w:hint="eastAsia"/>
                <w:vertAlign w:val="superscript"/>
              </w:rPr>
              <w:t>2</w:t>
            </w:r>
            <w:r>
              <w:rPr>
                <w:rFonts w:hint="eastAsia"/>
                <w:vertAlign w:val="baseline"/>
                <w:lang w:eastAsia="zh-CN"/>
              </w:rPr>
              <w:t>；</w:t>
            </w:r>
            <w:r>
              <w:rPr>
                <w:rFonts w:hint="eastAsia"/>
                <w:vertAlign w:val="baseline"/>
                <w:lang w:val="en-US" w:eastAsia="zh-CN"/>
              </w:rPr>
              <w:t>农村道路，面积为0.035</w:t>
            </w:r>
            <w:r>
              <w:rPr>
                <w:rFonts w:hint="eastAsia"/>
              </w:rPr>
              <w:t>hm</w:t>
            </w:r>
            <w:r>
              <w:rPr>
                <w:rFonts w:hint="eastAsia"/>
                <w:vertAlign w:val="superscript"/>
              </w:rPr>
              <w:t>2</w:t>
            </w:r>
            <w:r>
              <w:rPr>
                <w:rFonts w:hint="eastAsia"/>
                <w:vertAlign w:val="baseline"/>
                <w:lang w:eastAsia="zh-CN"/>
              </w:rPr>
              <w:t>。</w:t>
            </w:r>
          </w:p>
          <w:p w14:paraId="34BC0235">
            <w:pPr>
              <w:widowControl/>
              <w:ind w:firstLine="482"/>
              <w:jc w:val="left"/>
              <w:rPr>
                <w:b/>
                <w:bCs/>
                <w:lang w:bidi="ar"/>
              </w:rPr>
            </w:pPr>
            <w:r>
              <w:rPr>
                <w:rFonts w:hint="eastAsia"/>
                <w:b/>
                <w:bCs/>
                <w:lang w:bidi="ar"/>
              </w:rPr>
              <w:t>（2）土地利用规划</w:t>
            </w:r>
          </w:p>
          <w:p w14:paraId="070ED666">
            <w:pPr>
              <w:widowControl/>
              <w:ind w:firstLine="480"/>
              <w:jc w:val="left"/>
              <w:rPr>
                <w:rFonts w:hint="eastAsia"/>
                <w:lang w:eastAsia="zh-CN"/>
              </w:rPr>
            </w:pPr>
            <w:r>
              <w:rPr>
                <w:rFonts w:hint="eastAsia"/>
              </w:rPr>
              <w:t>项目修复完成后与寻甸县国土空间规划衔接。项目完成后，恢复旱地</w:t>
            </w:r>
            <w:r>
              <w:rPr>
                <w:rFonts w:hint="eastAsia"/>
                <w:lang w:val="en-US" w:eastAsia="zh-CN"/>
              </w:rPr>
              <w:t>0.5037</w:t>
            </w:r>
            <w:r>
              <w:rPr>
                <w:rFonts w:hint="eastAsia"/>
              </w:rPr>
              <w:t>hm</w:t>
            </w:r>
            <w:r>
              <w:rPr>
                <w:rFonts w:hint="eastAsia"/>
                <w:vertAlign w:val="superscript"/>
              </w:rPr>
              <w:t>2</w:t>
            </w:r>
            <w:r>
              <w:rPr>
                <w:rFonts w:hint="eastAsia"/>
              </w:rPr>
              <w:t>，乔木林地</w:t>
            </w:r>
            <w:r>
              <w:rPr>
                <w:rFonts w:hint="eastAsia"/>
                <w:lang w:val="en-US" w:eastAsia="zh-CN"/>
              </w:rPr>
              <w:t>2.8861</w:t>
            </w:r>
            <w:r>
              <w:rPr>
                <w:rFonts w:hint="eastAsia"/>
              </w:rPr>
              <w:t>hm</w:t>
            </w:r>
            <w:r>
              <w:rPr>
                <w:rFonts w:hint="eastAsia"/>
                <w:vertAlign w:val="superscript"/>
              </w:rPr>
              <w:t>2</w:t>
            </w:r>
            <w:r>
              <w:rPr>
                <w:rFonts w:hint="eastAsia"/>
              </w:rPr>
              <w:t>，灌木林地</w:t>
            </w:r>
            <w:r>
              <w:rPr>
                <w:rFonts w:hint="eastAsia"/>
                <w:lang w:val="en-US" w:eastAsia="zh-CN"/>
              </w:rPr>
              <w:t>8.4235</w:t>
            </w:r>
            <w:r>
              <w:rPr>
                <w:rFonts w:hint="eastAsia"/>
              </w:rPr>
              <w:t>hm</w:t>
            </w:r>
            <w:r>
              <w:rPr>
                <w:rFonts w:hint="eastAsia"/>
                <w:vertAlign w:val="superscript"/>
              </w:rPr>
              <w:t>2</w:t>
            </w:r>
            <w:r>
              <w:rPr>
                <w:rFonts w:hint="eastAsia"/>
              </w:rPr>
              <w:t>，</w:t>
            </w:r>
            <w:r>
              <w:rPr>
                <w:rFonts w:hint="eastAsia"/>
                <w:lang w:val="en-US" w:eastAsia="zh-CN"/>
              </w:rPr>
              <w:t>自然恢复0.8964</w:t>
            </w:r>
            <w:r>
              <w:rPr>
                <w:rFonts w:hint="eastAsia"/>
              </w:rPr>
              <w:t>hm</w:t>
            </w:r>
            <w:r>
              <w:rPr>
                <w:rFonts w:hint="eastAsia"/>
                <w:vertAlign w:val="superscript"/>
              </w:rPr>
              <w:t>2</w:t>
            </w:r>
            <w:r>
              <w:rPr>
                <w:rFonts w:hint="eastAsia"/>
                <w:lang w:eastAsia="zh-CN"/>
              </w:rPr>
              <w:t>。</w:t>
            </w:r>
          </w:p>
          <w:p w14:paraId="61FD4C66">
            <w:pPr>
              <w:pStyle w:val="2"/>
              <w:jc w:val="center"/>
              <w:rPr>
                <w:rFonts w:hint="eastAsia"/>
                <w:b/>
                <w:bCs/>
                <w:lang w:val="en-US" w:eastAsia="zh-CN"/>
              </w:rPr>
            </w:pPr>
            <w:r>
              <w:rPr>
                <w:rFonts w:hint="eastAsia"/>
                <w:b/>
                <w:bCs/>
                <w:lang w:val="en-US" w:eastAsia="zh-CN"/>
              </w:rPr>
              <w:t>表3-1  矿山修复分区及生态用地统计表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48"/>
              <w:gridCol w:w="1348"/>
              <w:gridCol w:w="2170"/>
              <w:gridCol w:w="1590"/>
              <w:gridCol w:w="1575"/>
            </w:tblGrid>
            <w:tr w14:paraId="597B9E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14:paraId="17643D9B">
                  <w:pPr>
                    <w:pStyle w:val="3"/>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单元名称</w:t>
                  </w:r>
                </w:p>
              </w:tc>
              <w:tc>
                <w:tcPr>
                  <w:tcW w:w="1348" w:type="dxa"/>
                </w:tcPr>
                <w:p w14:paraId="1CD7BD7C">
                  <w:pPr>
                    <w:pStyle w:val="3"/>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分区编码</w:t>
                  </w:r>
                </w:p>
              </w:tc>
              <w:tc>
                <w:tcPr>
                  <w:tcW w:w="2170" w:type="dxa"/>
                </w:tcPr>
                <w:p w14:paraId="10C23FA0">
                  <w:pPr>
                    <w:pStyle w:val="3"/>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分区名称</w:t>
                  </w:r>
                </w:p>
              </w:tc>
              <w:tc>
                <w:tcPr>
                  <w:tcW w:w="1590" w:type="dxa"/>
                </w:tcPr>
                <w:p w14:paraId="52207CE9">
                  <w:pPr>
                    <w:pStyle w:val="3"/>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面积（hm</w:t>
                  </w:r>
                  <w:r>
                    <w:rPr>
                      <w:rFonts w:hint="eastAsia" w:ascii="Times New Roman" w:hAnsi="Times New Roman" w:eastAsia="宋体" w:cs="Times New Roman"/>
                      <w:b/>
                      <w:bCs/>
                      <w:sz w:val="21"/>
                      <w:szCs w:val="21"/>
                      <w:vertAlign w:val="superscript"/>
                      <w:lang w:val="en-US" w:eastAsia="zh-CN"/>
                    </w:rPr>
                    <w:t>2</w:t>
                  </w:r>
                  <w:r>
                    <w:rPr>
                      <w:rFonts w:hint="eastAsia" w:ascii="Times New Roman" w:hAnsi="Times New Roman" w:eastAsia="宋体" w:cs="Times New Roman"/>
                      <w:b/>
                      <w:bCs/>
                      <w:sz w:val="21"/>
                      <w:szCs w:val="21"/>
                      <w:vertAlign w:val="baseline"/>
                      <w:lang w:val="en-US" w:eastAsia="zh-CN"/>
                    </w:rPr>
                    <w:t>）</w:t>
                  </w:r>
                </w:p>
              </w:tc>
              <w:tc>
                <w:tcPr>
                  <w:tcW w:w="1575" w:type="dxa"/>
                </w:tcPr>
                <w:p w14:paraId="524849CC">
                  <w:pPr>
                    <w:pStyle w:val="3"/>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eastAsia" w:ascii="Times New Roman" w:hAnsi="Times New Roman" w:eastAsia="宋体" w:cs="Times New Roman"/>
                      <w:b/>
                      <w:bCs/>
                      <w:sz w:val="21"/>
                      <w:szCs w:val="21"/>
                      <w:vertAlign w:val="baseline"/>
                      <w:lang w:val="en-US" w:eastAsia="zh-CN"/>
                    </w:rPr>
                    <w:t>用地方向</w:t>
                  </w:r>
                </w:p>
              </w:tc>
            </w:tr>
            <w:tr w14:paraId="3ECA22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Merge w:val="restart"/>
                  <w:vAlign w:val="center"/>
                </w:tcPr>
                <w:p w14:paraId="26746BFA">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eastAsia"/>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大旋塘北部</w:t>
                  </w:r>
                  <w:r>
                    <w:rPr>
                      <w:rFonts w:hint="eastAsia"/>
                      <w:color w:val="000000" w:themeColor="text1"/>
                      <w:sz w:val="21"/>
                      <w:szCs w:val="21"/>
                      <w:highlight w:val="none"/>
                      <w:lang w:val="en-US" w:eastAsia="zh-CN"/>
                      <w14:textFill>
                        <w14:solidFill>
                          <w14:schemeClr w14:val="tx1"/>
                        </w14:solidFill>
                      </w14:textFill>
                    </w:rPr>
                    <w:t>采石场</w:t>
                  </w:r>
                </w:p>
              </w:tc>
              <w:tc>
                <w:tcPr>
                  <w:tcW w:w="1348" w:type="dxa"/>
                </w:tcPr>
                <w:p w14:paraId="3FB0B76C">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A</w:t>
                  </w:r>
                </w:p>
              </w:tc>
              <w:tc>
                <w:tcPr>
                  <w:tcW w:w="2170" w:type="dxa"/>
                </w:tcPr>
                <w:p w14:paraId="66B1EB8C">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堆填区</w:t>
                  </w:r>
                </w:p>
              </w:tc>
              <w:tc>
                <w:tcPr>
                  <w:tcW w:w="1590" w:type="dxa"/>
                </w:tcPr>
                <w:p w14:paraId="090D133C">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4.3141</w:t>
                  </w:r>
                </w:p>
              </w:tc>
              <w:tc>
                <w:tcPr>
                  <w:tcW w:w="1575" w:type="dxa"/>
                </w:tcPr>
                <w:p w14:paraId="0FA563B8">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灌木林地</w:t>
                  </w:r>
                </w:p>
              </w:tc>
            </w:tr>
            <w:tr w14:paraId="400953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Merge w:val="continue"/>
                  <w:vAlign w:val="center"/>
                </w:tcPr>
                <w:p w14:paraId="15565792">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p>
              </w:tc>
              <w:tc>
                <w:tcPr>
                  <w:tcW w:w="1348" w:type="dxa"/>
                </w:tcPr>
                <w:p w14:paraId="20691990">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B</w:t>
                  </w:r>
                </w:p>
              </w:tc>
              <w:tc>
                <w:tcPr>
                  <w:tcW w:w="2170" w:type="dxa"/>
                </w:tcPr>
                <w:p w14:paraId="1C2484DB">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拦挡坝</w:t>
                  </w:r>
                </w:p>
              </w:tc>
              <w:tc>
                <w:tcPr>
                  <w:tcW w:w="1590" w:type="dxa"/>
                </w:tcPr>
                <w:p w14:paraId="4B39E1E7">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0.4035</w:t>
                  </w:r>
                </w:p>
              </w:tc>
              <w:tc>
                <w:tcPr>
                  <w:tcW w:w="1575" w:type="dxa"/>
                </w:tcPr>
                <w:p w14:paraId="0057B720">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乔木林地</w:t>
                  </w:r>
                </w:p>
              </w:tc>
            </w:tr>
            <w:tr w14:paraId="44A272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Merge w:val="continue"/>
                  <w:vAlign w:val="center"/>
                </w:tcPr>
                <w:p w14:paraId="7C19DECC">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p>
              </w:tc>
              <w:tc>
                <w:tcPr>
                  <w:tcW w:w="1348" w:type="dxa"/>
                </w:tcPr>
                <w:p w14:paraId="6E7BCCB4">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C</w:t>
                  </w:r>
                </w:p>
              </w:tc>
              <w:tc>
                <w:tcPr>
                  <w:tcW w:w="2170" w:type="dxa"/>
                </w:tcPr>
                <w:p w14:paraId="57F49329">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周边斜坡区</w:t>
                  </w:r>
                </w:p>
              </w:tc>
              <w:tc>
                <w:tcPr>
                  <w:tcW w:w="1590" w:type="dxa"/>
                </w:tcPr>
                <w:p w14:paraId="67F6A0A7">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1.5003</w:t>
                  </w:r>
                </w:p>
              </w:tc>
              <w:tc>
                <w:tcPr>
                  <w:tcW w:w="1575" w:type="dxa"/>
                </w:tcPr>
                <w:p w14:paraId="63BB830F">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乔木林地</w:t>
                  </w:r>
                </w:p>
              </w:tc>
            </w:tr>
            <w:tr w14:paraId="73C58E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Merge w:val="continue"/>
                  <w:vAlign w:val="center"/>
                </w:tcPr>
                <w:p w14:paraId="25A1FDC9">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p>
              </w:tc>
              <w:tc>
                <w:tcPr>
                  <w:tcW w:w="1348" w:type="dxa"/>
                </w:tcPr>
                <w:p w14:paraId="075CB3B4">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D</w:t>
                  </w:r>
                </w:p>
              </w:tc>
              <w:tc>
                <w:tcPr>
                  <w:tcW w:w="2170" w:type="dxa"/>
                </w:tcPr>
                <w:p w14:paraId="1D78C7D5">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采矿陡坎区</w:t>
                  </w:r>
                </w:p>
              </w:tc>
              <w:tc>
                <w:tcPr>
                  <w:tcW w:w="1590" w:type="dxa"/>
                </w:tcPr>
                <w:p w14:paraId="21700167">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0.3435</w:t>
                  </w:r>
                </w:p>
              </w:tc>
              <w:tc>
                <w:tcPr>
                  <w:tcW w:w="1575" w:type="dxa"/>
                </w:tcPr>
                <w:p w14:paraId="719BCE15">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自然恢复</w:t>
                  </w:r>
                </w:p>
              </w:tc>
            </w:tr>
            <w:tr w14:paraId="79C447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Merge w:val="restart"/>
                  <w:vAlign w:val="center"/>
                </w:tcPr>
                <w:p w14:paraId="14B022AC">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14:textFill>
                        <w14:solidFill>
                          <w14:schemeClr w14:val="tx1"/>
                        </w14:solidFill>
                      </w14:textFill>
                    </w:rPr>
                    <w:t>大旋塘</w:t>
                  </w:r>
                  <w:r>
                    <w:rPr>
                      <w:rFonts w:hint="eastAsia"/>
                      <w:color w:val="000000" w:themeColor="text1"/>
                      <w:sz w:val="21"/>
                      <w:szCs w:val="21"/>
                      <w:highlight w:val="none"/>
                      <w:lang w:val="en-US" w:eastAsia="zh-CN"/>
                      <w14:textFill>
                        <w14:solidFill>
                          <w14:schemeClr w14:val="tx1"/>
                        </w14:solidFill>
                      </w14:textFill>
                    </w:rPr>
                    <w:t>南</w:t>
                  </w:r>
                  <w:r>
                    <w:rPr>
                      <w:rFonts w:hint="eastAsia"/>
                      <w:color w:val="000000" w:themeColor="text1"/>
                      <w:sz w:val="21"/>
                      <w:szCs w:val="21"/>
                      <w:highlight w:val="none"/>
                      <w14:textFill>
                        <w14:solidFill>
                          <w14:schemeClr w14:val="tx1"/>
                        </w14:solidFill>
                      </w14:textFill>
                    </w:rPr>
                    <w:t>部</w:t>
                  </w:r>
                  <w:r>
                    <w:rPr>
                      <w:rFonts w:hint="eastAsia"/>
                      <w:color w:val="000000" w:themeColor="text1"/>
                      <w:sz w:val="21"/>
                      <w:szCs w:val="21"/>
                      <w:highlight w:val="none"/>
                      <w:lang w:val="en-US" w:eastAsia="zh-CN"/>
                      <w14:textFill>
                        <w14:solidFill>
                          <w14:schemeClr w14:val="tx1"/>
                        </w14:solidFill>
                      </w14:textFill>
                    </w:rPr>
                    <w:t>采石场</w:t>
                  </w:r>
                </w:p>
              </w:tc>
              <w:tc>
                <w:tcPr>
                  <w:tcW w:w="1348" w:type="dxa"/>
                  <w:vAlign w:val="top"/>
                </w:tcPr>
                <w:p w14:paraId="56981339">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A</w:t>
                  </w:r>
                </w:p>
              </w:tc>
              <w:tc>
                <w:tcPr>
                  <w:tcW w:w="2170" w:type="dxa"/>
                </w:tcPr>
                <w:p w14:paraId="5FC6AB6F">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堆填区</w:t>
                  </w:r>
                </w:p>
              </w:tc>
              <w:tc>
                <w:tcPr>
                  <w:tcW w:w="1590" w:type="dxa"/>
                </w:tcPr>
                <w:p w14:paraId="7241F285">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4.1094</w:t>
                  </w:r>
                </w:p>
              </w:tc>
              <w:tc>
                <w:tcPr>
                  <w:tcW w:w="1575" w:type="dxa"/>
                </w:tcPr>
                <w:p w14:paraId="5F5EEC6B">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灌木林地</w:t>
                  </w:r>
                </w:p>
              </w:tc>
            </w:tr>
            <w:tr w14:paraId="2D9F9C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Merge w:val="continue"/>
                </w:tcPr>
                <w:p w14:paraId="4F4CB92B">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p>
              </w:tc>
              <w:tc>
                <w:tcPr>
                  <w:tcW w:w="1348" w:type="dxa"/>
                  <w:vAlign w:val="top"/>
                </w:tcPr>
                <w:p w14:paraId="209DAC0C">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B</w:t>
                  </w:r>
                </w:p>
              </w:tc>
              <w:tc>
                <w:tcPr>
                  <w:tcW w:w="2170" w:type="dxa"/>
                </w:tcPr>
                <w:p w14:paraId="197FA96F">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堆填外平缓区</w:t>
                  </w:r>
                </w:p>
              </w:tc>
              <w:tc>
                <w:tcPr>
                  <w:tcW w:w="1590" w:type="dxa"/>
                </w:tcPr>
                <w:p w14:paraId="65D0143C">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0.5037</w:t>
                  </w:r>
                </w:p>
              </w:tc>
              <w:tc>
                <w:tcPr>
                  <w:tcW w:w="1575" w:type="dxa"/>
                </w:tcPr>
                <w:p w14:paraId="6307D4C6">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旱地</w:t>
                  </w:r>
                </w:p>
              </w:tc>
            </w:tr>
            <w:tr w14:paraId="1C2D8D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Merge w:val="continue"/>
                </w:tcPr>
                <w:p w14:paraId="7202648D">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p>
              </w:tc>
              <w:tc>
                <w:tcPr>
                  <w:tcW w:w="1348" w:type="dxa"/>
                  <w:vAlign w:val="top"/>
                </w:tcPr>
                <w:p w14:paraId="1D887487">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C</w:t>
                  </w:r>
                </w:p>
              </w:tc>
              <w:tc>
                <w:tcPr>
                  <w:tcW w:w="2170" w:type="dxa"/>
                </w:tcPr>
                <w:p w14:paraId="1487AE05">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拦挡坝及周边</w:t>
                  </w:r>
                </w:p>
              </w:tc>
              <w:tc>
                <w:tcPr>
                  <w:tcW w:w="1590" w:type="dxa"/>
                </w:tcPr>
                <w:p w14:paraId="0F1D41EE">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0.9823</w:t>
                  </w:r>
                </w:p>
              </w:tc>
              <w:tc>
                <w:tcPr>
                  <w:tcW w:w="1575" w:type="dxa"/>
                </w:tcPr>
                <w:p w14:paraId="4192A0F5">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乔木林地</w:t>
                  </w:r>
                </w:p>
              </w:tc>
            </w:tr>
            <w:tr w14:paraId="267F2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vMerge w:val="continue"/>
                </w:tcPr>
                <w:p w14:paraId="260DEF1F">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p>
              </w:tc>
              <w:tc>
                <w:tcPr>
                  <w:tcW w:w="1348" w:type="dxa"/>
                  <w:vAlign w:val="top"/>
                </w:tcPr>
                <w:p w14:paraId="0E414BB2">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D</w:t>
                  </w:r>
                </w:p>
              </w:tc>
              <w:tc>
                <w:tcPr>
                  <w:tcW w:w="2170" w:type="dxa"/>
                </w:tcPr>
                <w:p w14:paraId="6204ACA1">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采矿陡坎区</w:t>
                  </w:r>
                </w:p>
              </w:tc>
              <w:tc>
                <w:tcPr>
                  <w:tcW w:w="1590" w:type="dxa"/>
                </w:tcPr>
                <w:p w14:paraId="05A023BC">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0.5529</w:t>
                  </w:r>
                </w:p>
              </w:tc>
              <w:tc>
                <w:tcPr>
                  <w:tcW w:w="1575" w:type="dxa"/>
                </w:tcPr>
                <w:p w14:paraId="3EFDC1C3">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自然恢复</w:t>
                  </w:r>
                </w:p>
              </w:tc>
            </w:tr>
            <w:tr w14:paraId="4CD60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48" w:type="dxa"/>
                </w:tcPr>
                <w:p w14:paraId="6CCC0E41">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color w:val="000000" w:themeColor="text1"/>
                      <w:sz w:val="21"/>
                      <w:szCs w:val="21"/>
                      <w:highlight w:val="none"/>
                      <w:lang w:val="en-US" w:eastAsia="zh-CN"/>
                      <w14:textFill>
                        <w14:solidFill>
                          <w14:schemeClr w14:val="tx1"/>
                        </w14:solidFill>
                      </w14:textFill>
                    </w:rPr>
                  </w:pPr>
                  <w:r>
                    <w:rPr>
                      <w:rFonts w:hint="eastAsia"/>
                      <w:color w:val="000000" w:themeColor="text1"/>
                      <w:sz w:val="21"/>
                      <w:szCs w:val="21"/>
                      <w:highlight w:val="none"/>
                      <w:lang w:val="en-US" w:eastAsia="zh-CN"/>
                      <w14:textFill>
                        <w14:solidFill>
                          <w14:schemeClr w14:val="tx1"/>
                        </w14:solidFill>
                      </w14:textFill>
                    </w:rPr>
                    <w:t>总计</w:t>
                  </w:r>
                </w:p>
              </w:tc>
              <w:tc>
                <w:tcPr>
                  <w:tcW w:w="3518" w:type="dxa"/>
                  <w:gridSpan w:val="2"/>
                </w:tcPr>
                <w:p w14:paraId="0B2B5357">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c>
                <w:tcPr>
                  <w:tcW w:w="1590" w:type="dxa"/>
                </w:tcPr>
                <w:p w14:paraId="49E10F42">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12.7097</w:t>
                  </w:r>
                </w:p>
              </w:tc>
              <w:tc>
                <w:tcPr>
                  <w:tcW w:w="1575" w:type="dxa"/>
                </w:tcPr>
                <w:p w14:paraId="1CCB7521">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w:t>
                  </w:r>
                </w:p>
              </w:tc>
            </w:tr>
          </w:tbl>
          <w:p w14:paraId="30094B9B">
            <w:pPr>
              <w:pStyle w:val="2"/>
              <w:jc w:val="center"/>
              <w:rPr>
                <w:rFonts w:hint="default"/>
                <w:b/>
                <w:bCs/>
                <w:lang w:val="en-US" w:eastAsia="zh-CN"/>
              </w:rPr>
            </w:pPr>
            <w:r>
              <w:rPr>
                <w:rFonts w:hint="eastAsia"/>
                <w:b/>
                <w:bCs/>
                <w:lang w:val="en-US" w:eastAsia="zh-CN"/>
              </w:rPr>
              <w:t>表3-2  项目修复工程土地利用类型变化一览表  单位</w:t>
            </w:r>
            <w:r>
              <w:rPr>
                <w:rFonts w:hint="default" w:ascii="Times New Roman" w:hAnsi="Times New Roman" w:cs="Times New Roman"/>
                <w:b/>
                <w:bCs/>
                <w:lang w:val="en-US" w:eastAsia="zh-CN"/>
              </w:rPr>
              <w:t>：hm</w:t>
            </w:r>
            <w:r>
              <w:rPr>
                <w:rFonts w:hint="default" w:ascii="Times New Roman" w:hAnsi="Times New Roman" w:cs="Times New Roman"/>
                <w:b/>
                <w:bCs/>
                <w:vertAlign w:val="superscript"/>
                <w:lang w:val="en-US" w:eastAsia="zh-CN"/>
              </w:rPr>
              <w:t>2</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11"/>
              <w:gridCol w:w="1011"/>
              <w:gridCol w:w="1011"/>
              <w:gridCol w:w="1011"/>
              <w:gridCol w:w="1343"/>
              <w:gridCol w:w="1526"/>
              <w:gridCol w:w="1125"/>
            </w:tblGrid>
            <w:tr w14:paraId="1E9799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Align w:val="center"/>
                </w:tcPr>
                <w:p w14:paraId="5C5EDD02">
                  <w:pPr>
                    <w:pStyle w:val="3"/>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工程</w:t>
                  </w:r>
                </w:p>
              </w:tc>
              <w:tc>
                <w:tcPr>
                  <w:tcW w:w="2022" w:type="dxa"/>
                  <w:gridSpan w:val="2"/>
                  <w:vAlign w:val="center"/>
                </w:tcPr>
                <w:p w14:paraId="391CDA43">
                  <w:pPr>
                    <w:pStyle w:val="3"/>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一级类</w:t>
                  </w:r>
                </w:p>
              </w:tc>
              <w:tc>
                <w:tcPr>
                  <w:tcW w:w="2354" w:type="dxa"/>
                  <w:gridSpan w:val="2"/>
                  <w:vAlign w:val="center"/>
                </w:tcPr>
                <w:p w14:paraId="4D74EA1E">
                  <w:pPr>
                    <w:pStyle w:val="3"/>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二级类</w:t>
                  </w:r>
                </w:p>
              </w:tc>
              <w:tc>
                <w:tcPr>
                  <w:tcW w:w="1526" w:type="dxa"/>
                  <w:vAlign w:val="center"/>
                </w:tcPr>
                <w:p w14:paraId="14FBE71E">
                  <w:pPr>
                    <w:pStyle w:val="3"/>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修复前</w:t>
                  </w:r>
                </w:p>
              </w:tc>
              <w:tc>
                <w:tcPr>
                  <w:tcW w:w="1125" w:type="dxa"/>
                  <w:vAlign w:val="center"/>
                </w:tcPr>
                <w:p w14:paraId="5CB374B0">
                  <w:pPr>
                    <w:pStyle w:val="3"/>
                    <w:keepNext w:val="0"/>
                    <w:keepLines w:val="0"/>
                    <w:pageBreakBefore w:val="0"/>
                    <w:widowControl w:val="0"/>
                    <w:kinsoku/>
                    <w:wordWrap/>
                    <w:overflowPunct/>
                    <w:topLinePunct w:val="0"/>
                    <w:autoSpaceDE w:val="0"/>
                    <w:autoSpaceDN w:val="0"/>
                    <w:bidi w:val="0"/>
                    <w:adjustRightInd w:val="0"/>
                    <w:snapToGrid/>
                    <w:spacing w:line="240" w:lineRule="auto"/>
                    <w:ind w:left="0" w:leftChars="0" w:firstLine="0" w:firstLineChars="0"/>
                    <w:jc w:val="center"/>
                    <w:textAlignment w:val="auto"/>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lang w:val="en-US" w:eastAsia="zh-CN"/>
                    </w:rPr>
                    <w:t>修复后</w:t>
                  </w:r>
                </w:p>
              </w:tc>
            </w:tr>
            <w:tr w14:paraId="1EFB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Merge w:val="restart"/>
                </w:tcPr>
                <w:p w14:paraId="36B7C15A">
                  <w:pPr>
                    <w:pStyle w:val="3"/>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textAlignment w:val="auto"/>
                    <w:rPr>
                      <w:rFonts w:hint="default" w:ascii="Times New Roman" w:hAnsi="Times New Roman" w:eastAsia="宋体" w:cs="Times New Roman"/>
                      <w:sz w:val="21"/>
                      <w:szCs w:val="21"/>
                      <w:vertAlign w:val="baseline"/>
                      <w:lang w:val="en-US" w:eastAsia="zh-CN"/>
                    </w:rPr>
                  </w:pPr>
                  <w:r>
                    <w:rPr>
                      <w:rFonts w:hint="eastAsia"/>
                      <w:color w:val="000000" w:themeColor="text1"/>
                      <w:sz w:val="21"/>
                      <w:szCs w:val="21"/>
                      <w:highlight w:val="none"/>
                      <w14:textFill>
                        <w14:solidFill>
                          <w14:schemeClr w14:val="tx1"/>
                        </w14:solidFill>
                      </w14:textFill>
                    </w:rPr>
                    <w:t>鸡街镇大旋塘北部和南部废弃采石场生态修复工程</w:t>
                  </w:r>
                </w:p>
              </w:tc>
              <w:tc>
                <w:tcPr>
                  <w:tcW w:w="1011" w:type="dxa"/>
                  <w:vAlign w:val="center"/>
                </w:tcPr>
                <w:p w14:paraId="37339129">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w:t>
                  </w:r>
                </w:p>
              </w:tc>
              <w:tc>
                <w:tcPr>
                  <w:tcW w:w="1011" w:type="dxa"/>
                  <w:vAlign w:val="center"/>
                </w:tcPr>
                <w:p w14:paraId="55A3725A">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耕地</w:t>
                  </w:r>
                </w:p>
              </w:tc>
              <w:tc>
                <w:tcPr>
                  <w:tcW w:w="1011" w:type="dxa"/>
                  <w:vAlign w:val="center"/>
                </w:tcPr>
                <w:p w14:paraId="3A88586E">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0103</w:t>
                  </w:r>
                </w:p>
              </w:tc>
              <w:tc>
                <w:tcPr>
                  <w:tcW w:w="1343" w:type="dxa"/>
                  <w:vAlign w:val="center"/>
                </w:tcPr>
                <w:p w14:paraId="7429BFD9">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旱地</w:t>
                  </w:r>
                </w:p>
              </w:tc>
              <w:tc>
                <w:tcPr>
                  <w:tcW w:w="1526" w:type="dxa"/>
                  <w:vAlign w:val="center"/>
                </w:tcPr>
                <w:p w14:paraId="1161B477">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w:t>
                  </w:r>
                </w:p>
              </w:tc>
              <w:tc>
                <w:tcPr>
                  <w:tcW w:w="1125" w:type="dxa"/>
                  <w:vAlign w:val="center"/>
                </w:tcPr>
                <w:p w14:paraId="71C20D37">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0.5037</w:t>
                  </w:r>
                </w:p>
              </w:tc>
            </w:tr>
            <w:tr w14:paraId="15D744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Merge w:val="continue"/>
                </w:tcPr>
                <w:p w14:paraId="1AFFD545">
                  <w:pPr>
                    <w:pStyle w:val="3"/>
                    <w:rPr>
                      <w:rFonts w:hint="default" w:ascii="Times New Roman" w:hAnsi="Times New Roman" w:eastAsia="宋体" w:cs="Times New Roman"/>
                      <w:sz w:val="21"/>
                      <w:szCs w:val="21"/>
                      <w:vertAlign w:val="baseline"/>
                      <w:lang w:val="en-US" w:eastAsia="zh-CN"/>
                    </w:rPr>
                  </w:pPr>
                </w:p>
              </w:tc>
              <w:tc>
                <w:tcPr>
                  <w:tcW w:w="1011" w:type="dxa"/>
                  <w:vMerge w:val="restart"/>
                  <w:vAlign w:val="center"/>
                </w:tcPr>
                <w:p w14:paraId="5BBD86EE">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03</w:t>
                  </w:r>
                </w:p>
              </w:tc>
              <w:tc>
                <w:tcPr>
                  <w:tcW w:w="1011" w:type="dxa"/>
                  <w:vMerge w:val="restart"/>
                  <w:vAlign w:val="center"/>
                </w:tcPr>
                <w:p w14:paraId="51DFEC6B">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林地</w:t>
                  </w:r>
                </w:p>
              </w:tc>
              <w:tc>
                <w:tcPr>
                  <w:tcW w:w="1011" w:type="dxa"/>
                  <w:vAlign w:val="center"/>
                </w:tcPr>
                <w:p w14:paraId="68E7175D">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0301</w:t>
                  </w:r>
                </w:p>
              </w:tc>
              <w:tc>
                <w:tcPr>
                  <w:tcW w:w="1343" w:type="dxa"/>
                  <w:vAlign w:val="center"/>
                </w:tcPr>
                <w:p w14:paraId="233F97FA">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乔木林地</w:t>
                  </w:r>
                </w:p>
              </w:tc>
              <w:tc>
                <w:tcPr>
                  <w:tcW w:w="1526" w:type="dxa"/>
                  <w:vAlign w:val="center"/>
                </w:tcPr>
                <w:p w14:paraId="504AEE86">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w:t>
                  </w:r>
                </w:p>
              </w:tc>
              <w:tc>
                <w:tcPr>
                  <w:tcW w:w="1125" w:type="dxa"/>
                  <w:vAlign w:val="center"/>
                </w:tcPr>
                <w:p w14:paraId="7D3FA31A">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2.8861</w:t>
                  </w:r>
                </w:p>
              </w:tc>
            </w:tr>
            <w:tr w14:paraId="3BA3F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Merge w:val="continue"/>
                </w:tcPr>
                <w:p w14:paraId="0C71F1C2">
                  <w:pPr>
                    <w:pStyle w:val="3"/>
                    <w:rPr>
                      <w:rFonts w:hint="default" w:ascii="Times New Roman" w:hAnsi="Times New Roman" w:eastAsia="宋体" w:cs="Times New Roman"/>
                      <w:sz w:val="21"/>
                      <w:szCs w:val="21"/>
                      <w:vertAlign w:val="baseline"/>
                      <w:lang w:val="en-US" w:eastAsia="zh-CN"/>
                    </w:rPr>
                  </w:pPr>
                </w:p>
              </w:tc>
              <w:tc>
                <w:tcPr>
                  <w:tcW w:w="1011" w:type="dxa"/>
                  <w:vMerge w:val="continue"/>
                  <w:vAlign w:val="center"/>
                </w:tcPr>
                <w:p w14:paraId="22286910">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1011" w:type="dxa"/>
                  <w:vMerge w:val="continue"/>
                  <w:vAlign w:val="center"/>
                </w:tcPr>
                <w:p w14:paraId="536B4CB2">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p>
              </w:tc>
              <w:tc>
                <w:tcPr>
                  <w:tcW w:w="1011" w:type="dxa"/>
                  <w:vAlign w:val="center"/>
                </w:tcPr>
                <w:p w14:paraId="248F37FC">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0305</w:t>
                  </w:r>
                </w:p>
              </w:tc>
              <w:tc>
                <w:tcPr>
                  <w:tcW w:w="1343" w:type="dxa"/>
                  <w:vAlign w:val="center"/>
                </w:tcPr>
                <w:p w14:paraId="0E553B6C">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灌木林地</w:t>
                  </w:r>
                </w:p>
              </w:tc>
              <w:tc>
                <w:tcPr>
                  <w:tcW w:w="1526" w:type="dxa"/>
                  <w:vAlign w:val="center"/>
                </w:tcPr>
                <w:p w14:paraId="7CD7CEAD">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w:t>
                  </w:r>
                </w:p>
              </w:tc>
              <w:tc>
                <w:tcPr>
                  <w:tcW w:w="1125" w:type="dxa"/>
                  <w:vAlign w:val="center"/>
                </w:tcPr>
                <w:p w14:paraId="418F7FC7">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8.4235</w:t>
                  </w:r>
                </w:p>
              </w:tc>
            </w:tr>
            <w:tr w14:paraId="0FB892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Merge w:val="continue"/>
                </w:tcPr>
                <w:p w14:paraId="0653C1AE">
                  <w:pPr>
                    <w:pStyle w:val="3"/>
                    <w:rPr>
                      <w:rFonts w:hint="default" w:ascii="Times New Roman" w:hAnsi="Times New Roman" w:eastAsia="宋体" w:cs="Times New Roman"/>
                      <w:sz w:val="21"/>
                      <w:szCs w:val="21"/>
                      <w:vertAlign w:val="baseline"/>
                      <w:lang w:val="en-US" w:eastAsia="zh-CN"/>
                    </w:rPr>
                  </w:pPr>
                </w:p>
              </w:tc>
              <w:tc>
                <w:tcPr>
                  <w:tcW w:w="1011" w:type="dxa"/>
                  <w:vAlign w:val="center"/>
                </w:tcPr>
                <w:p w14:paraId="518205F8">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06</w:t>
                  </w:r>
                </w:p>
              </w:tc>
              <w:tc>
                <w:tcPr>
                  <w:tcW w:w="1011" w:type="dxa"/>
                  <w:vAlign w:val="center"/>
                </w:tcPr>
                <w:p w14:paraId="513C753D">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工况仓储用地</w:t>
                  </w:r>
                </w:p>
              </w:tc>
              <w:tc>
                <w:tcPr>
                  <w:tcW w:w="1011" w:type="dxa"/>
                  <w:vAlign w:val="center"/>
                </w:tcPr>
                <w:p w14:paraId="168F42BB">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0602</w:t>
                  </w:r>
                </w:p>
              </w:tc>
              <w:tc>
                <w:tcPr>
                  <w:tcW w:w="1343" w:type="dxa"/>
                  <w:vAlign w:val="center"/>
                </w:tcPr>
                <w:p w14:paraId="4CC1DB72">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采矿用地</w:t>
                  </w:r>
                </w:p>
              </w:tc>
              <w:tc>
                <w:tcPr>
                  <w:tcW w:w="1526" w:type="dxa"/>
                  <w:vAlign w:val="center"/>
                </w:tcPr>
                <w:p w14:paraId="204880BB">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12.6747</w:t>
                  </w:r>
                </w:p>
              </w:tc>
              <w:tc>
                <w:tcPr>
                  <w:tcW w:w="1125" w:type="dxa"/>
                  <w:vAlign w:val="center"/>
                </w:tcPr>
                <w:p w14:paraId="25AF0D88">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w:t>
                  </w:r>
                </w:p>
              </w:tc>
            </w:tr>
            <w:tr w14:paraId="36F341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Merge w:val="continue"/>
                </w:tcPr>
                <w:p w14:paraId="011F25B4">
                  <w:pPr>
                    <w:pStyle w:val="3"/>
                    <w:rPr>
                      <w:rFonts w:hint="default" w:ascii="Times New Roman" w:hAnsi="Times New Roman" w:eastAsia="宋体" w:cs="Times New Roman"/>
                      <w:sz w:val="21"/>
                      <w:szCs w:val="21"/>
                      <w:vertAlign w:val="baseline"/>
                      <w:lang w:val="en-US" w:eastAsia="zh-CN"/>
                    </w:rPr>
                  </w:pPr>
                </w:p>
              </w:tc>
              <w:tc>
                <w:tcPr>
                  <w:tcW w:w="1011" w:type="dxa"/>
                </w:tcPr>
                <w:p w14:paraId="7E13250F">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w:t>
                  </w:r>
                </w:p>
              </w:tc>
              <w:tc>
                <w:tcPr>
                  <w:tcW w:w="1011" w:type="dxa"/>
                  <w:vAlign w:val="center"/>
                </w:tcPr>
                <w:p w14:paraId="17875EC4">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交通运输地</w:t>
                  </w:r>
                </w:p>
              </w:tc>
              <w:tc>
                <w:tcPr>
                  <w:tcW w:w="1011" w:type="dxa"/>
                  <w:vAlign w:val="center"/>
                </w:tcPr>
                <w:p w14:paraId="478FCAED">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1006</w:t>
                  </w:r>
                </w:p>
              </w:tc>
              <w:tc>
                <w:tcPr>
                  <w:tcW w:w="1343" w:type="dxa"/>
                  <w:vAlign w:val="center"/>
                </w:tcPr>
                <w:p w14:paraId="77194913">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default" w:ascii="Times New Roman" w:hAnsi="Times New Roman" w:eastAsia="宋体" w:cs="Times New Roman"/>
                      <w:sz w:val="21"/>
                      <w:szCs w:val="21"/>
                      <w:vertAlign w:val="baseline"/>
                      <w:lang w:val="en-US" w:eastAsia="zh-CN"/>
                    </w:rPr>
                    <w:t>农村道路</w:t>
                  </w:r>
                </w:p>
              </w:tc>
              <w:tc>
                <w:tcPr>
                  <w:tcW w:w="1526" w:type="dxa"/>
                  <w:vAlign w:val="center"/>
                </w:tcPr>
                <w:p w14:paraId="2F44F176">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0.035</w:t>
                  </w:r>
                </w:p>
              </w:tc>
              <w:tc>
                <w:tcPr>
                  <w:tcW w:w="1125" w:type="dxa"/>
                  <w:vAlign w:val="center"/>
                </w:tcPr>
                <w:p w14:paraId="003CD8E9">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w:t>
                  </w:r>
                </w:p>
              </w:tc>
            </w:tr>
            <w:tr w14:paraId="0362C0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vMerge w:val="continue"/>
                </w:tcPr>
                <w:p w14:paraId="04016415">
                  <w:pPr>
                    <w:pStyle w:val="3"/>
                    <w:rPr>
                      <w:rFonts w:hint="default" w:ascii="Times New Roman" w:hAnsi="Times New Roman" w:eastAsia="宋体" w:cs="Times New Roman"/>
                      <w:sz w:val="21"/>
                      <w:szCs w:val="21"/>
                      <w:vertAlign w:val="baseline"/>
                      <w:lang w:val="en-US" w:eastAsia="zh-CN"/>
                    </w:rPr>
                  </w:pPr>
                </w:p>
              </w:tc>
              <w:tc>
                <w:tcPr>
                  <w:tcW w:w="1011" w:type="dxa"/>
                </w:tcPr>
                <w:p w14:paraId="05AC988A">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11" w:type="dxa"/>
                  <w:vAlign w:val="center"/>
                </w:tcPr>
                <w:p w14:paraId="253C9CD5">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11" w:type="dxa"/>
                  <w:vAlign w:val="center"/>
                </w:tcPr>
                <w:p w14:paraId="1A123243">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343" w:type="dxa"/>
                  <w:vAlign w:val="center"/>
                </w:tcPr>
                <w:p w14:paraId="45E86905">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自然恢复</w:t>
                  </w:r>
                </w:p>
              </w:tc>
              <w:tc>
                <w:tcPr>
                  <w:tcW w:w="1526" w:type="dxa"/>
                  <w:vAlign w:val="center"/>
                </w:tcPr>
                <w:p w14:paraId="072D4312">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cs="Times New Roman"/>
                      <w:sz w:val="21"/>
                      <w:szCs w:val="21"/>
                      <w:vertAlign w:val="baseline"/>
                      <w:lang w:val="en-US" w:eastAsia="zh-CN"/>
                    </w:rPr>
                    <w:t>0</w:t>
                  </w:r>
                </w:p>
              </w:tc>
              <w:tc>
                <w:tcPr>
                  <w:tcW w:w="1125" w:type="dxa"/>
                  <w:vAlign w:val="center"/>
                </w:tcPr>
                <w:p w14:paraId="2C2A84FD">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0.8964</w:t>
                  </w:r>
                </w:p>
              </w:tc>
            </w:tr>
            <w:tr w14:paraId="36987F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11" w:type="dxa"/>
                </w:tcPr>
                <w:p w14:paraId="6BCA20C8">
                  <w:pPr>
                    <w:pStyle w:val="3"/>
                    <w:ind w:left="0" w:leftChars="0" w:firstLine="0" w:firstLineChars="0"/>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总计</w:t>
                  </w:r>
                </w:p>
              </w:tc>
              <w:tc>
                <w:tcPr>
                  <w:tcW w:w="1011" w:type="dxa"/>
                </w:tcPr>
                <w:p w14:paraId="226F8B9F">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11" w:type="dxa"/>
                  <w:vAlign w:val="center"/>
                </w:tcPr>
                <w:p w14:paraId="1810437F">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011" w:type="dxa"/>
                  <w:vAlign w:val="center"/>
                </w:tcPr>
                <w:p w14:paraId="298D0F64">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343" w:type="dxa"/>
                  <w:vAlign w:val="center"/>
                </w:tcPr>
                <w:p w14:paraId="3D60911B">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w:t>
                  </w:r>
                </w:p>
              </w:tc>
              <w:tc>
                <w:tcPr>
                  <w:tcW w:w="1526" w:type="dxa"/>
                  <w:vAlign w:val="center"/>
                </w:tcPr>
                <w:p w14:paraId="32451F1C">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hAnsi="Times New Roman" w:eastAsia="宋体" w:cs="Times New Roman"/>
                      <w:sz w:val="21"/>
                      <w:szCs w:val="21"/>
                      <w:vertAlign w:val="baseline"/>
                      <w:lang w:val="en-US" w:eastAsia="zh-CN"/>
                    </w:rPr>
                    <w:t>12.7097</w:t>
                  </w:r>
                </w:p>
              </w:tc>
              <w:tc>
                <w:tcPr>
                  <w:tcW w:w="1125" w:type="dxa"/>
                  <w:vAlign w:val="center"/>
                </w:tcPr>
                <w:p w14:paraId="0409BEE1">
                  <w:pPr>
                    <w:pStyle w:val="3"/>
                    <w:keepNext w:val="0"/>
                    <w:keepLines w:val="0"/>
                    <w:pageBreakBefore w:val="0"/>
                    <w:widowControl w:val="0"/>
                    <w:kinsoku/>
                    <w:wordWrap/>
                    <w:overflowPunct/>
                    <w:topLinePunct w:val="0"/>
                    <w:autoSpaceDE w:val="0"/>
                    <w:autoSpaceDN w:val="0"/>
                    <w:bidi w:val="0"/>
                    <w:adjustRightInd w:val="0"/>
                    <w:snapToGrid w:val="0"/>
                    <w:spacing w:line="240" w:lineRule="auto"/>
                    <w:ind w:left="0" w:leftChars="0" w:firstLine="0" w:firstLineChars="0"/>
                    <w:jc w:val="center"/>
                    <w:textAlignment w:val="auto"/>
                    <w:rPr>
                      <w:rFonts w:hint="default" w:ascii="Times New Roman" w:hAnsi="Times New Roman" w:eastAsia="宋体" w:cs="Times New Roman"/>
                      <w:sz w:val="21"/>
                      <w:szCs w:val="21"/>
                      <w:vertAlign w:val="baseline"/>
                      <w:lang w:val="en-US" w:eastAsia="zh-CN"/>
                    </w:rPr>
                  </w:pPr>
                  <w:r>
                    <w:rPr>
                      <w:rFonts w:hint="eastAsia" w:ascii="Times New Roman" w:cs="Times New Roman"/>
                      <w:sz w:val="21"/>
                      <w:szCs w:val="21"/>
                      <w:vertAlign w:val="baseline"/>
                      <w:lang w:val="en-US" w:eastAsia="zh-CN"/>
                    </w:rPr>
                    <w:t>12.7097</w:t>
                  </w:r>
                </w:p>
              </w:tc>
            </w:tr>
          </w:tbl>
          <w:p w14:paraId="7D8C603C">
            <w:pPr>
              <w:widowControl/>
              <w:ind w:firstLine="482"/>
              <w:jc w:val="left"/>
              <w:rPr>
                <w:b/>
                <w:bCs/>
                <w:kern w:val="0"/>
                <w:lang w:bidi="ar"/>
              </w:rPr>
            </w:pPr>
            <w:r>
              <w:rPr>
                <w:rFonts w:hint="eastAsia"/>
                <w:b/>
                <w:bCs/>
                <w:kern w:val="0"/>
                <w:lang w:bidi="ar"/>
              </w:rPr>
              <w:t>（3）植物现状</w:t>
            </w:r>
          </w:p>
          <w:p w14:paraId="28201C8A">
            <w:pPr>
              <w:ind w:firstLine="480"/>
            </w:pPr>
            <w:r>
              <w:rPr>
                <w:rFonts w:hint="eastAsia"/>
              </w:rPr>
              <w:t>项目区所在区域地处滇东北，属亚热带常绿阔叶林区，</w:t>
            </w:r>
            <w:r>
              <w:rPr>
                <w:rFonts w:hint="eastAsia"/>
                <w:kern w:val="0"/>
                <w:lang w:bidi="ar"/>
              </w:rPr>
              <w:t>项目现状为裸露矿坑，矿坑经前期多年矿山开采，修复区范围内土地遭到大面积破坏，区内植被遭受破坏程度严重，遗留矿坑内基本无植被覆盖</w:t>
            </w:r>
            <w:r>
              <w:rPr>
                <w:rFonts w:hint="eastAsia"/>
              </w:rPr>
              <w:t>受人类工程活动的影响，植被覆盖率低，覆盖率不足20%，主要为人工种植的桉树林及野生灌木，区内植被系统主要由人工植被组成，常见乔木主要有</w:t>
            </w:r>
            <w:r>
              <w:rPr>
                <w:rFonts w:hint="eastAsia"/>
                <w:kern w:val="0"/>
                <w:lang w:bidi="ar"/>
              </w:rPr>
              <w:t>旱冬瓜（</w:t>
            </w:r>
            <w:r>
              <w:rPr>
                <w:i/>
                <w:iCs/>
                <w:kern w:val="0"/>
                <w:lang w:bidi="ar"/>
              </w:rPr>
              <w:t>Alnusnepalensis</w:t>
            </w:r>
            <w:r>
              <w:rPr>
                <w:kern w:val="0"/>
                <w:lang w:bidi="ar"/>
              </w:rPr>
              <w:t>D.Don</w:t>
            </w:r>
            <w:r>
              <w:rPr>
                <w:rFonts w:hint="eastAsia"/>
                <w:kern w:val="0"/>
                <w:lang w:bidi="ar"/>
              </w:rPr>
              <w:t>）、云南松（</w:t>
            </w:r>
            <w:r>
              <w:rPr>
                <w:i/>
                <w:iCs/>
                <w:kern w:val="0"/>
                <w:lang w:bidi="ar"/>
              </w:rPr>
              <w:t>Pinusyunnanensis</w:t>
            </w:r>
            <w:r>
              <w:rPr>
                <w:rFonts w:hint="eastAsia"/>
                <w:i/>
                <w:iCs/>
                <w:kern w:val="0"/>
                <w:lang w:bidi="ar"/>
              </w:rPr>
              <w:t>）</w:t>
            </w:r>
            <w:r>
              <w:rPr>
                <w:rFonts w:hint="eastAsia"/>
                <w:kern w:val="0"/>
                <w:lang w:bidi="ar"/>
              </w:rPr>
              <w:t>等，灌木植物：如马桑（</w:t>
            </w:r>
            <w:r>
              <w:rPr>
                <w:i/>
                <w:iCs/>
                <w:kern w:val="0"/>
                <w:lang w:bidi="ar"/>
              </w:rPr>
              <w:t>Coriarianepalensis</w:t>
            </w:r>
            <w:r>
              <w:rPr>
                <w:kern w:val="0"/>
                <w:lang w:bidi="ar"/>
              </w:rPr>
              <w:t>Wall.</w:t>
            </w:r>
            <w:r>
              <w:rPr>
                <w:rFonts w:hint="eastAsia"/>
                <w:kern w:val="0"/>
                <w:lang w:bidi="ar"/>
              </w:rPr>
              <w:t>）、密蒙花（</w:t>
            </w:r>
            <w:r>
              <w:rPr>
                <w:i/>
                <w:iCs/>
                <w:kern w:val="0"/>
                <w:lang w:bidi="ar"/>
              </w:rPr>
              <w:t>Buddlejaofficinalis</w:t>
            </w:r>
            <w:r>
              <w:rPr>
                <w:kern w:val="0"/>
                <w:lang w:bidi="ar"/>
              </w:rPr>
              <w:t>Maxim.</w:t>
            </w:r>
            <w:r>
              <w:rPr>
                <w:rFonts w:hint="eastAsia"/>
                <w:kern w:val="0"/>
                <w:lang w:bidi="ar"/>
              </w:rPr>
              <w:t>）等，草本植物：如鬼针草（</w:t>
            </w:r>
            <w:r>
              <w:rPr>
                <w:i/>
                <w:iCs/>
                <w:kern w:val="0"/>
                <w:lang w:bidi="ar"/>
              </w:rPr>
              <w:t>BidenspilosaL.</w:t>
            </w:r>
            <w:r>
              <w:rPr>
                <w:rFonts w:hint="eastAsia"/>
                <w:kern w:val="0"/>
                <w:lang w:bidi="ar"/>
              </w:rPr>
              <w:t>）、青蒿（</w:t>
            </w:r>
            <w:r>
              <w:rPr>
                <w:i/>
                <w:iCs/>
                <w:kern w:val="0"/>
                <w:lang w:bidi="ar"/>
              </w:rPr>
              <w:t>ArtemisiacarvifoliaBuch.-Ham.exRoxb.Hort.Beng.</w:t>
            </w:r>
            <w:r>
              <w:rPr>
                <w:rFonts w:hint="eastAsia"/>
                <w:kern w:val="0"/>
                <w:lang w:bidi="ar"/>
              </w:rPr>
              <w:t>）、紫茎泽兰（</w:t>
            </w:r>
            <w:r>
              <w:rPr>
                <w:i/>
                <w:iCs/>
                <w:kern w:val="0"/>
                <w:lang w:bidi="ar"/>
              </w:rPr>
              <w:t>Ageratinaadenophora</w:t>
            </w:r>
            <w:r>
              <w:rPr>
                <w:rFonts w:hint="eastAsia"/>
                <w:i/>
                <w:iCs/>
                <w:kern w:val="0"/>
                <w:lang w:bidi="ar"/>
              </w:rPr>
              <w:t>（</w:t>
            </w:r>
            <w:r>
              <w:rPr>
                <w:i/>
                <w:iCs/>
                <w:kern w:val="0"/>
                <w:lang w:bidi="ar"/>
              </w:rPr>
              <w:t>Spreng.</w:t>
            </w:r>
            <w:r>
              <w:rPr>
                <w:rFonts w:hint="eastAsia"/>
                <w:i/>
                <w:iCs/>
                <w:kern w:val="0"/>
                <w:lang w:bidi="ar"/>
              </w:rPr>
              <w:t>）</w:t>
            </w:r>
            <w:r>
              <w:rPr>
                <w:i/>
                <w:iCs/>
                <w:kern w:val="0"/>
                <w:lang w:bidi="ar"/>
              </w:rPr>
              <w:t>R.M.KingetH.Rob.</w:t>
            </w:r>
            <w:r>
              <w:rPr>
                <w:rFonts w:hint="eastAsia"/>
                <w:kern w:val="0"/>
                <w:lang w:bidi="ar"/>
              </w:rPr>
              <w:t>）、</w:t>
            </w:r>
            <w:r>
              <w:rPr>
                <w:rFonts w:hint="eastAsia"/>
                <w:bCs/>
                <w:shd w:val="clear" w:color="auto" w:fill="FFFFFF"/>
              </w:rPr>
              <w:t>白草（</w:t>
            </w:r>
            <w:r>
              <w:rPr>
                <w:i/>
                <w:iCs/>
                <w:shd w:val="clear" w:color="auto" w:fill="FFFFFF"/>
                <w:lang w:bidi="ar"/>
              </w:rPr>
              <w:t>Pennisetumflaccidum</w:t>
            </w:r>
            <w:r>
              <w:rPr>
                <w:rFonts w:hint="eastAsia"/>
                <w:i/>
                <w:iCs/>
                <w:shd w:val="clear" w:color="auto" w:fill="FFFFFF"/>
                <w:lang w:bidi="ar"/>
              </w:rPr>
              <w:t>）</w:t>
            </w:r>
            <w:r>
              <w:rPr>
                <w:rFonts w:hint="eastAsia"/>
                <w:kern w:val="0"/>
                <w:lang w:bidi="ar"/>
              </w:rPr>
              <w:t>等。</w:t>
            </w:r>
          </w:p>
          <w:p w14:paraId="405B6717">
            <w:pPr>
              <w:ind w:firstLine="480"/>
              <w:rPr>
                <w:kern w:val="0"/>
                <w:lang w:bidi="ar"/>
              </w:rPr>
            </w:pPr>
            <w:r>
              <w:rPr>
                <w:rFonts w:hint="eastAsia"/>
                <w:kern w:val="0"/>
                <w:lang w:bidi="ar"/>
              </w:rPr>
              <w:t>根据现场勘查，未发现国家和省级重点保护野生动植物、古树名木、珍稀濒危动植物及特殊保护生态敏感目标分布，项目区未发现大中型野生动物存在，主要分布的为常见物种。矿坑经前期多年矿山开采，矿界范围内土地遭到大面积破坏、区内植被遭受破坏程度严重、现矿坑周边仅少量地表植被覆盖、水土流失严重、生态环境差；矿坑内挖方边坡、填方边坡随处可见，形成了较多的不稳定斜坡等地质灾害体，影响周边山体的稳定。项目区外东侧为一山地，山上分布林地，西北侧为耕地，均为旱地。</w:t>
            </w:r>
          </w:p>
          <w:p w14:paraId="2845D7AF">
            <w:pPr>
              <w:widowControl/>
              <w:ind w:firstLine="482"/>
              <w:jc w:val="left"/>
              <w:rPr>
                <w:b/>
                <w:bCs/>
                <w:kern w:val="0"/>
                <w:lang w:bidi="ar"/>
              </w:rPr>
            </w:pPr>
            <w:r>
              <w:rPr>
                <w:rFonts w:hint="eastAsia"/>
                <w:b/>
                <w:bCs/>
                <w:kern w:val="0"/>
                <w:lang w:bidi="ar"/>
              </w:rPr>
              <w:t>（3）野生脊椎动物现状</w:t>
            </w:r>
          </w:p>
          <w:p w14:paraId="1B04C384">
            <w:pPr>
              <w:ind w:firstLine="480"/>
              <w:rPr>
                <w:kern w:val="0"/>
                <w:lang w:bidi="ar"/>
              </w:rPr>
            </w:pPr>
            <w:r>
              <w:rPr>
                <w:rFonts w:hint="eastAsia"/>
                <w:kern w:val="0"/>
                <w:lang w:bidi="ar"/>
              </w:rPr>
              <w:t>由于长期进行砂石开采，生态环境已被完全破坏，植被已丧失殆尽，野生脊椎动物已经在项目区内完全消失。矿区由于开采年代已久，详细的植物、植被、生境及动物资料欠缺，在项目区仅有山斑鸠和赤腹松鼠等种类。从周边相似的生境进行估计，在附近存有植被的地区还有少量种类和数量的野生脊椎动物，如华西大蟾蜍、黄臀鹎、山斑鸠、大嘴乌鸦、家燕、树麻雀、赤腹松鼠、小家鼠、褐家鼠等十几种陆生脊椎动物。陆栖脊椎动物的种类和数量均很少。</w:t>
            </w:r>
          </w:p>
          <w:p w14:paraId="7DF8A6F7">
            <w:pPr>
              <w:widowControl/>
              <w:ind w:firstLine="482"/>
              <w:rPr>
                <w:b/>
                <w:bCs/>
                <w:kern w:val="0"/>
                <w:lang w:bidi="ar"/>
              </w:rPr>
            </w:pPr>
            <w:r>
              <w:rPr>
                <w:rFonts w:hint="eastAsia"/>
                <w:b/>
                <w:bCs/>
                <w:kern w:val="0"/>
                <w:lang w:bidi="ar"/>
              </w:rPr>
              <w:t>4、声环境现状</w:t>
            </w:r>
          </w:p>
          <w:p w14:paraId="6D2ADF9F">
            <w:pPr>
              <w:ind w:firstLine="480"/>
              <w:rPr>
                <w:rFonts w:hint="eastAsia" w:ascii="Times New Roman" w:hAnsi="Times New Roman" w:eastAsia="宋体" w:cs="Times New Roman"/>
                <w:kern w:val="0"/>
                <w:lang w:bidi="ar"/>
              </w:rPr>
            </w:pPr>
            <w:r>
              <w:rPr>
                <w:rFonts w:hint="eastAsia" w:ascii="Times New Roman" w:hAnsi="Times New Roman" w:eastAsia="宋体" w:cs="Times New Roman"/>
                <w:kern w:val="0"/>
                <w:lang w:bidi="ar"/>
              </w:rPr>
              <w:t>项目所在地区属于寻甸县鸡街镇古城新石桥村境内，根据《声环境质量标准》（GB3096-2008）声环境功能区分类的要求，项目所在区域可划为2类声环境功能区，执行《声环境质量标准》（GB3096-2008）中的2类标准。</w:t>
            </w:r>
          </w:p>
          <w:p w14:paraId="67F1E61E">
            <w:pPr>
              <w:widowControl/>
              <w:ind w:firstLine="482"/>
              <w:rPr>
                <w:b/>
                <w:bCs/>
                <w:kern w:val="0"/>
                <w:lang w:bidi="ar"/>
              </w:rPr>
            </w:pPr>
            <w:r>
              <w:rPr>
                <w:rFonts w:hint="eastAsia"/>
                <w:b/>
                <w:bCs/>
                <w:kern w:val="0"/>
                <w:lang w:bidi="ar"/>
              </w:rPr>
              <w:t>5、地表水环境现状</w:t>
            </w:r>
          </w:p>
          <w:p w14:paraId="3DFB20FE">
            <w:pPr>
              <w:keepNext w:val="0"/>
              <w:keepLines w:val="0"/>
              <w:pageBreakBefore w:val="0"/>
              <w:widowControl/>
              <w:suppressLineNumbers w:val="0"/>
              <w:kinsoku/>
              <w:wordWrap/>
              <w:overflowPunct/>
              <w:topLinePunct w:val="0"/>
              <w:autoSpaceDE/>
              <w:autoSpaceDN/>
              <w:bidi w:val="0"/>
              <w:adjustRightInd/>
              <w:snapToGrid/>
              <w:ind w:firstLine="480" w:firstLineChars="200"/>
              <w:jc w:val="left"/>
              <w:textAlignment w:val="auto"/>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根据现场调查，项目周边最近地表水体为</w:t>
            </w:r>
            <w:r>
              <w:rPr>
                <w:rFonts w:hint="eastAsia" w:ascii="Times New Roman" w:hAnsi="Times New Roman" w:cs="Times New Roman"/>
                <w:color w:val="auto"/>
                <w:sz w:val="24"/>
                <w:szCs w:val="24"/>
                <w:highlight w:val="none"/>
                <w:lang w:val="en-US" w:eastAsia="zh-CN"/>
              </w:rPr>
              <w:t>项目上游500m卡巴拉河</w:t>
            </w:r>
            <w:r>
              <w:rPr>
                <w:rFonts w:hint="eastAsia" w:ascii="Times New Roman" w:hAnsi="Times New Roman" w:eastAsia="宋体" w:cs="Times New Roman"/>
                <w:color w:val="auto"/>
                <w:kern w:val="0"/>
                <w:sz w:val="24"/>
                <w:szCs w:val="24"/>
                <w:highlight w:val="none"/>
                <w:lang w:val="en-US" w:eastAsia="zh-CN" w:bidi="ar"/>
              </w:rPr>
              <w:t>，根据《昆明市和滇中产业新区水功能区划》（2011～2030年），</w:t>
            </w:r>
            <w:r>
              <w:rPr>
                <w:rFonts w:hint="eastAsia" w:ascii="Times New Roman" w:hAnsi="Times New Roman" w:cs="Times New Roman"/>
                <w:color w:val="auto"/>
                <w:sz w:val="24"/>
                <w:szCs w:val="24"/>
                <w:highlight w:val="none"/>
                <w:lang w:val="en-US" w:eastAsia="zh-CN"/>
              </w:rPr>
              <w:t>卡巴拉河</w:t>
            </w:r>
            <w:r>
              <w:rPr>
                <w:rFonts w:hint="eastAsia" w:cs="Times New Roman"/>
                <w:color w:val="auto"/>
                <w:sz w:val="24"/>
                <w:szCs w:val="24"/>
                <w:highlight w:val="none"/>
                <w:lang w:val="en-US" w:eastAsia="zh-CN"/>
              </w:rPr>
              <w:t>为</w:t>
            </w:r>
            <w:r>
              <w:rPr>
                <w:rFonts w:hint="eastAsia" w:ascii="Times New Roman" w:hAnsi="Times New Roman" w:eastAsia="宋体" w:cs="Times New Roman"/>
                <w:color w:val="auto"/>
                <w:kern w:val="0"/>
                <w:sz w:val="24"/>
                <w:szCs w:val="24"/>
                <w:highlight w:val="none"/>
                <w:lang w:val="en-US" w:eastAsia="zh-CN" w:bidi="ar"/>
              </w:rPr>
              <w:t>洗马河左岸支流</w:t>
            </w:r>
            <w:r>
              <w:rPr>
                <w:rFonts w:hint="eastAsia" w:cs="Times New Roman"/>
                <w:color w:val="auto"/>
                <w:kern w:val="0"/>
                <w:sz w:val="24"/>
                <w:szCs w:val="24"/>
                <w:highlight w:val="none"/>
                <w:lang w:val="en-US" w:eastAsia="zh-CN" w:bidi="ar"/>
              </w:rPr>
              <w:t>九龙河的小分支</w:t>
            </w:r>
            <w:r>
              <w:rPr>
                <w:rFonts w:hint="eastAsia" w:ascii="Times New Roman" w:hAnsi="Times New Roman" w:eastAsia="宋体" w:cs="Times New Roman"/>
                <w:color w:val="auto"/>
                <w:kern w:val="0"/>
                <w:sz w:val="24"/>
                <w:szCs w:val="24"/>
                <w:highlight w:val="none"/>
                <w:lang w:val="en-US" w:eastAsia="zh-CN" w:bidi="ar"/>
              </w:rPr>
              <w:t>，现状水质为</w:t>
            </w:r>
            <w:r>
              <w:rPr>
                <w:rFonts w:hint="default" w:ascii="Times New Roman" w:hAnsi="Times New Roman" w:eastAsia="宋体" w:cs="Times New Roman"/>
                <w:color w:val="auto"/>
                <w:kern w:val="0"/>
                <w:sz w:val="24"/>
                <w:szCs w:val="24"/>
                <w:highlight w:val="none"/>
                <w:lang w:val="en-US" w:eastAsia="zh-CN" w:bidi="ar"/>
              </w:rPr>
              <w:t>Ш</w:t>
            </w:r>
            <w:r>
              <w:rPr>
                <w:rFonts w:hint="eastAsia" w:ascii="Times New Roman" w:hAnsi="Times New Roman" w:eastAsia="宋体" w:cs="Times New Roman"/>
                <w:color w:val="auto"/>
                <w:kern w:val="0"/>
                <w:sz w:val="24"/>
                <w:szCs w:val="24"/>
                <w:highlight w:val="none"/>
                <w:lang w:val="en-US" w:eastAsia="zh-CN" w:bidi="ar"/>
              </w:rPr>
              <w:t>类</w:t>
            </w:r>
            <w:r>
              <w:rPr>
                <w:rFonts w:hint="eastAsia" w:cs="Times New Roman"/>
                <w:color w:val="auto"/>
                <w:kern w:val="0"/>
                <w:sz w:val="24"/>
                <w:szCs w:val="24"/>
                <w:highlight w:val="none"/>
                <w:lang w:val="en-US" w:eastAsia="zh-CN" w:bidi="ar"/>
              </w:rPr>
              <w:t>，</w:t>
            </w:r>
            <w:r>
              <w:rPr>
                <w:rFonts w:hint="eastAsia" w:ascii="Times New Roman" w:hAnsi="Times New Roman" w:eastAsia="宋体" w:cs="Times New Roman"/>
                <w:color w:val="auto"/>
                <w:kern w:val="0"/>
                <w:sz w:val="24"/>
                <w:szCs w:val="24"/>
                <w:highlight w:val="none"/>
                <w:lang w:val="en-US" w:eastAsia="zh-CN" w:bidi="ar"/>
              </w:rPr>
              <w:t>规划水平年水质保护目标按水功能二级区划执行。执行《地表水环境质量标准》（GB3838-2002）</w:t>
            </w:r>
            <w:r>
              <w:rPr>
                <w:rFonts w:hint="eastAsia" w:ascii="宋体" w:hAnsi="宋体" w:eastAsia="宋体" w:cs="宋体"/>
                <w:color w:val="auto"/>
                <w:kern w:val="0"/>
                <w:sz w:val="24"/>
                <w:szCs w:val="24"/>
                <w:highlight w:val="none"/>
                <w:lang w:val="en-US" w:eastAsia="zh-CN" w:bidi="ar"/>
              </w:rPr>
              <w:t>Ⅲ</w:t>
            </w:r>
            <w:r>
              <w:rPr>
                <w:rFonts w:hint="eastAsia" w:ascii="Times New Roman" w:hAnsi="Times New Roman" w:eastAsia="宋体" w:cs="Times New Roman"/>
                <w:color w:val="auto"/>
                <w:kern w:val="0"/>
                <w:sz w:val="24"/>
                <w:szCs w:val="24"/>
                <w:highlight w:val="none"/>
                <w:lang w:val="en-US" w:eastAsia="zh-CN" w:bidi="ar"/>
              </w:rPr>
              <w:t>类水质标准，项目项目下游1500m卡巴拉河参照其标准执行。</w:t>
            </w:r>
            <w:r>
              <w:rPr>
                <w:rFonts w:hint="eastAsia" w:cs="Times New Roman"/>
                <w:color w:val="auto"/>
                <w:kern w:val="0"/>
                <w:sz w:val="24"/>
                <w:szCs w:val="24"/>
                <w:highlight w:val="none"/>
                <w:lang w:val="en-US" w:eastAsia="zh-CN" w:bidi="ar"/>
              </w:rPr>
              <w:t>卡巴拉河贯穿项目地内部，河宽约0.9—1.3m，河深约0.4—0.7m，流速约1m/s，流量约0.4—0.9</w:t>
            </w:r>
            <w:r>
              <w:rPr>
                <w:rFonts w:hint="default" w:ascii="Times New Roman" w:hAnsi="Times New Roman" w:eastAsia="宋体" w:cs="Times New Roman"/>
                <w:color w:val="auto"/>
                <w:kern w:val="2"/>
                <w:sz w:val="24"/>
                <w:szCs w:val="24"/>
                <w:lang w:val="en-US" w:eastAsia="zh-CN" w:bidi="ar-SA"/>
              </w:rPr>
              <w:t>m³/s</w:t>
            </w:r>
            <w:r>
              <w:rPr>
                <w:rFonts w:hint="eastAsia" w:cs="Times New Roman"/>
                <w:color w:val="auto"/>
                <w:kern w:val="2"/>
                <w:sz w:val="24"/>
                <w:szCs w:val="24"/>
                <w:lang w:val="en-US" w:eastAsia="zh-CN" w:bidi="ar-SA"/>
              </w:rPr>
              <w:t>，</w:t>
            </w:r>
            <w:r>
              <w:rPr>
                <w:rFonts w:hint="eastAsia" w:ascii="Times New Roman" w:hAnsi="Times New Roman" w:eastAsia="宋体" w:cs="Times New Roman"/>
                <w:color w:val="auto"/>
                <w:kern w:val="0"/>
                <w:sz w:val="24"/>
                <w:szCs w:val="24"/>
                <w:highlight w:val="none"/>
                <w:lang w:val="en-US" w:eastAsia="zh-CN" w:bidi="ar"/>
              </w:rPr>
              <w:t>用于</w:t>
            </w:r>
            <w:r>
              <w:rPr>
                <w:rFonts w:hint="eastAsia" w:cs="Times New Roman"/>
                <w:color w:val="auto"/>
                <w:kern w:val="0"/>
                <w:sz w:val="24"/>
                <w:szCs w:val="24"/>
                <w:highlight w:val="none"/>
                <w:lang w:val="en-US" w:eastAsia="zh-CN" w:bidi="ar"/>
              </w:rPr>
              <w:t>周围各村</w:t>
            </w:r>
            <w:r>
              <w:rPr>
                <w:rFonts w:hint="eastAsia" w:ascii="Times New Roman" w:hAnsi="Times New Roman" w:eastAsia="宋体" w:cs="Times New Roman"/>
                <w:color w:val="auto"/>
                <w:kern w:val="0"/>
                <w:sz w:val="24"/>
                <w:szCs w:val="24"/>
                <w:highlight w:val="none"/>
                <w:lang w:val="en-US" w:eastAsia="zh-CN" w:bidi="ar"/>
              </w:rPr>
              <w:t>灌溉等。</w:t>
            </w:r>
          </w:p>
          <w:p w14:paraId="39F27829">
            <w:pPr>
              <w:ind w:firstLine="480"/>
              <w:rPr>
                <w:rFonts w:hint="eastAsia" w:ascii="Times New Roman" w:hAnsi="Times New Roman" w:eastAsia="宋体" w:cs="Times New Roman"/>
                <w:i w:val="0"/>
                <w:iCs w:val="0"/>
                <w:color w:val="auto"/>
                <w:kern w:val="0"/>
                <w:sz w:val="24"/>
                <w:szCs w:val="24"/>
                <w:highlight w:val="none"/>
                <w:lang w:val="en-US" w:eastAsia="zh-CN" w:bidi="ar"/>
              </w:rPr>
            </w:pPr>
            <w:r>
              <w:rPr>
                <w:rFonts w:hint="eastAsia" w:ascii="Times New Roman" w:hAnsi="Times New Roman" w:eastAsia="宋体" w:cs="Times New Roman"/>
                <w:i w:val="0"/>
                <w:iCs w:val="0"/>
                <w:color w:val="auto"/>
                <w:kern w:val="0"/>
                <w:sz w:val="24"/>
                <w:szCs w:val="24"/>
                <w:highlight w:val="none"/>
                <w:lang w:val="en-US" w:eastAsia="zh-CN" w:bidi="ar"/>
              </w:rPr>
              <w:t>为了解项目地表水环境质量现状，委托云南普域环境科技有限公司于202</w:t>
            </w:r>
            <w:r>
              <w:rPr>
                <w:rFonts w:hint="eastAsia" w:cs="Times New Roman"/>
                <w:i w:val="0"/>
                <w:iCs w:val="0"/>
                <w:color w:val="auto"/>
                <w:kern w:val="0"/>
                <w:sz w:val="24"/>
                <w:szCs w:val="24"/>
                <w:highlight w:val="none"/>
                <w:lang w:val="en-US" w:eastAsia="zh-CN" w:bidi="ar"/>
              </w:rPr>
              <w:t>5</w:t>
            </w:r>
            <w:r>
              <w:rPr>
                <w:rFonts w:hint="eastAsia" w:ascii="Times New Roman" w:hAnsi="Times New Roman" w:eastAsia="宋体" w:cs="Times New Roman"/>
                <w:i w:val="0"/>
                <w:iCs w:val="0"/>
                <w:color w:val="auto"/>
                <w:kern w:val="0"/>
                <w:sz w:val="24"/>
                <w:szCs w:val="24"/>
                <w:highlight w:val="none"/>
                <w:lang w:val="en-US" w:eastAsia="zh-CN" w:bidi="ar"/>
              </w:rPr>
              <w:t>年</w:t>
            </w:r>
            <w:r>
              <w:rPr>
                <w:rFonts w:hint="eastAsia" w:cs="Times New Roman"/>
                <w:i w:val="0"/>
                <w:iCs w:val="0"/>
                <w:color w:val="auto"/>
                <w:kern w:val="0"/>
                <w:sz w:val="24"/>
                <w:szCs w:val="24"/>
                <w:highlight w:val="none"/>
                <w:lang w:val="en-US" w:eastAsia="zh-CN" w:bidi="ar"/>
              </w:rPr>
              <w:t>7</w:t>
            </w:r>
            <w:r>
              <w:rPr>
                <w:rFonts w:hint="eastAsia" w:ascii="Times New Roman" w:hAnsi="Times New Roman" w:eastAsia="宋体" w:cs="Times New Roman"/>
                <w:i w:val="0"/>
                <w:iCs w:val="0"/>
                <w:color w:val="auto"/>
                <w:kern w:val="0"/>
                <w:sz w:val="24"/>
                <w:szCs w:val="24"/>
                <w:highlight w:val="none"/>
                <w:lang w:val="en-US" w:eastAsia="zh-CN" w:bidi="ar"/>
              </w:rPr>
              <w:t>月</w:t>
            </w:r>
            <w:r>
              <w:rPr>
                <w:rFonts w:hint="eastAsia" w:cs="Times New Roman"/>
                <w:i w:val="0"/>
                <w:iCs w:val="0"/>
                <w:color w:val="auto"/>
                <w:kern w:val="0"/>
                <w:sz w:val="24"/>
                <w:szCs w:val="24"/>
                <w:highlight w:val="none"/>
                <w:lang w:val="en-US" w:eastAsia="zh-CN" w:bidi="ar"/>
              </w:rPr>
              <w:t>19</w:t>
            </w:r>
            <w:r>
              <w:rPr>
                <w:rFonts w:hint="eastAsia" w:ascii="Times New Roman" w:hAnsi="Times New Roman" w:eastAsia="宋体" w:cs="Times New Roman"/>
                <w:i w:val="0"/>
                <w:iCs w:val="0"/>
                <w:color w:val="auto"/>
                <w:kern w:val="0"/>
                <w:sz w:val="24"/>
                <w:szCs w:val="24"/>
                <w:highlight w:val="none"/>
                <w:lang w:val="en-US" w:eastAsia="zh-CN" w:bidi="ar"/>
              </w:rPr>
              <w:t>日～202</w:t>
            </w:r>
            <w:r>
              <w:rPr>
                <w:rFonts w:hint="eastAsia" w:cs="Times New Roman"/>
                <w:i w:val="0"/>
                <w:iCs w:val="0"/>
                <w:color w:val="auto"/>
                <w:kern w:val="0"/>
                <w:sz w:val="24"/>
                <w:szCs w:val="24"/>
                <w:highlight w:val="none"/>
                <w:lang w:val="en-US" w:eastAsia="zh-CN" w:bidi="ar"/>
              </w:rPr>
              <w:t>5</w:t>
            </w:r>
            <w:r>
              <w:rPr>
                <w:rFonts w:hint="eastAsia" w:ascii="Times New Roman" w:hAnsi="Times New Roman" w:eastAsia="宋体" w:cs="Times New Roman"/>
                <w:i w:val="0"/>
                <w:iCs w:val="0"/>
                <w:color w:val="auto"/>
                <w:kern w:val="0"/>
                <w:sz w:val="24"/>
                <w:szCs w:val="24"/>
                <w:highlight w:val="none"/>
                <w:lang w:val="en-US" w:eastAsia="zh-CN" w:bidi="ar"/>
              </w:rPr>
              <w:t>年</w:t>
            </w:r>
            <w:r>
              <w:rPr>
                <w:rFonts w:hint="eastAsia" w:cs="Times New Roman"/>
                <w:i w:val="0"/>
                <w:iCs w:val="0"/>
                <w:color w:val="auto"/>
                <w:kern w:val="0"/>
                <w:sz w:val="24"/>
                <w:szCs w:val="24"/>
                <w:highlight w:val="none"/>
                <w:lang w:val="en-US" w:eastAsia="zh-CN" w:bidi="ar"/>
              </w:rPr>
              <w:t>7</w:t>
            </w:r>
            <w:r>
              <w:rPr>
                <w:rFonts w:hint="eastAsia" w:ascii="Times New Roman" w:hAnsi="Times New Roman" w:eastAsia="宋体" w:cs="Times New Roman"/>
                <w:i w:val="0"/>
                <w:iCs w:val="0"/>
                <w:color w:val="auto"/>
                <w:kern w:val="0"/>
                <w:sz w:val="24"/>
                <w:szCs w:val="24"/>
                <w:highlight w:val="none"/>
                <w:lang w:val="en-US" w:eastAsia="zh-CN" w:bidi="ar"/>
              </w:rPr>
              <w:t>月2</w:t>
            </w:r>
            <w:r>
              <w:rPr>
                <w:rFonts w:hint="eastAsia" w:cs="Times New Roman"/>
                <w:i w:val="0"/>
                <w:iCs w:val="0"/>
                <w:color w:val="auto"/>
                <w:kern w:val="0"/>
                <w:sz w:val="24"/>
                <w:szCs w:val="24"/>
                <w:highlight w:val="none"/>
                <w:lang w:val="en-US" w:eastAsia="zh-CN" w:bidi="ar"/>
              </w:rPr>
              <w:t>1</w:t>
            </w:r>
            <w:r>
              <w:rPr>
                <w:rFonts w:hint="eastAsia" w:ascii="Times New Roman" w:hAnsi="Times New Roman" w:eastAsia="宋体" w:cs="Times New Roman"/>
                <w:i w:val="0"/>
                <w:iCs w:val="0"/>
                <w:color w:val="auto"/>
                <w:kern w:val="0"/>
                <w:sz w:val="24"/>
                <w:szCs w:val="24"/>
                <w:highlight w:val="none"/>
                <w:lang w:val="en-US" w:eastAsia="zh-CN" w:bidi="ar"/>
              </w:rPr>
              <w:t>日连续3天对修复区地表水环境质量现状进行监测。</w:t>
            </w:r>
          </w:p>
          <w:p w14:paraId="5B6C7949">
            <w:pPr>
              <w:rPr>
                <w:rFonts w:hint="eastAsia" w:ascii="Times New Roman" w:hAnsi="Times New Roman" w:eastAsia="宋体" w:cs="Times New Roman"/>
                <w:i w:val="0"/>
                <w:iCs w:val="0"/>
                <w:color w:val="auto"/>
                <w:sz w:val="24"/>
                <w:szCs w:val="24"/>
                <w:highlight w:val="none"/>
                <w:lang w:val="en-US" w:eastAsia="zh-CN"/>
              </w:rPr>
            </w:pPr>
            <w:r>
              <w:rPr>
                <w:rFonts w:hint="eastAsia" w:ascii="Times New Roman" w:hAnsi="Times New Roman" w:eastAsia="宋体" w:cs="Times New Roman"/>
                <w:i w:val="0"/>
                <w:iCs w:val="0"/>
                <w:color w:val="auto"/>
                <w:kern w:val="0"/>
                <w:sz w:val="24"/>
                <w:szCs w:val="24"/>
                <w:highlight w:val="none"/>
                <w:lang w:val="en-US" w:eastAsia="zh-CN" w:bidi="ar"/>
              </w:rPr>
              <w:t>1）监测点位</w:t>
            </w:r>
            <w:r>
              <w:rPr>
                <w:rFonts w:hint="eastAsia" w:ascii="Times New Roman" w:hAnsi="Times New Roman" w:eastAsia="宋体" w:cs="Times New Roman"/>
                <w:i w:val="0"/>
                <w:iCs w:val="0"/>
                <w:color w:val="auto"/>
                <w:sz w:val="24"/>
                <w:szCs w:val="24"/>
                <w:highlight w:val="none"/>
                <w:lang w:val="en-US" w:eastAsia="zh-CN"/>
              </w:rPr>
              <w:t>：项目上游500m卡巴拉河（W1）、项目下游1500m卡巴拉河（W2）共2个点位。</w:t>
            </w:r>
          </w:p>
          <w:p w14:paraId="350DCF7C">
            <w:pPr>
              <w:keepNext w:val="0"/>
              <w:keepLines w:val="0"/>
              <w:widowControl/>
              <w:suppressLineNumbers w:val="0"/>
              <w:spacing w:line="360" w:lineRule="auto"/>
              <w:ind w:left="0" w:leftChars="0" w:firstLine="480" w:firstLineChars="200"/>
              <w:jc w:val="both"/>
              <w:rPr>
                <w:rFonts w:hint="eastAsia" w:ascii="Times New Roman" w:hAnsi="Times New Roman" w:eastAsia="宋体" w:cs="Times New Roman"/>
                <w:b w:val="0"/>
                <w:bCs w:val="0"/>
                <w:i w:val="0"/>
                <w:iCs w:val="0"/>
                <w:color w:val="auto"/>
                <w:sz w:val="24"/>
                <w:szCs w:val="24"/>
                <w:highlight w:val="none"/>
                <w:lang w:eastAsia="zh-CN"/>
              </w:rPr>
            </w:pPr>
            <w:r>
              <w:rPr>
                <w:rFonts w:hint="eastAsia" w:ascii="Times New Roman" w:hAnsi="Times New Roman" w:eastAsia="宋体" w:cs="Times New Roman"/>
                <w:i w:val="0"/>
                <w:iCs w:val="0"/>
                <w:color w:val="auto"/>
                <w:sz w:val="24"/>
                <w:szCs w:val="24"/>
                <w:highlight w:val="none"/>
                <w:lang w:val="en-US" w:eastAsia="zh-CN"/>
              </w:rPr>
              <w:t>2）监测项目：水温、pH、氟化物、悬浮物、化学需氧量、氨氮、总磷、粪大肠菌群、五日生化需氧量、石油类、氰化物、硒、硫化物、挥发酚、阴离子表面活性剂、溶解氧、高锰酸盐指数、铜、锌、镉、铅、总铬、六价铬、总汞、铍、镍、总银、总砷。</w:t>
            </w:r>
            <w:r>
              <w:rPr>
                <w:rFonts w:hint="eastAsia" w:ascii="Times New Roman" w:hAnsi="Times New Roman" w:eastAsia="宋体" w:cs="Times New Roman"/>
                <w:b w:val="0"/>
                <w:bCs w:val="0"/>
                <w:i w:val="0"/>
                <w:iCs w:val="0"/>
                <w:color w:val="auto"/>
                <w:sz w:val="24"/>
                <w:szCs w:val="24"/>
                <w:highlight w:val="none"/>
                <w:lang w:eastAsia="zh-CN"/>
              </w:rPr>
              <w:t>共</w:t>
            </w:r>
            <w:r>
              <w:rPr>
                <w:rFonts w:hint="eastAsia" w:ascii="Times New Roman" w:hAnsi="Times New Roman" w:eastAsia="宋体" w:cs="Times New Roman"/>
                <w:b w:val="0"/>
                <w:bCs w:val="0"/>
                <w:i w:val="0"/>
                <w:iCs w:val="0"/>
                <w:color w:val="auto"/>
                <w:sz w:val="24"/>
                <w:szCs w:val="24"/>
                <w:highlight w:val="none"/>
                <w:lang w:val="en-US" w:eastAsia="zh-CN"/>
              </w:rPr>
              <w:t>28</w:t>
            </w:r>
            <w:r>
              <w:rPr>
                <w:rFonts w:hint="eastAsia" w:ascii="Times New Roman" w:hAnsi="Times New Roman" w:eastAsia="宋体" w:cs="Times New Roman"/>
                <w:b w:val="0"/>
                <w:bCs w:val="0"/>
                <w:i w:val="0"/>
                <w:iCs w:val="0"/>
                <w:color w:val="auto"/>
                <w:sz w:val="24"/>
                <w:szCs w:val="24"/>
                <w:highlight w:val="none"/>
                <w:lang w:eastAsia="zh-CN"/>
              </w:rPr>
              <w:t>项，</w:t>
            </w:r>
            <w:r>
              <w:rPr>
                <w:rFonts w:hint="eastAsia" w:ascii="Times New Roman" w:hAnsi="Times New Roman" w:eastAsia="宋体" w:cs="Times New Roman"/>
                <w:b w:val="0"/>
                <w:bCs w:val="0"/>
                <w:i w:val="0"/>
                <w:iCs w:val="0"/>
                <w:color w:val="auto"/>
                <w:kern w:val="0"/>
                <w:sz w:val="24"/>
                <w:szCs w:val="24"/>
                <w:highlight w:val="none"/>
                <w:lang w:val="en-US" w:eastAsia="zh-CN" w:bidi="ar"/>
              </w:rPr>
              <w:t>同时记录监测时的水温、流速等水文要素</w:t>
            </w:r>
            <w:r>
              <w:rPr>
                <w:rFonts w:hint="eastAsia" w:ascii="Times New Roman" w:hAnsi="Times New Roman" w:eastAsia="宋体" w:cs="Times New Roman"/>
                <w:b w:val="0"/>
                <w:bCs w:val="0"/>
                <w:i w:val="0"/>
                <w:iCs w:val="0"/>
                <w:color w:val="auto"/>
                <w:sz w:val="24"/>
                <w:szCs w:val="24"/>
                <w:highlight w:val="none"/>
                <w:lang w:eastAsia="zh-CN"/>
              </w:rPr>
              <w:t>；</w:t>
            </w:r>
          </w:p>
          <w:p w14:paraId="10C90C12">
            <w:pPr>
              <w:rPr>
                <w:rFonts w:hint="default" w:ascii="Times New Roman" w:hAnsi="Times New Roman" w:eastAsia="宋体" w:cs="Times New Roman"/>
                <w:i w:val="0"/>
                <w:iCs w:val="0"/>
                <w:color w:val="auto"/>
                <w:sz w:val="24"/>
                <w:szCs w:val="24"/>
                <w:highlight w:val="none"/>
                <w:lang w:val="en-US" w:eastAsia="zh-CN"/>
              </w:rPr>
            </w:pPr>
            <w:r>
              <w:rPr>
                <w:rFonts w:hint="eastAsia" w:ascii="Times New Roman" w:hAnsi="Times New Roman" w:eastAsia="宋体" w:cs="Times New Roman"/>
                <w:i w:val="0"/>
                <w:iCs w:val="0"/>
                <w:color w:val="auto"/>
                <w:sz w:val="24"/>
                <w:szCs w:val="24"/>
                <w:highlight w:val="none"/>
                <w:lang w:val="en-US" w:eastAsia="zh-CN"/>
              </w:rPr>
              <w:t>3）</w:t>
            </w:r>
            <w:r>
              <w:rPr>
                <w:rFonts w:hint="eastAsia" w:ascii="Times New Roman" w:hAnsi="Times New Roman" w:eastAsia="宋体" w:cs="Times New Roman"/>
                <w:b w:val="0"/>
                <w:bCs w:val="0"/>
                <w:i w:val="0"/>
                <w:iCs w:val="0"/>
                <w:color w:val="auto"/>
                <w:sz w:val="24"/>
                <w:szCs w:val="24"/>
                <w:highlight w:val="none"/>
                <w:lang w:val="en-US" w:eastAsia="zh-CN"/>
              </w:rPr>
              <w:t>检测频次：每天1次，监测3天。</w:t>
            </w:r>
          </w:p>
          <w:p w14:paraId="534F26E0">
            <w:pPr>
              <w:ind w:firstLine="480"/>
              <w:rPr>
                <w:rFonts w:hint="eastAsia"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sz w:val="24"/>
                <w:szCs w:val="24"/>
                <w:highlight w:val="none"/>
                <w:lang w:val="en-US" w:eastAsia="zh-CN"/>
              </w:rPr>
              <w:t>4）监测结果</w:t>
            </w:r>
          </w:p>
          <w:p w14:paraId="5BEADAF5">
            <w:pPr>
              <w:adjustRightInd w:val="0"/>
              <w:snapToGrid w:val="0"/>
              <w:spacing w:line="240" w:lineRule="auto"/>
              <w:ind w:firstLine="0" w:firstLineChars="0"/>
              <w:jc w:val="center"/>
              <w:rPr>
                <w:b/>
                <w:bCs/>
                <w:sz w:val="21"/>
                <w:szCs w:val="21"/>
              </w:rPr>
            </w:pPr>
            <w:r>
              <w:rPr>
                <w:rFonts w:hint="eastAsia"/>
                <w:b/>
                <w:bCs/>
                <w:sz w:val="21"/>
                <w:szCs w:val="21"/>
              </w:rPr>
              <w:t>表3-3</w:t>
            </w:r>
            <w:r>
              <w:rPr>
                <w:rFonts w:hint="eastAsia"/>
                <w:b/>
                <w:bCs/>
                <w:sz w:val="21"/>
                <w:szCs w:val="21"/>
                <w:lang w:val="en-US" w:eastAsia="zh-CN"/>
              </w:rPr>
              <w:t xml:space="preserve">  </w:t>
            </w:r>
            <w:r>
              <w:rPr>
                <w:rFonts w:hint="eastAsia"/>
                <w:b/>
                <w:bCs/>
                <w:sz w:val="21"/>
                <w:szCs w:val="21"/>
              </w:rPr>
              <w:t>项目地表水检测结果单位mg/L</w:t>
            </w:r>
          </w:p>
          <w:tbl>
            <w:tblPr>
              <w:tblStyle w:val="40"/>
              <w:tblpPr w:leftFromText="180" w:rightFromText="180" w:vertAnchor="text" w:horzAnchor="page" w:tblpX="1" w:tblpY="295"/>
              <w:tblOverlap w:val="never"/>
              <w:tblW w:w="4979" w:type="pct"/>
              <w:tblInd w:w="0" w:type="dxa"/>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Layout w:type="fixed"/>
              <w:tblCellMar>
                <w:top w:w="0" w:type="dxa"/>
                <w:left w:w="108" w:type="dxa"/>
                <w:bottom w:w="0" w:type="dxa"/>
                <w:right w:w="108" w:type="dxa"/>
              </w:tblCellMar>
            </w:tblPr>
            <w:tblGrid>
              <w:gridCol w:w="754"/>
              <w:gridCol w:w="731"/>
              <w:gridCol w:w="731"/>
              <w:gridCol w:w="731"/>
              <w:gridCol w:w="731"/>
              <w:gridCol w:w="731"/>
              <w:gridCol w:w="731"/>
              <w:gridCol w:w="1190"/>
              <w:gridCol w:w="1088"/>
              <w:gridCol w:w="605"/>
            </w:tblGrid>
            <w:tr w14:paraId="1EF0E73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87" w:hRule="atLeast"/>
                <w:tblHeader/>
              </w:trPr>
              <w:tc>
                <w:tcPr>
                  <w:tcW w:w="469" w:type="pct"/>
                  <w:tcBorders>
                    <w:tl2br w:val="nil"/>
                    <w:tr2bl w:val="nil"/>
                  </w:tcBorders>
                  <w:noWrap w:val="0"/>
                  <w:vAlign w:val="center"/>
                </w:tcPr>
                <w:p w14:paraId="5DCD045F">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vertAlign w:val="baseline"/>
                      <w:lang w:val="en-US" w:eastAsia="zh-CN"/>
                    </w:rPr>
                    <w:t>监测点位</w:t>
                  </w:r>
                </w:p>
              </w:tc>
              <w:tc>
                <w:tcPr>
                  <w:tcW w:w="1366" w:type="pct"/>
                  <w:gridSpan w:val="3"/>
                  <w:tcBorders>
                    <w:tl2br w:val="nil"/>
                    <w:tr2bl w:val="nil"/>
                  </w:tcBorders>
                  <w:noWrap w:val="0"/>
                  <w:vAlign w:val="center"/>
                </w:tcPr>
                <w:p w14:paraId="5B90239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bCs/>
                      <w:color w:val="auto"/>
                      <w:sz w:val="21"/>
                      <w:szCs w:val="21"/>
                      <w:lang w:val="en-US" w:eastAsia="zh-CN"/>
                    </w:rPr>
                  </w:pPr>
                  <w:r>
                    <w:rPr>
                      <w:rFonts w:hint="default" w:ascii="Times New Roman" w:hAnsi="Times New Roman" w:cs="Times New Roman" w:eastAsiaTheme="minorEastAsia"/>
                      <w:b/>
                      <w:bCs/>
                      <w:sz w:val="21"/>
                      <w:szCs w:val="21"/>
                      <w:lang w:val="en-US" w:eastAsia="zh-CN"/>
                    </w:rPr>
                    <w:t>W1：项目上游500m卡巴拉河</w:t>
                  </w:r>
                </w:p>
              </w:tc>
              <w:tc>
                <w:tcPr>
                  <w:tcW w:w="1366" w:type="pct"/>
                  <w:gridSpan w:val="3"/>
                  <w:tcBorders>
                    <w:tl2br w:val="nil"/>
                    <w:tr2bl w:val="nil"/>
                  </w:tcBorders>
                  <w:noWrap w:val="0"/>
                  <w:vAlign w:val="center"/>
                </w:tcPr>
                <w:p w14:paraId="12439E4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W2：项目下游1500m卡巴拉河</w:t>
                  </w:r>
                </w:p>
              </w:tc>
              <w:tc>
                <w:tcPr>
                  <w:tcW w:w="741" w:type="pct"/>
                  <w:vMerge w:val="restart"/>
                  <w:tcBorders>
                    <w:tl2br w:val="nil"/>
                    <w:tr2bl w:val="nil"/>
                  </w:tcBorders>
                  <w:noWrap w:val="0"/>
                  <w:vAlign w:val="center"/>
                </w:tcPr>
                <w:p w14:paraId="4C71035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bCs w:val="0"/>
                      <w:color w:val="auto"/>
                      <w:sz w:val="21"/>
                      <w:szCs w:val="21"/>
                      <w:highlight w:val="none"/>
                      <w:lang w:val="en-US" w:eastAsia="zh-CN"/>
                    </w:rPr>
                    <w:t>地表水环境质量标准（GB3838-2002）</w:t>
                  </w:r>
                  <w:r>
                    <w:rPr>
                      <w:rFonts w:hint="eastAsia" w:ascii="宋体" w:hAnsi="宋体" w:eastAsia="宋体" w:cs="宋体"/>
                      <w:b/>
                      <w:bCs w:val="0"/>
                      <w:color w:val="auto"/>
                      <w:sz w:val="21"/>
                      <w:szCs w:val="21"/>
                      <w:highlight w:val="none"/>
                      <w:lang w:val="en-US" w:eastAsia="zh-CN"/>
                    </w:rPr>
                    <w:t>Ⅲ</w:t>
                  </w:r>
                  <w:r>
                    <w:rPr>
                      <w:rFonts w:hint="default" w:ascii="Times New Roman" w:hAnsi="Times New Roman" w:cs="Times New Roman" w:eastAsiaTheme="minorEastAsia"/>
                      <w:b/>
                      <w:bCs w:val="0"/>
                      <w:color w:val="auto"/>
                      <w:sz w:val="21"/>
                      <w:szCs w:val="21"/>
                      <w:highlight w:val="none"/>
                      <w:lang w:val="en-US" w:eastAsia="zh-CN"/>
                    </w:rPr>
                    <w:t>类标准</w:t>
                  </w:r>
                </w:p>
              </w:tc>
              <w:tc>
                <w:tcPr>
                  <w:tcW w:w="677" w:type="pct"/>
                  <w:vMerge w:val="restart"/>
                  <w:tcBorders>
                    <w:tl2br w:val="nil"/>
                    <w:tr2bl w:val="nil"/>
                  </w:tcBorders>
                  <w:noWrap w:val="0"/>
                  <w:vAlign w:val="center"/>
                </w:tcPr>
                <w:p w14:paraId="6F728FA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bCs w:val="0"/>
                      <w:color w:val="auto"/>
                      <w:sz w:val="21"/>
                      <w:szCs w:val="21"/>
                      <w:highlight w:val="none"/>
                      <w:lang w:val="en-US" w:eastAsia="zh-CN"/>
                    </w:rPr>
                    <w:t>标准指数（最大标准指数）</w:t>
                  </w:r>
                </w:p>
              </w:tc>
              <w:tc>
                <w:tcPr>
                  <w:tcW w:w="377" w:type="pct"/>
                  <w:vMerge w:val="restart"/>
                  <w:tcBorders>
                    <w:tl2br w:val="nil"/>
                    <w:tr2bl w:val="nil"/>
                  </w:tcBorders>
                  <w:noWrap w:val="0"/>
                  <w:vAlign w:val="center"/>
                </w:tcPr>
                <w:p w14:paraId="51896DE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bCs w:val="0"/>
                      <w:color w:val="auto"/>
                      <w:sz w:val="21"/>
                      <w:szCs w:val="21"/>
                      <w:highlight w:val="none"/>
                      <w:lang w:val="en-US" w:eastAsia="zh-CN"/>
                    </w:rPr>
                    <w:t>是否达标</w:t>
                  </w:r>
                </w:p>
              </w:tc>
            </w:tr>
            <w:tr w14:paraId="5BBF6EA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27" w:hRule="atLeast"/>
                <w:tblHeader/>
              </w:trPr>
              <w:tc>
                <w:tcPr>
                  <w:tcW w:w="469" w:type="pct"/>
                  <w:tcBorders>
                    <w:tl2br w:val="nil"/>
                    <w:tr2bl w:val="nil"/>
                  </w:tcBorders>
                  <w:noWrap w:val="0"/>
                  <w:vAlign w:val="center"/>
                </w:tcPr>
                <w:p w14:paraId="39804DB0">
                  <w:pPr>
                    <w:keepNext w:val="0"/>
                    <w:keepLines w:val="0"/>
                    <w:pageBreakBefore w:val="0"/>
                    <w:widowControl/>
                    <w:suppressLineNumbers w:val="0"/>
                    <w:kinsoku/>
                    <w:wordWrap/>
                    <w:overflowPunct/>
                    <w:topLinePunct w:val="0"/>
                    <w:autoSpaceDE/>
                    <w:autoSpaceDN/>
                    <w:bidi w:val="0"/>
                    <w:adjustRightInd/>
                    <w:snapToGrid/>
                    <w:spacing w:line="240" w:lineRule="auto"/>
                    <w:ind w:firstLine="0" w:firstLineChars="0"/>
                    <w:jc w:val="center"/>
                    <w:textAlignment w:val="center"/>
                    <w:rPr>
                      <w:rFonts w:hint="default" w:ascii="Times New Roman" w:hAnsi="Times New Roman" w:cs="Times New Roman" w:eastAsiaTheme="minorEastAsia"/>
                      <w:b/>
                      <w:bCs/>
                      <w:color w:val="auto"/>
                      <w:sz w:val="21"/>
                      <w:szCs w:val="21"/>
                      <w:highlight w:val="none"/>
                      <w:vertAlign w:val="baseline"/>
                      <w:lang w:val="en-US" w:eastAsia="zh-CN"/>
                    </w:rPr>
                  </w:pPr>
                  <w:r>
                    <w:rPr>
                      <w:rFonts w:hint="default" w:ascii="Times New Roman" w:hAnsi="Times New Roman" w:cs="Times New Roman" w:eastAsiaTheme="minorEastAsia"/>
                      <w:b/>
                      <w:bCs/>
                      <w:color w:val="auto"/>
                      <w:sz w:val="21"/>
                      <w:szCs w:val="21"/>
                      <w:highlight w:val="none"/>
                      <w:vertAlign w:val="baseline"/>
                      <w:lang w:val="en-US" w:eastAsia="zh-CN"/>
                    </w:rPr>
                    <w:t>采样日期</w:t>
                  </w:r>
                </w:p>
              </w:tc>
              <w:tc>
                <w:tcPr>
                  <w:tcW w:w="455" w:type="pct"/>
                  <w:tcBorders>
                    <w:tl2br w:val="nil"/>
                    <w:tr2bl w:val="nil"/>
                  </w:tcBorders>
                  <w:noWrap w:val="0"/>
                  <w:vAlign w:val="center"/>
                </w:tcPr>
                <w:p w14:paraId="3A870E6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07-19</w:t>
                  </w:r>
                </w:p>
              </w:tc>
              <w:tc>
                <w:tcPr>
                  <w:tcW w:w="455" w:type="pct"/>
                  <w:tcBorders>
                    <w:tl2br w:val="nil"/>
                    <w:tr2bl w:val="nil"/>
                  </w:tcBorders>
                  <w:noWrap w:val="0"/>
                  <w:vAlign w:val="center"/>
                </w:tcPr>
                <w:p w14:paraId="7B267D9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07-20</w:t>
                  </w:r>
                </w:p>
              </w:tc>
              <w:tc>
                <w:tcPr>
                  <w:tcW w:w="455" w:type="pct"/>
                  <w:tcBorders>
                    <w:tl2br w:val="nil"/>
                    <w:tr2bl w:val="nil"/>
                  </w:tcBorders>
                  <w:noWrap w:val="0"/>
                  <w:vAlign w:val="center"/>
                </w:tcPr>
                <w:p w14:paraId="3B5323E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07-21</w:t>
                  </w:r>
                </w:p>
              </w:tc>
              <w:tc>
                <w:tcPr>
                  <w:tcW w:w="455" w:type="pct"/>
                  <w:tcBorders>
                    <w:tl2br w:val="nil"/>
                    <w:tr2bl w:val="nil"/>
                  </w:tcBorders>
                  <w:noWrap w:val="0"/>
                  <w:vAlign w:val="center"/>
                </w:tcPr>
                <w:p w14:paraId="5B65DDB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bCs/>
                      <w:sz w:val="21"/>
                      <w:szCs w:val="21"/>
                      <w:lang w:val="en-US" w:eastAsia="zh-CN"/>
                    </w:rPr>
                  </w:pPr>
                  <w:r>
                    <w:rPr>
                      <w:rFonts w:hint="default" w:ascii="Times New Roman" w:hAnsi="Times New Roman" w:cs="Times New Roman" w:eastAsiaTheme="minorEastAsia"/>
                      <w:b/>
                      <w:bCs/>
                      <w:sz w:val="21"/>
                      <w:szCs w:val="21"/>
                      <w:lang w:val="en-US" w:eastAsia="zh-CN"/>
                    </w:rPr>
                    <w:t>07-19</w:t>
                  </w:r>
                </w:p>
              </w:tc>
              <w:tc>
                <w:tcPr>
                  <w:tcW w:w="455" w:type="pct"/>
                  <w:tcBorders>
                    <w:tl2br w:val="nil"/>
                    <w:tr2bl w:val="nil"/>
                  </w:tcBorders>
                  <w:shd w:val="clear" w:color="auto" w:fill="auto"/>
                  <w:noWrap w:val="0"/>
                  <w:vAlign w:val="center"/>
                </w:tcPr>
                <w:p w14:paraId="16F3E6A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lang w:val="en-US" w:eastAsia="zh-CN"/>
                    </w:rPr>
                    <w:t>07-20</w:t>
                  </w:r>
                </w:p>
              </w:tc>
              <w:tc>
                <w:tcPr>
                  <w:tcW w:w="455" w:type="pct"/>
                  <w:tcBorders>
                    <w:tl2br w:val="nil"/>
                    <w:tr2bl w:val="nil"/>
                  </w:tcBorders>
                  <w:shd w:val="clear" w:color="auto" w:fill="auto"/>
                  <w:noWrap w:val="0"/>
                  <w:vAlign w:val="center"/>
                </w:tcPr>
                <w:p w14:paraId="4B1C219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bCs/>
                      <w:kern w:val="2"/>
                      <w:sz w:val="21"/>
                      <w:szCs w:val="21"/>
                      <w:lang w:val="en-US" w:eastAsia="zh-CN" w:bidi="ar-SA"/>
                    </w:rPr>
                  </w:pPr>
                  <w:r>
                    <w:rPr>
                      <w:rFonts w:hint="default" w:ascii="Times New Roman" w:hAnsi="Times New Roman" w:cs="Times New Roman" w:eastAsiaTheme="minorEastAsia"/>
                      <w:b/>
                      <w:bCs/>
                      <w:sz w:val="21"/>
                      <w:szCs w:val="21"/>
                      <w:lang w:val="en-US" w:eastAsia="zh-CN"/>
                    </w:rPr>
                    <w:t>07-21</w:t>
                  </w:r>
                </w:p>
              </w:tc>
              <w:tc>
                <w:tcPr>
                  <w:tcW w:w="741" w:type="pct"/>
                  <w:vMerge w:val="continue"/>
                  <w:tcBorders>
                    <w:tl2br w:val="nil"/>
                    <w:tr2bl w:val="nil"/>
                  </w:tcBorders>
                  <w:noWrap w:val="0"/>
                  <w:vAlign w:val="center"/>
                </w:tcPr>
                <w:p w14:paraId="3B775B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p>
              </w:tc>
              <w:tc>
                <w:tcPr>
                  <w:tcW w:w="677" w:type="pct"/>
                  <w:vMerge w:val="continue"/>
                  <w:tcBorders>
                    <w:tl2br w:val="nil"/>
                    <w:tr2bl w:val="nil"/>
                  </w:tcBorders>
                  <w:noWrap w:val="0"/>
                  <w:vAlign w:val="center"/>
                </w:tcPr>
                <w:p w14:paraId="31A3EE6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p>
              </w:tc>
              <w:tc>
                <w:tcPr>
                  <w:tcW w:w="377" w:type="pct"/>
                  <w:vMerge w:val="continue"/>
                  <w:tcBorders>
                    <w:tl2br w:val="nil"/>
                    <w:tr2bl w:val="nil"/>
                  </w:tcBorders>
                  <w:noWrap w:val="0"/>
                  <w:vAlign w:val="center"/>
                </w:tcPr>
                <w:p w14:paraId="54AC635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p>
              </w:tc>
            </w:tr>
            <w:tr w14:paraId="47CB2B1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27" w:hRule="atLeast"/>
                <w:tblHeader/>
              </w:trPr>
              <w:tc>
                <w:tcPr>
                  <w:tcW w:w="469" w:type="pct"/>
                  <w:vMerge w:val="restart"/>
                  <w:tcBorders>
                    <w:tl2br w:val="nil"/>
                    <w:tr2bl w:val="nil"/>
                  </w:tcBorders>
                  <w:noWrap w:val="0"/>
                  <w:vAlign w:val="center"/>
                </w:tcPr>
                <w:p w14:paraId="7FC78D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val="0"/>
                      <w:bCs w:val="0"/>
                      <w:color w:val="auto"/>
                      <w:sz w:val="21"/>
                      <w:szCs w:val="21"/>
                      <w:highlight w:val="none"/>
                    </w:rPr>
                    <mc:AlternateContent>
                      <mc:Choice Requires="wps">
                        <w:drawing>
                          <wp:anchor distT="0" distB="0" distL="114300" distR="114300" simplePos="0" relativeHeight="251662336" behindDoc="0" locked="0" layoutInCell="1" allowOverlap="1">
                            <wp:simplePos x="0" y="0"/>
                            <wp:positionH relativeFrom="column">
                              <wp:posOffset>-104140</wp:posOffset>
                            </wp:positionH>
                            <wp:positionV relativeFrom="paragraph">
                              <wp:posOffset>815340</wp:posOffset>
                            </wp:positionV>
                            <wp:extent cx="561975" cy="352425"/>
                            <wp:effectExtent l="0" t="0" r="0" b="0"/>
                            <wp:wrapNone/>
                            <wp:docPr id="64" name="文本框 64"/>
                            <wp:cNvGraphicFramePr/>
                            <a:graphic xmlns:a="http://schemas.openxmlformats.org/drawingml/2006/main">
                              <a:graphicData uri="http://schemas.microsoft.com/office/word/2010/wordprocessingShape">
                                <wps:wsp>
                                  <wps:cNvSpPr txBox="1"/>
                                  <wps:spPr>
                                    <a:xfrm>
                                      <a:off x="0" y="0"/>
                                      <a:ext cx="561975" cy="352425"/>
                                    </a:xfrm>
                                    <a:prstGeom prst="rect">
                                      <a:avLst/>
                                    </a:prstGeom>
                                    <a:noFill/>
                                    <a:ln w="15875">
                                      <a:noFill/>
                                    </a:ln>
                                    <a:effectLst/>
                                  </wps:spPr>
                                  <wps:txbx>
                                    <w:txbxContent>
                                      <w:p w14:paraId="4FEA748A">
                                        <w:pPr>
                                          <w:ind w:left="0" w:leftChars="0" w:firstLine="0" w:firstLineChars="0"/>
                                          <w:rPr>
                                            <w:rFonts w:hint="eastAsia" w:eastAsia="宋体"/>
                                            <w:b/>
                                            <w:bCs/>
                                            <w:sz w:val="18"/>
                                            <w:szCs w:val="18"/>
                                            <w:lang w:val="en-US" w:eastAsia="zh-CN"/>
                                          </w:rPr>
                                        </w:pPr>
                                        <w:r>
                                          <w:rPr>
                                            <w:rFonts w:hint="eastAsia"/>
                                            <w:b/>
                                            <w:bCs/>
                                            <w:sz w:val="18"/>
                                            <w:szCs w:val="18"/>
                                            <w:lang w:val="en-US" w:eastAsia="zh-CN"/>
                                          </w:rPr>
                                          <w:t>检测项</w:t>
                                        </w:r>
                                      </w:p>
                                    </w:txbxContent>
                                  </wps:txbx>
                                  <wps:bodyPr upright="1"/>
                                </wps:wsp>
                              </a:graphicData>
                            </a:graphic>
                          </wp:anchor>
                        </w:drawing>
                      </mc:Choice>
                      <mc:Fallback>
                        <w:pict>
                          <v:shape id="_x0000_s1026" o:spid="_x0000_s1026" o:spt="202" type="#_x0000_t202" style="position:absolute;left:0pt;margin-left:-8.2pt;margin-top:64.2pt;height:27.75pt;width:44.25pt;z-index:251662336;mso-width-relative:page;mso-height-relative:page;" filled="f" stroked="f" coordsize="21600,21600" o:gfxdata="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">
                            <v:fill on="f" focussize="0,0"/>
                            <v:stroke on="f" weight="1.25pt"/>
                            <v:imagedata o:title=""/>
                            <o:lock v:ext="edit" aspectratio="f"/>
                            <v:textbox>
                              <w:txbxContent>
                                <w:p w14:paraId="4FEA748A">
                                  <w:pPr>
                                    <w:ind w:left="0" w:leftChars="0" w:firstLine="0" w:firstLineChars="0"/>
                                    <w:rPr>
                                      <w:rFonts w:hint="eastAsia" w:eastAsia="宋体"/>
                                      <w:b/>
                                      <w:bCs/>
                                      <w:sz w:val="18"/>
                                      <w:szCs w:val="18"/>
                                      <w:lang w:val="en-US" w:eastAsia="zh-CN"/>
                                    </w:rPr>
                                  </w:pPr>
                                  <w:r>
                                    <w:rPr>
                                      <w:rFonts w:hint="eastAsia"/>
                                      <w:b/>
                                      <w:bCs/>
                                      <w:sz w:val="18"/>
                                      <w:szCs w:val="18"/>
                                      <w:lang w:val="en-US" w:eastAsia="zh-CN"/>
                                    </w:rPr>
                                    <w:t>检测项</w:t>
                                  </w:r>
                                </w:p>
                              </w:txbxContent>
                            </v:textbox>
                          </v:shape>
                        </w:pict>
                      </mc:Fallback>
                    </mc:AlternateContent>
                  </w:r>
                  <w:r>
                    <w:rPr>
                      <w:rFonts w:hint="default" w:ascii="Times New Roman" w:hAnsi="Times New Roman" w:cs="Times New Roman" w:eastAsiaTheme="minorEastAsia"/>
                      <w:b w:val="0"/>
                      <w:bCs w:val="0"/>
                      <w:color w:val="auto"/>
                      <w:sz w:val="21"/>
                      <w:szCs w:val="21"/>
                      <w:highlight w:val="none"/>
                    </w:rPr>
                    <mc:AlternateContent>
                      <mc:Choice Requires="wps">
                        <w:drawing>
                          <wp:anchor distT="0" distB="0" distL="114300" distR="114300" simplePos="0" relativeHeight="251660288" behindDoc="0" locked="0" layoutInCell="1" allowOverlap="1">
                            <wp:simplePos x="0" y="0"/>
                            <wp:positionH relativeFrom="column">
                              <wp:posOffset>51435</wp:posOffset>
                            </wp:positionH>
                            <wp:positionV relativeFrom="paragraph">
                              <wp:posOffset>47625</wp:posOffset>
                            </wp:positionV>
                            <wp:extent cx="494665" cy="461645"/>
                            <wp:effectExtent l="0" t="0" r="0" b="0"/>
                            <wp:wrapNone/>
                            <wp:docPr id="65" name="文本框 65"/>
                            <wp:cNvGraphicFramePr/>
                            <a:graphic xmlns:a="http://schemas.openxmlformats.org/drawingml/2006/main">
                              <a:graphicData uri="http://schemas.microsoft.com/office/word/2010/wordprocessingShape">
                                <wps:wsp>
                                  <wps:cNvSpPr txBox="1"/>
                                  <wps:spPr>
                                    <a:xfrm>
                                      <a:off x="0" y="0"/>
                                      <a:ext cx="494665" cy="461645"/>
                                    </a:xfrm>
                                    <a:prstGeom prst="rect">
                                      <a:avLst/>
                                    </a:prstGeom>
                                    <a:noFill/>
                                    <a:ln w="15875">
                                      <a:noFill/>
                                    </a:ln>
                                    <a:effectLst/>
                                  </wps:spPr>
                                  <wps:txbx>
                                    <w:txbxContent>
                                      <w:p w14:paraId="47CB65ED">
                                        <w:pPr>
                                          <w:keepNext w:val="0"/>
                                          <w:keepLines w:val="0"/>
                                          <w:pageBreakBefore w:val="0"/>
                                          <w:widowControl w:val="0"/>
                                          <w:kinsoku/>
                                          <w:wordWrap/>
                                          <w:overflowPunct/>
                                          <w:topLinePunct w:val="0"/>
                                          <w:bidi w:val="0"/>
                                          <w:adjustRightInd/>
                                          <w:snapToGrid/>
                                          <w:spacing w:line="240" w:lineRule="auto"/>
                                          <w:ind w:left="0" w:leftChars="0" w:firstLine="0" w:firstLineChars="0"/>
                                          <w:jc w:val="left"/>
                                          <w:textAlignment w:val="auto"/>
                                          <w:rPr>
                                            <w:rFonts w:hint="default" w:eastAsia="宋体"/>
                                            <w:b/>
                                            <w:bCs/>
                                            <w:sz w:val="18"/>
                                            <w:szCs w:val="18"/>
                                            <w:lang w:val="en-US" w:eastAsia="zh-CN"/>
                                          </w:rPr>
                                        </w:pPr>
                                        <w:r>
                                          <w:rPr>
                                            <w:rFonts w:hint="eastAsia"/>
                                            <w:b/>
                                            <w:bCs/>
                                            <w:sz w:val="18"/>
                                            <w:szCs w:val="18"/>
                                            <w:lang w:val="en-US" w:eastAsia="zh-CN"/>
                                          </w:rPr>
                                          <w:t>样品编号</w:t>
                                        </w:r>
                                      </w:p>
                                    </w:txbxContent>
                                  </wps:txbx>
                                  <wps:bodyPr upright="1"/>
                                </wps:wsp>
                              </a:graphicData>
                            </a:graphic>
                          </wp:anchor>
                        </w:drawing>
                      </mc:Choice>
                      <mc:Fallback>
                        <w:pict>
                          <v:shape id="_x0000_s1026" o:spid="_x0000_s1026" o:spt="202" type="#_x0000_t202" style="position:absolute;left:0pt;margin-left:4.05pt;margin-top:3.75pt;height:36.35pt;width:38.95pt;z-index:251660288;mso-width-relative:page;mso-height-relative:page;" filled="f" stroked="f" coordsize="21600,21600" o:gfxdata="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">
                            <v:fill on="f" focussize="0,0"/>
                            <v:stroke on="f" weight="1.25pt"/>
                            <v:imagedata o:title=""/>
                            <o:lock v:ext="edit" aspectratio="f"/>
                            <v:textbox>
                              <w:txbxContent>
                                <w:p w14:paraId="47CB65ED">
                                  <w:pPr>
                                    <w:keepNext w:val="0"/>
                                    <w:keepLines w:val="0"/>
                                    <w:pageBreakBefore w:val="0"/>
                                    <w:widowControl w:val="0"/>
                                    <w:kinsoku/>
                                    <w:wordWrap/>
                                    <w:overflowPunct/>
                                    <w:topLinePunct w:val="0"/>
                                    <w:bidi w:val="0"/>
                                    <w:adjustRightInd/>
                                    <w:snapToGrid/>
                                    <w:spacing w:line="240" w:lineRule="auto"/>
                                    <w:ind w:left="0" w:leftChars="0" w:firstLine="0" w:firstLineChars="0"/>
                                    <w:jc w:val="left"/>
                                    <w:textAlignment w:val="auto"/>
                                    <w:rPr>
                                      <w:rFonts w:hint="default" w:eastAsia="宋体"/>
                                      <w:b/>
                                      <w:bCs/>
                                      <w:sz w:val="18"/>
                                      <w:szCs w:val="18"/>
                                      <w:lang w:val="en-US" w:eastAsia="zh-CN"/>
                                    </w:rPr>
                                  </w:pPr>
                                  <w:r>
                                    <w:rPr>
                                      <w:rFonts w:hint="eastAsia"/>
                                      <w:b/>
                                      <w:bCs/>
                                      <w:sz w:val="18"/>
                                      <w:szCs w:val="18"/>
                                      <w:lang w:val="en-US" w:eastAsia="zh-CN"/>
                                    </w:rPr>
                                    <w:t>样品编号</w:t>
                                  </w:r>
                                </w:p>
                              </w:txbxContent>
                            </v:textbox>
                          </v:shape>
                        </w:pict>
                      </mc:Fallback>
                    </mc:AlternateContent>
                  </w:r>
                  <w:r>
                    <w:rPr>
                      <w:rFonts w:hint="default" w:ascii="Times New Roman" w:hAnsi="Times New Roman" w:cs="Times New Roman" w:eastAsiaTheme="minorEastAsia"/>
                      <w:b w:val="0"/>
                      <w:bCs w:val="0"/>
                      <w:color w:val="auto"/>
                      <w:sz w:val="21"/>
                      <w:szCs w:val="21"/>
                    </w:rPr>
                    <mc:AlternateContent>
                      <mc:Choice Requires="wps">
                        <w:drawing>
                          <wp:anchor distT="0" distB="0" distL="114300" distR="114300" simplePos="0" relativeHeight="251661312" behindDoc="0" locked="0" layoutInCell="1" allowOverlap="1">
                            <wp:simplePos x="0" y="0"/>
                            <wp:positionH relativeFrom="column">
                              <wp:posOffset>-73660</wp:posOffset>
                            </wp:positionH>
                            <wp:positionV relativeFrom="paragraph">
                              <wp:posOffset>1270</wp:posOffset>
                            </wp:positionV>
                            <wp:extent cx="601345" cy="1134745"/>
                            <wp:effectExtent l="4445" t="2540" r="3810" b="5715"/>
                            <wp:wrapNone/>
                            <wp:docPr id="66" name="直接连接符 66"/>
                            <wp:cNvGraphicFramePr/>
                            <a:graphic xmlns:a="http://schemas.openxmlformats.org/drawingml/2006/main">
                              <a:graphicData uri="http://schemas.microsoft.com/office/word/2010/wordprocessingShape">
                                <wps:wsp>
                                  <wps:cNvCnPr/>
                                  <wps:spPr>
                                    <a:xfrm>
                                      <a:off x="0" y="0"/>
                                      <a:ext cx="601345" cy="1134745"/>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5.8pt;margin-top:0.1pt;height:89.35pt;width:47.35pt;z-index:251661312;mso-width-relative:page;mso-height-relative:page;" filled="f" stroked="t" coordsize="21600,21600" o:gfxdata="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">
                            <v:fill on="f" focussize="0,0"/>
                            <v:stroke color="#000000" joinstyle="round"/>
                            <v:imagedata o:title=""/>
                            <o:lock v:ext="edit" aspectratio="f"/>
                          </v:line>
                        </w:pict>
                      </mc:Fallback>
                    </mc:AlternateContent>
                  </w:r>
                </w:p>
              </w:tc>
              <w:tc>
                <w:tcPr>
                  <w:tcW w:w="2733" w:type="pct"/>
                  <w:gridSpan w:val="6"/>
                  <w:tcBorders>
                    <w:tl2br w:val="nil"/>
                    <w:tr2bl w:val="nil"/>
                  </w:tcBorders>
                  <w:noWrap w:val="0"/>
                  <w:vAlign w:val="center"/>
                </w:tcPr>
                <w:p w14:paraId="60911E8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rPr>
                  </w:pPr>
                  <w:r>
                    <w:rPr>
                      <w:rFonts w:hint="default" w:ascii="Times New Roman" w:hAnsi="Times New Roman" w:cs="Times New Roman" w:eastAsiaTheme="minorEastAsia"/>
                      <w:b/>
                      <w:bCs/>
                      <w:color w:val="auto"/>
                      <w:sz w:val="21"/>
                      <w:szCs w:val="21"/>
                      <w:highlight w:val="none"/>
                    </w:rPr>
                    <w:t>样品编号</w:t>
                  </w:r>
                </w:p>
              </w:tc>
              <w:tc>
                <w:tcPr>
                  <w:tcW w:w="741" w:type="pct"/>
                  <w:vMerge w:val="continue"/>
                  <w:tcBorders>
                    <w:tl2br w:val="nil"/>
                    <w:tr2bl w:val="nil"/>
                  </w:tcBorders>
                  <w:noWrap w:val="0"/>
                  <w:vAlign w:val="center"/>
                </w:tcPr>
                <w:p w14:paraId="315A60F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rPr>
                  </w:pPr>
                </w:p>
              </w:tc>
              <w:tc>
                <w:tcPr>
                  <w:tcW w:w="677" w:type="pct"/>
                  <w:vMerge w:val="continue"/>
                  <w:tcBorders>
                    <w:tl2br w:val="nil"/>
                    <w:tr2bl w:val="nil"/>
                  </w:tcBorders>
                  <w:noWrap w:val="0"/>
                  <w:vAlign w:val="center"/>
                </w:tcPr>
                <w:p w14:paraId="5654ADA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rPr>
                  </w:pPr>
                </w:p>
              </w:tc>
              <w:tc>
                <w:tcPr>
                  <w:tcW w:w="377" w:type="pct"/>
                  <w:vMerge w:val="continue"/>
                  <w:tcBorders>
                    <w:tl2br w:val="nil"/>
                    <w:tr2bl w:val="nil"/>
                  </w:tcBorders>
                  <w:noWrap w:val="0"/>
                  <w:vAlign w:val="center"/>
                </w:tcPr>
                <w:p w14:paraId="3EC6059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rPr>
                  </w:pPr>
                </w:p>
              </w:tc>
            </w:tr>
            <w:tr w14:paraId="72EE3D5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1218" w:hRule="atLeast"/>
                <w:tblHeader/>
              </w:trPr>
              <w:tc>
                <w:tcPr>
                  <w:tcW w:w="469" w:type="pct"/>
                  <w:vMerge w:val="continue"/>
                  <w:tcBorders>
                    <w:tl2br w:val="nil"/>
                    <w:tr2bl w:val="nil"/>
                  </w:tcBorders>
                  <w:noWrap w:val="0"/>
                  <w:vAlign w:val="center"/>
                </w:tcPr>
                <w:p w14:paraId="444ED41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rPr>
                  </w:pPr>
                </w:p>
              </w:tc>
              <w:tc>
                <w:tcPr>
                  <w:tcW w:w="455" w:type="pct"/>
                  <w:tcBorders>
                    <w:tl2br w:val="nil"/>
                    <w:tr2bl w:val="nil"/>
                  </w:tcBorders>
                  <w:noWrap w:val="0"/>
                  <w:vAlign w:val="center"/>
                </w:tcPr>
                <w:p w14:paraId="079482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W25071707DB-1-1-1</w:t>
                  </w:r>
                </w:p>
              </w:tc>
              <w:tc>
                <w:tcPr>
                  <w:tcW w:w="455" w:type="pct"/>
                  <w:tcBorders>
                    <w:tl2br w:val="nil"/>
                    <w:tr2bl w:val="nil"/>
                  </w:tcBorders>
                  <w:noWrap w:val="0"/>
                  <w:vAlign w:val="center"/>
                </w:tcPr>
                <w:p w14:paraId="083E40E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W25071707DB-1-2-1</w:t>
                  </w:r>
                </w:p>
              </w:tc>
              <w:tc>
                <w:tcPr>
                  <w:tcW w:w="455" w:type="pct"/>
                  <w:tcBorders>
                    <w:tl2br w:val="nil"/>
                    <w:tr2bl w:val="nil"/>
                  </w:tcBorders>
                  <w:noWrap w:val="0"/>
                  <w:vAlign w:val="center"/>
                </w:tcPr>
                <w:p w14:paraId="3DB4AD9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W25071707DB-1-3-1</w:t>
                  </w:r>
                </w:p>
              </w:tc>
              <w:tc>
                <w:tcPr>
                  <w:tcW w:w="455" w:type="pct"/>
                  <w:tcBorders>
                    <w:tl2br w:val="nil"/>
                    <w:tr2bl w:val="nil"/>
                  </w:tcBorders>
                  <w:noWrap w:val="0"/>
                  <w:vAlign w:val="center"/>
                </w:tcPr>
                <w:p w14:paraId="10BC2B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W25071707DB-1-1-1</w:t>
                  </w:r>
                </w:p>
              </w:tc>
              <w:tc>
                <w:tcPr>
                  <w:tcW w:w="455" w:type="pct"/>
                  <w:tcBorders>
                    <w:tl2br w:val="nil"/>
                    <w:tr2bl w:val="nil"/>
                  </w:tcBorders>
                  <w:noWrap w:val="0"/>
                  <w:vAlign w:val="center"/>
                </w:tcPr>
                <w:p w14:paraId="7A66C0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W25071707DB-1-2-1</w:t>
                  </w:r>
                </w:p>
              </w:tc>
              <w:tc>
                <w:tcPr>
                  <w:tcW w:w="455" w:type="pct"/>
                  <w:tcBorders>
                    <w:tl2br w:val="nil"/>
                    <w:tr2bl w:val="nil"/>
                  </w:tcBorders>
                  <w:noWrap w:val="0"/>
                  <w:vAlign w:val="center"/>
                </w:tcPr>
                <w:p w14:paraId="30DFBEF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W25071707DB-1-3-1</w:t>
                  </w:r>
                </w:p>
              </w:tc>
              <w:tc>
                <w:tcPr>
                  <w:tcW w:w="741" w:type="pct"/>
                  <w:vMerge w:val="continue"/>
                  <w:tcBorders>
                    <w:tl2br w:val="nil"/>
                    <w:tr2bl w:val="nil"/>
                  </w:tcBorders>
                  <w:noWrap w:val="0"/>
                  <w:vAlign w:val="center"/>
                </w:tcPr>
                <w:p w14:paraId="0780F7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p>
              </w:tc>
              <w:tc>
                <w:tcPr>
                  <w:tcW w:w="677" w:type="pct"/>
                  <w:vMerge w:val="continue"/>
                  <w:tcBorders>
                    <w:tl2br w:val="nil"/>
                    <w:tr2bl w:val="nil"/>
                  </w:tcBorders>
                  <w:noWrap w:val="0"/>
                  <w:vAlign w:val="center"/>
                </w:tcPr>
                <w:p w14:paraId="168D0F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p>
              </w:tc>
              <w:tc>
                <w:tcPr>
                  <w:tcW w:w="377" w:type="pct"/>
                  <w:vMerge w:val="continue"/>
                  <w:tcBorders>
                    <w:tl2br w:val="nil"/>
                    <w:tr2bl w:val="nil"/>
                  </w:tcBorders>
                  <w:noWrap w:val="0"/>
                  <w:vAlign w:val="center"/>
                </w:tcPr>
                <w:p w14:paraId="7922E91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p>
              </w:tc>
            </w:tr>
            <w:tr w14:paraId="4EAF5C7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shd w:val="clear" w:color="auto" w:fill="auto"/>
                  <w:noWrap w:val="0"/>
                  <w:vAlign w:val="center"/>
                </w:tcPr>
                <w:p w14:paraId="5DA4EA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水温（℃）</w:t>
                  </w:r>
                </w:p>
              </w:tc>
              <w:tc>
                <w:tcPr>
                  <w:tcW w:w="455" w:type="pct"/>
                  <w:tcBorders>
                    <w:tl2br w:val="nil"/>
                    <w:tr2bl w:val="nil"/>
                  </w:tcBorders>
                  <w:shd w:val="clear" w:color="auto" w:fill="auto"/>
                  <w:noWrap w:val="0"/>
                  <w:vAlign w:val="center"/>
                </w:tcPr>
                <w:p w14:paraId="237713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20.2</w:t>
                  </w:r>
                </w:p>
              </w:tc>
              <w:tc>
                <w:tcPr>
                  <w:tcW w:w="455" w:type="pct"/>
                  <w:tcBorders>
                    <w:tl2br w:val="nil"/>
                    <w:tr2bl w:val="nil"/>
                  </w:tcBorders>
                  <w:shd w:val="clear" w:color="auto" w:fill="auto"/>
                  <w:noWrap w:val="0"/>
                  <w:vAlign w:val="center"/>
                </w:tcPr>
                <w:p w14:paraId="3BB211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20.6</w:t>
                  </w:r>
                </w:p>
              </w:tc>
              <w:tc>
                <w:tcPr>
                  <w:tcW w:w="455" w:type="pct"/>
                  <w:tcBorders>
                    <w:tl2br w:val="nil"/>
                    <w:tr2bl w:val="nil"/>
                  </w:tcBorders>
                  <w:shd w:val="clear" w:color="auto" w:fill="auto"/>
                  <w:noWrap w:val="0"/>
                  <w:vAlign w:val="center"/>
                </w:tcPr>
                <w:p w14:paraId="1FA8A2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21.0</w:t>
                  </w:r>
                </w:p>
              </w:tc>
              <w:tc>
                <w:tcPr>
                  <w:tcW w:w="455" w:type="pct"/>
                  <w:tcBorders>
                    <w:tl2br w:val="nil"/>
                    <w:tr2bl w:val="nil"/>
                  </w:tcBorders>
                  <w:shd w:val="clear" w:color="auto" w:fill="auto"/>
                  <w:noWrap w:val="0"/>
                  <w:vAlign w:val="center"/>
                </w:tcPr>
                <w:p w14:paraId="2E85F6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20.6</w:t>
                  </w:r>
                </w:p>
              </w:tc>
              <w:tc>
                <w:tcPr>
                  <w:tcW w:w="455" w:type="pct"/>
                  <w:tcBorders>
                    <w:tl2br w:val="nil"/>
                    <w:tr2bl w:val="nil"/>
                  </w:tcBorders>
                  <w:shd w:val="clear" w:color="auto" w:fill="auto"/>
                  <w:noWrap w:val="0"/>
                  <w:vAlign w:val="center"/>
                </w:tcPr>
                <w:p w14:paraId="2CA4AE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20.4</w:t>
                  </w:r>
                </w:p>
              </w:tc>
              <w:tc>
                <w:tcPr>
                  <w:tcW w:w="455" w:type="pct"/>
                  <w:tcBorders>
                    <w:tl2br w:val="nil"/>
                    <w:tr2bl w:val="nil"/>
                  </w:tcBorders>
                  <w:shd w:val="clear" w:color="auto" w:fill="auto"/>
                  <w:noWrap w:val="0"/>
                  <w:vAlign w:val="center"/>
                </w:tcPr>
                <w:p w14:paraId="4EE929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20.6</w:t>
                  </w:r>
                </w:p>
              </w:tc>
              <w:tc>
                <w:tcPr>
                  <w:tcW w:w="741" w:type="pct"/>
                  <w:tcBorders>
                    <w:tl2br w:val="nil"/>
                    <w:tr2bl w:val="nil"/>
                  </w:tcBorders>
                  <w:noWrap w:val="0"/>
                  <w:vAlign w:val="center"/>
                </w:tcPr>
                <w:p w14:paraId="60EA9A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c>
                <w:tcPr>
                  <w:tcW w:w="677" w:type="pct"/>
                  <w:tcBorders>
                    <w:tl2br w:val="nil"/>
                    <w:tr2bl w:val="nil"/>
                  </w:tcBorders>
                  <w:noWrap w:val="0"/>
                  <w:vAlign w:val="center"/>
                </w:tcPr>
                <w:p w14:paraId="2A8D04A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c>
                <w:tcPr>
                  <w:tcW w:w="377" w:type="pct"/>
                  <w:tcBorders>
                    <w:tl2br w:val="nil"/>
                    <w:tr2bl w:val="nil"/>
                  </w:tcBorders>
                  <w:noWrap w:val="0"/>
                  <w:vAlign w:val="center"/>
                </w:tcPr>
                <w:p w14:paraId="2DDB5B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r>
            <w:tr w14:paraId="5231976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shd w:val="clear" w:color="auto" w:fill="auto"/>
                  <w:noWrap w:val="0"/>
                  <w:vAlign w:val="center"/>
                </w:tcPr>
                <w:p w14:paraId="53EB6C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pH（无量纲）</w:t>
                  </w:r>
                </w:p>
              </w:tc>
              <w:tc>
                <w:tcPr>
                  <w:tcW w:w="455" w:type="pct"/>
                  <w:tcBorders>
                    <w:tl2br w:val="nil"/>
                    <w:tr2bl w:val="nil"/>
                  </w:tcBorders>
                  <w:shd w:val="clear" w:color="auto" w:fill="auto"/>
                  <w:noWrap w:val="0"/>
                  <w:vAlign w:val="center"/>
                </w:tcPr>
                <w:p w14:paraId="496A60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8.0</w:t>
                  </w:r>
                </w:p>
              </w:tc>
              <w:tc>
                <w:tcPr>
                  <w:tcW w:w="455" w:type="pct"/>
                  <w:tcBorders>
                    <w:tl2br w:val="nil"/>
                    <w:tr2bl w:val="nil"/>
                  </w:tcBorders>
                  <w:shd w:val="clear" w:color="auto" w:fill="auto"/>
                  <w:noWrap w:val="0"/>
                  <w:vAlign w:val="center"/>
                </w:tcPr>
                <w:p w14:paraId="15A6987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7.8</w:t>
                  </w:r>
                </w:p>
              </w:tc>
              <w:tc>
                <w:tcPr>
                  <w:tcW w:w="455" w:type="pct"/>
                  <w:tcBorders>
                    <w:tl2br w:val="nil"/>
                    <w:tr2bl w:val="nil"/>
                  </w:tcBorders>
                  <w:shd w:val="clear" w:color="auto" w:fill="auto"/>
                  <w:noWrap w:val="0"/>
                  <w:vAlign w:val="center"/>
                </w:tcPr>
                <w:p w14:paraId="78B7CFD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8.1</w:t>
                  </w:r>
                </w:p>
              </w:tc>
              <w:tc>
                <w:tcPr>
                  <w:tcW w:w="455" w:type="pct"/>
                  <w:tcBorders>
                    <w:tl2br w:val="nil"/>
                    <w:tr2bl w:val="nil"/>
                  </w:tcBorders>
                  <w:shd w:val="clear" w:color="auto" w:fill="auto"/>
                  <w:noWrap w:val="0"/>
                  <w:vAlign w:val="center"/>
                </w:tcPr>
                <w:p w14:paraId="78A63C2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7.8</w:t>
                  </w:r>
                </w:p>
              </w:tc>
              <w:tc>
                <w:tcPr>
                  <w:tcW w:w="455" w:type="pct"/>
                  <w:tcBorders>
                    <w:tl2br w:val="nil"/>
                    <w:tr2bl w:val="nil"/>
                  </w:tcBorders>
                  <w:shd w:val="clear" w:color="auto" w:fill="auto"/>
                  <w:noWrap w:val="0"/>
                  <w:vAlign w:val="center"/>
                </w:tcPr>
                <w:p w14:paraId="1948DF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8.2</w:t>
                  </w:r>
                </w:p>
              </w:tc>
              <w:tc>
                <w:tcPr>
                  <w:tcW w:w="455" w:type="pct"/>
                  <w:tcBorders>
                    <w:tl2br w:val="nil"/>
                    <w:tr2bl w:val="nil"/>
                  </w:tcBorders>
                  <w:shd w:val="clear" w:color="auto" w:fill="auto"/>
                  <w:noWrap w:val="0"/>
                  <w:vAlign w:val="center"/>
                </w:tcPr>
                <w:p w14:paraId="2F33A7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8.0</w:t>
                  </w:r>
                </w:p>
              </w:tc>
              <w:tc>
                <w:tcPr>
                  <w:tcW w:w="741" w:type="pct"/>
                  <w:tcBorders>
                    <w:tl2br w:val="nil"/>
                    <w:tr2bl w:val="nil"/>
                  </w:tcBorders>
                  <w:noWrap w:val="0"/>
                  <w:vAlign w:val="center"/>
                </w:tcPr>
                <w:p w14:paraId="2E14428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6~9</w:t>
                  </w:r>
                </w:p>
              </w:tc>
              <w:tc>
                <w:tcPr>
                  <w:tcW w:w="677" w:type="pct"/>
                  <w:tcBorders>
                    <w:tl2br w:val="nil"/>
                    <w:tr2bl w:val="nil"/>
                  </w:tcBorders>
                  <w:noWrap w:val="0"/>
                  <w:vAlign w:val="center"/>
                </w:tcPr>
                <w:p w14:paraId="656CF9D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color w:val="auto"/>
                      <w:kern w:val="0"/>
                      <w:sz w:val="21"/>
                      <w:szCs w:val="21"/>
                      <w:highlight w:val="none"/>
                      <w:lang w:val="en-US" w:eastAsia="zh-CN" w:bidi="ar-SA"/>
                    </w:rPr>
                    <w:t>0.6</w:t>
                  </w:r>
                </w:p>
              </w:tc>
              <w:tc>
                <w:tcPr>
                  <w:tcW w:w="377" w:type="pct"/>
                  <w:tcBorders>
                    <w:tl2br w:val="nil"/>
                    <w:tr2bl w:val="nil"/>
                  </w:tcBorders>
                  <w:noWrap w:val="0"/>
                  <w:vAlign w:val="center"/>
                </w:tcPr>
                <w:p w14:paraId="04F83D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655018B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shd w:val="clear" w:color="auto" w:fill="auto"/>
                  <w:noWrap w:val="0"/>
                  <w:vAlign w:val="center"/>
                </w:tcPr>
                <w:p w14:paraId="7982C3C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氟化物</w:t>
                  </w:r>
                </w:p>
              </w:tc>
              <w:tc>
                <w:tcPr>
                  <w:tcW w:w="455" w:type="pct"/>
                  <w:tcBorders>
                    <w:tl2br w:val="nil"/>
                    <w:tr2bl w:val="nil"/>
                  </w:tcBorders>
                  <w:shd w:val="clear" w:color="auto" w:fill="auto"/>
                  <w:noWrap w:val="0"/>
                  <w:vAlign w:val="center"/>
                </w:tcPr>
                <w:p w14:paraId="531F14C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0.56</w:t>
                  </w:r>
                </w:p>
              </w:tc>
              <w:tc>
                <w:tcPr>
                  <w:tcW w:w="455" w:type="pct"/>
                  <w:tcBorders>
                    <w:tl2br w:val="nil"/>
                    <w:tr2bl w:val="nil"/>
                  </w:tcBorders>
                  <w:shd w:val="clear" w:color="auto" w:fill="auto"/>
                  <w:noWrap w:val="0"/>
                  <w:vAlign w:val="center"/>
                </w:tcPr>
                <w:p w14:paraId="62D9A42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0.54</w:t>
                  </w:r>
                </w:p>
              </w:tc>
              <w:tc>
                <w:tcPr>
                  <w:tcW w:w="455" w:type="pct"/>
                  <w:tcBorders>
                    <w:tl2br w:val="nil"/>
                    <w:tr2bl w:val="nil"/>
                  </w:tcBorders>
                  <w:shd w:val="clear" w:color="auto" w:fill="auto"/>
                  <w:noWrap w:val="0"/>
                  <w:vAlign w:val="center"/>
                </w:tcPr>
                <w:p w14:paraId="0A1499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0.59</w:t>
                  </w:r>
                </w:p>
              </w:tc>
              <w:tc>
                <w:tcPr>
                  <w:tcW w:w="455" w:type="pct"/>
                  <w:tcBorders>
                    <w:tl2br w:val="nil"/>
                    <w:tr2bl w:val="nil"/>
                  </w:tcBorders>
                  <w:shd w:val="clear" w:color="auto" w:fill="auto"/>
                  <w:noWrap w:val="0"/>
                  <w:vAlign w:val="center"/>
                </w:tcPr>
                <w:p w14:paraId="2CF1ED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0.43</w:t>
                  </w:r>
                </w:p>
              </w:tc>
              <w:tc>
                <w:tcPr>
                  <w:tcW w:w="455" w:type="pct"/>
                  <w:tcBorders>
                    <w:tl2br w:val="nil"/>
                    <w:tr2bl w:val="nil"/>
                  </w:tcBorders>
                  <w:shd w:val="clear" w:color="auto" w:fill="auto"/>
                  <w:noWrap w:val="0"/>
                  <w:vAlign w:val="center"/>
                </w:tcPr>
                <w:p w14:paraId="61C37E3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0.41</w:t>
                  </w:r>
                </w:p>
              </w:tc>
              <w:tc>
                <w:tcPr>
                  <w:tcW w:w="455" w:type="pct"/>
                  <w:tcBorders>
                    <w:tl2br w:val="nil"/>
                    <w:tr2bl w:val="nil"/>
                  </w:tcBorders>
                  <w:shd w:val="clear" w:color="auto" w:fill="auto"/>
                  <w:noWrap w:val="0"/>
                  <w:vAlign w:val="center"/>
                </w:tcPr>
                <w:p w14:paraId="2D094B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0.44</w:t>
                  </w:r>
                </w:p>
              </w:tc>
              <w:tc>
                <w:tcPr>
                  <w:tcW w:w="741" w:type="pct"/>
                  <w:tcBorders>
                    <w:tl2br w:val="nil"/>
                    <w:tr2bl w:val="nil"/>
                  </w:tcBorders>
                  <w:noWrap w:val="0"/>
                  <w:vAlign w:val="center"/>
                </w:tcPr>
                <w:p w14:paraId="6FBC1B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color w:val="auto"/>
                      <w:kern w:val="0"/>
                      <w:sz w:val="21"/>
                      <w:szCs w:val="21"/>
                      <w:highlight w:val="none"/>
                      <w:lang w:val="en-US" w:eastAsia="zh-CN" w:bidi="ar-SA"/>
                    </w:rPr>
                    <w:t>1</w:t>
                  </w:r>
                </w:p>
              </w:tc>
              <w:tc>
                <w:tcPr>
                  <w:tcW w:w="677" w:type="pct"/>
                  <w:tcBorders>
                    <w:tl2br w:val="nil"/>
                    <w:tr2bl w:val="nil"/>
                  </w:tcBorders>
                  <w:noWrap w:val="0"/>
                  <w:vAlign w:val="center"/>
                </w:tcPr>
                <w:p w14:paraId="7DF016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color w:val="auto"/>
                      <w:kern w:val="0"/>
                      <w:sz w:val="21"/>
                      <w:szCs w:val="21"/>
                      <w:highlight w:val="none"/>
                      <w:lang w:val="en-US" w:eastAsia="zh-CN" w:bidi="ar-SA"/>
                    </w:rPr>
                    <w:t>0.59</w:t>
                  </w:r>
                </w:p>
              </w:tc>
              <w:tc>
                <w:tcPr>
                  <w:tcW w:w="377" w:type="pct"/>
                  <w:tcBorders>
                    <w:tl2br w:val="nil"/>
                    <w:tr2bl w:val="nil"/>
                  </w:tcBorders>
                  <w:noWrap w:val="0"/>
                  <w:vAlign w:val="center"/>
                </w:tcPr>
                <w:p w14:paraId="1619031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34007166">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shd w:val="clear" w:color="auto" w:fill="auto"/>
                  <w:noWrap w:val="0"/>
                  <w:vAlign w:val="center"/>
                </w:tcPr>
                <w:p w14:paraId="564983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悬浮物</w:t>
                  </w:r>
                </w:p>
              </w:tc>
              <w:tc>
                <w:tcPr>
                  <w:tcW w:w="455" w:type="pct"/>
                  <w:tcBorders>
                    <w:tl2br w:val="nil"/>
                    <w:tr2bl w:val="nil"/>
                  </w:tcBorders>
                  <w:shd w:val="clear" w:color="auto" w:fill="auto"/>
                  <w:noWrap w:val="0"/>
                  <w:vAlign w:val="center"/>
                </w:tcPr>
                <w:p w14:paraId="078443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15</w:t>
                  </w:r>
                </w:p>
              </w:tc>
              <w:tc>
                <w:tcPr>
                  <w:tcW w:w="455" w:type="pct"/>
                  <w:tcBorders>
                    <w:tl2br w:val="nil"/>
                    <w:tr2bl w:val="nil"/>
                  </w:tcBorders>
                  <w:shd w:val="clear" w:color="auto" w:fill="auto"/>
                  <w:noWrap w:val="0"/>
                  <w:vAlign w:val="center"/>
                </w:tcPr>
                <w:p w14:paraId="0D8742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16</w:t>
                  </w:r>
                </w:p>
              </w:tc>
              <w:tc>
                <w:tcPr>
                  <w:tcW w:w="455" w:type="pct"/>
                  <w:tcBorders>
                    <w:tl2br w:val="nil"/>
                    <w:tr2bl w:val="nil"/>
                  </w:tcBorders>
                  <w:shd w:val="clear" w:color="auto" w:fill="auto"/>
                  <w:noWrap w:val="0"/>
                  <w:vAlign w:val="center"/>
                </w:tcPr>
                <w:p w14:paraId="63963DB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18</w:t>
                  </w:r>
                </w:p>
              </w:tc>
              <w:tc>
                <w:tcPr>
                  <w:tcW w:w="455" w:type="pct"/>
                  <w:tcBorders>
                    <w:tl2br w:val="nil"/>
                    <w:tr2bl w:val="nil"/>
                  </w:tcBorders>
                  <w:shd w:val="clear" w:color="auto" w:fill="auto"/>
                  <w:noWrap w:val="0"/>
                  <w:vAlign w:val="center"/>
                </w:tcPr>
                <w:p w14:paraId="3FF6945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19</w:t>
                  </w:r>
                </w:p>
              </w:tc>
              <w:tc>
                <w:tcPr>
                  <w:tcW w:w="455" w:type="pct"/>
                  <w:tcBorders>
                    <w:tl2br w:val="nil"/>
                    <w:tr2bl w:val="nil"/>
                  </w:tcBorders>
                  <w:shd w:val="clear" w:color="auto" w:fill="auto"/>
                  <w:noWrap w:val="0"/>
                  <w:vAlign w:val="center"/>
                </w:tcPr>
                <w:p w14:paraId="73CF5E5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16</w:t>
                  </w:r>
                </w:p>
              </w:tc>
              <w:tc>
                <w:tcPr>
                  <w:tcW w:w="455" w:type="pct"/>
                  <w:tcBorders>
                    <w:tl2br w:val="nil"/>
                    <w:tr2bl w:val="nil"/>
                  </w:tcBorders>
                  <w:shd w:val="clear" w:color="auto" w:fill="auto"/>
                  <w:noWrap w:val="0"/>
                  <w:vAlign w:val="center"/>
                </w:tcPr>
                <w:p w14:paraId="369C30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16</w:t>
                  </w:r>
                </w:p>
              </w:tc>
              <w:tc>
                <w:tcPr>
                  <w:tcW w:w="741" w:type="pct"/>
                  <w:tcBorders>
                    <w:tl2br w:val="nil"/>
                    <w:tr2bl w:val="nil"/>
                  </w:tcBorders>
                  <w:noWrap w:val="0"/>
                  <w:vAlign w:val="center"/>
                </w:tcPr>
                <w:p w14:paraId="10D055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c>
                <w:tcPr>
                  <w:tcW w:w="677" w:type="pct"/>
                  <w:tcBorders>
                    <w:tl2br w:val="nil"/>
                    <w:tr2bl w:val="nil"/>
                  </w:tcBorders>
                  <w:noWrap w:val="0"/>
                  <w:vAlign w:val="center"/>
                </w:tcPr>
                <w:p w14:paraId="2D0E08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c>
                <w:tcPr>
                  <w:tcW w:w="377" w:type="pct"/>
                  <w:tcBorders>
                    <w:tl2br w:val="nil"/>
                    <w:tr2bl w:val="nil"/>
                  </w:tcBorders>
                  <w:noWrap w:val="0"/>
                  <w:vAlign w:val="center"/>
                </w:tcPr>
                <w:p w14:paraId="33E245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r>
            <w:tr w14:paraId="14D2A78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shd w:val="clear" w:color="auto" w:fill="auto"/>
                  <w:noWrap w:val="0"/>
                  <w:vAlign w:val="center"/>
                </w:tcPr>
                <w:p w14:paraId="07F875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化学需氧量</w:t>
                  </w:r>
                </w:p>
              </w:tc>
              <w:tc>
                <w:tcPr>
                  <w:tcW w:w="455" w:type="pct"/>
                  <w:tcBorders>
                    <w:tl2br w:val="nil"/>
                    <w:tr2bl w:val="nil"/>
                  </w:tcBorders>
                  <w:shd w:val="clear" w:color="auto" w:fill="auto"/>
                  <w:noWrap w:val="0"/>
                  <w:vAlign w:val="center"/>
                </w:tcPr>
                <w:p w14:paraId="7894C11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13</w:t>
                  </w:r>
                </w:p>
              </w:tc>
              <w:tc>
                <w:tcPr>
                  <w:tcW w:w="455" w:type="pct"/>
                  <w:tcBorders>
                    <w:tl2br w:val="nil"/>
                    <w:tr2bl w:val="nil"/>
                  </w:tcBorders>
                  <w:shd w:val="clear" w:color="auto" w:fill="auto"/>
                  <w:noWrap w:val="0"/>
                  <w:vAlign w:val="center"/>
                </w:tcPr>
                <w:p w14:paraId="3445499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12</w:t>
                  </w:r>
                </w:p>
              </w:tc>
              <w:tc>
                <w:tcPr>
                  <w:tcW w:w="455" w:type="pct"/>
                  <w:tcBorders>
                    <w:tl2br w:val="nil"/>
                    <w:tr2bl w:val="nil"/>
                  </w:tcBorders>
                  <w:shd w:val="clear" w:color="auto" w:fill="auto"/>
                  <w:noWrap w:val="0"/>
                  <w:vAlign w:val="center"/>
                </w:tcPr>
                <w:p w14:paraId="3679032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12</w:t>
                  </w:r>
                </w:p>
              </w:tc>
              <w:tc>
                <w:tcPr>
                  <w:tcW w:w="455" w:type="pct"/>
                  <w:tcBorders>
                    <w:tl2br w:val="nil"/>
                    <w:tr2bl w:val="nil"/>
                  </w:tcBorders>
                  <w:shd w:val="clear" w:color="auto" w:fill="auto"/>
                  <w:noWrap w:val="0"/>
                  <w:vAlign w:val="center"/>
                </w:tcPr>
                <w:p w14:paraId="3F1BF22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11</w:t>
                  </w:r>
                </w:p>
              </w:tc>
              <w:tc>
                <w:tcPr>
                  <w:tcW w:w="455" w:type="pct"/>
                  <w:tcBorders>
                    <w:tl2br w:val="nil"/>
                    <w:tr2bl w:val="nil"/>
                  </w:tcBorders>
                  <w:shd w:val="clear" w:color="auto" w:fill="auto"/>
                  <w:noWrap w:val="0"/>
                  <w:vAlign w:val="center"/>
                </w:tcPr>
                <w:p w14:paraId="3F50799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10</w:t>
                  </w:r>
                </w:p>
              </w:tc>
              <w:tc>
                <w:tcPr>
                  <w:tcW w:w="455" w:type="pct"/>
                  <w:tcBorders>
                    <w:tl2br w:val="nil"/>
                    <w:tr2bl w:val="nil"/>
                  </w:tcBorders>
                  <w:shd w:val="clear" w:color="auto" w:fill="auto"/>
                  <w:noWrap w:val="0"/>
                  <w:vAlign w:val="center"/>
                </w:tcPr>
                <w:p w14:paraId="27EF85B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9</w:t>
                  </w:r>
                </w:p>
              </w:tc>
              <w:tc>
                <w:tcPr>
                  <w:tcW w:w="741" w:type="pct"/>
                  <w:tcBorders>
                    <w:tl2br w:val="nil"/>
                    <w:tr2bl w:val="nil"/>
                  </w:tcBorders>
                  <w:noWrap w:val="0"/>
                  <w:vAlign w:val="center"/>
                </w:tcPr>
                <w:p w14:paraId="769ACA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color w:val="auto"/>
                      <w:kern w:val="0"/>
                      <w:sz w:val="21"/>
                      <w:szCs w:val="21"/>
                      <w:highlight w:val="none"/>
                      <w:lang w:val="en-US" w:eastAsia="zh-CN" w:bidi="ar-SA"/>
                    </w:rPr>
                    <w:t>20</w:t>
                  </w:r>
                </w:p>
              </w:tc>
              <w:tc>
                <w:tcPr>
                  <w:tcW w:w="677" w:type="pct"/>
                  <w:tcBorders>
                    <w:tl2br w:val="nil"/>
                    <w:tr2bl w:val="nil"/>
                  </w:tcBorders>
                  <w:noWrap w:val="0"/>
                  <w:vAlign w:val="center"/>
                </w:tcPr>
                <w:p w14:paraId="605DC0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0.65</w:t>
                  </w:r>
                </w:p>
              </w:tc>
              <w:tc>
                <w:tcPr>
                  <w:tcW w:w="377" w:type="pct"/>
                  <w:tcBorders>
                    <w:tl2br w:val="nil"/>
                    <w:tr2bl w:val="nil"/>
                  </w:tcBorders>
                  <w:noWrap w:val="0"/>
                  <w:vAlign w:val="center"/>
                </w:tcPr>
                <w:p w14:paraId="2071F90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4F6D4B5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shd w:val="clear" w:color="auto" w:fill="auto"/>
                  <w:noWrap w:val="0"/>
                  <w:vAlign w:val="center"/>
                </w:tcPr>
                <w:p w14:paraId="4FD356E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氨氮</w:t>
                  </w:r>
                </w:p>
              </w:tc>
              <w:tc>
                <w:tcPr>
                  <w:tcW w:w="455" w:type="pct"/>
                  <w:tcBorders>
                    <w:tl2br w:val="nil"/>
                    <w:tr2bl w:val="nil"/>
                  </w:tcBorders>
                  <w:shd w:val="clear" w:color="auto" w:fill="auto"/>
                  <w:noWrap w:val="0"/>
                  <w:vAlign w:val="center"/>
                </w:tcPr>
                <w:p w14:paraId="03991DC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0.377</w:t>
                  </w:r>
                </w:p>
              </w:tc>
              <w:tc>
                <w:tcPr>
                  <w:tcW w:w="455" w:type="pct"/>
                  <w:tcBorders>
                    <w:tl2br w:val="nil"/>
                    <w:tr2bl w:val="nil"/>
                  </w:tcBorders>
                  <w:shd w:val="clear" w:color="auto" w:fill="auto"/>
                  <w:noWrap w:val="0"/>
                  <w:vAlign w:val="center"/>
                </w:tcPr>
                <w:p w14:paraId="4C3FEAC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0.362</w:t>
                  </w:r>
                </w:p>
              </w:tc>
              <w:tc>
                <w:tcPr>
                  <w:tcW w:w="455" w:type="pct"/>
                  <w:tcBorders>
                    <w:tl2br w:val="nil"/>
                    <w:tr2bl w:val="nil"/>
                  </w:tcBorders>
                  <w:shd w:val="clear" w:color="auto" w:fill="auto"/>
                  <w:noWrap w:val="0"/>
                  <w:vAlign w:val="center"/>
                </w:tcPr>
                <w:p w14:paraId="3618108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0.368</w:t>
                  </w:r>
                </w:p>
              </w:tc>
              <w:tc>
                <w:tcPr>
                  <w:tcW w:w="455" w:type="pct"/>
                  <w:tcBorders>
                    <w:tl2br w:val="nil"/>
                    <w:tr2bl w:val="nil"/>
                  </w:tcBorders>
                  <w:shd w:val="clear" w:color="auto" w:fill="auto"/>
                  <w:noWrap w:val="0"/>
                  <w:vAlign w:val="center"/>
                </w:tcPr>
                <w:p w14:paraId="308662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0.443</w:t>
                  </w:r>
                </w:p>
              </w:tc>
              <w:tc>
                <w:tcPr>
                  <w:tcW w:w="455" w:type="pct"/>
                  <w:tcBorders>
                    <w:tl2br w:val="nil"/>
                    <w:tr2bl w:val="nil"/>
                  </w:tcBorders>
                  <w:shd w:val="clear" w:color="auto" w:fill="auto"/>
                  <w:noWrap w:val="0"/>
                  <w:vAlign w:val="center"/>
                </w:tcPr>
                <w:p w14:paraId="2D51621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0.427</w:t>
                  </w:r>
                </w:p>
              </w:tc>
              <w:tc>
                <w:tcPr>
                  <w:tcW w:w="455" w:type="pct"/>
                  <w:tcBorders>
                    <w:tl2br w:val="nil"/>
                    <w:tr2bl w:val="nil"/>
                  </w:tcBorders>
                  <w:shd w:val="clear" w:color="auto" w:fill="auto"/>
                  <w:noWrap w:val="0"/>
                  <w:vAlign w:val="center"/>
                </w:tcPr>
                <w:p w14:paraId="1336A2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0.418</w:t>
                  </w:r>
                </w:p>
              </w:tc>
              <w:tc>
                <w:tcPr>
                  <w:tcW w:w="741" w:type="pct"/>
                  <w:tcBorders>
                    <w:tl2br w:val="nil"/>
                    <w:tr2bl w:val="nil"/>
                  </w:tcBorders>
                  <w:noWrap w:val="0"/>
                  <w:vAlign w:val="center"/>
                </w:tcPr>
                <w:p w14:paraId="63E1B2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color w:val="auto"/>
                      <w:kern w:val="0"/>
                      <w:sz w:val="21"/>
                      <w:szCs w:val="21"/>
                      <w:highlight w:val="none"/>
                      <w:lang w:val="en-US" w:eastAsia="zh-CN" w:bidi="ar-SA"/>
                    </w:rPr>
                    <w:t>1</w:t>
                  </w:r>
                </w:p>
              </w:tc>
              <w:tc>
                <w:tcPr>
                  <w:tcW w:w="677" w:type="pct"/>
                  <w:tcBorders>
                    <w:tl2br w:val="nil"/>
                    <w:tr2bl w:val="nil"/>
                  </w:tcBorders>
                  <w:noWrap w:val="0"/>
                  <w:vAlign w:val="center"/>
                </w:tcPr>
                <w:p w14:paraId="7B048CB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color w:val="auto"/>
                      <w:kern w:val="0"/>
                      <w:sz w:val="21"/>
                      <w:szCs w:val="21"/>
                      <w:highlight w:val="none"/>
                      <w:lang w:val="en-US" w:eastAsia="zh-CN" w:bidi="ar-SA"/>
                    </w:rPr>
                    <w:t>0.443</w:t>
                  </w:r>
                </w:p>
              </w:tc>
              <w:tc>
                <w:tcPr>
                  <w:tcW w:w="377" w:type="pct"/>
                  <w:tcBorders>
                    <w:tl2br w:val="nil"/>
                    <w:tr2bl w:val="nil"/>
                  </w:tcBorders>
                  <w:noWrap w:val="0"/>
                  <w:vAlign w:val="center"/>
                </w:tcPr>
                <w:p w14:paraId="21B327B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144B9FC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shd w:val="clear" w:color="auto" w:fill="auto"/>
                  <w:noWrap w:val="0"/>
                  <w:vAlign w:val="center"/>
                </w:tcPr>
                <w:p w14:paraId="6628EAA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总磷</w:t>
                  </w:r>
                </w:p>
              </w:tc>
              <w:tc>
                <w:tcPr>
                  <w:tcW w:w="455" w:type="pct"/>
                  <w:tcBorders>
                    <w:tl2br w:val="nil"/>
                    <w:tr2bl w:val="nil"/>
                  </w:tcBorders>
                  <w:shd w:val="clear" w:color="auto" w:fill="auto"/>
                  <w:noWrap w:val="0"/>
                  <w:vAlign w:val="center"/>
                </w:tcPr>
                <w:p w14:paraId="02F19E5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0.17</w:t>
                  </w:r>
                </w:p>
              </w:tc>
              <w:tc>
                <w:tcPr>
                  <w:tcW w:w="455" w:type="pct"/>
                  <w:tcBorders>
                    <w:tl2br w:val="nil"/>
                    <w:tr2bl w:val="nil"/>
                  </w:tcBorders>
                  <w:shd w:val="clear" w:color="auto" w:fill="auto"/>
                  <w:noWrap w:val="0"/>
                  <w:vAlign w:val="center"/>
                </w:tcPr>
                <w:p w14:paraId="5069AA3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0.18</w:t>
                  </w:r>
                </w:p>
              </w:tc>
              <w:tc>
                <w:tcPr>
                  <w:tcW w:w="455" w:type="pct"/>
                  <w:tcBorders>
                    <w:tl2br w:val="nil"/>
                    <w:tr2bl w:val="nil"/>
                  </w:tcBorders>
                  <w:shd w:val="clear" w:color="auto" w:fill="auto"/>
                  <w:noWrap w:val="0"/>
                  <w:vAlign w:val="center"/>
                </w:tcPr>
                <w:p w14:paraId="2C82EA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0.16</w:t>
                  </w:r>
                </w:p>
              </w:tc>
              <w:tc>
                <w:tcPr>
                  <w:tcW w:w="455" w:type="pct"/>
                  <w:tcBorders>
                    <w:tl2br w:val="nil"/>
                    <w:tr2bl w:val="nil"/>
                  </w:tcBorders>
                  <w:shd w:val="clear" w:color="auto" w:fill="auto"/>
                  <w:noWrap w:val="0"/>
                  <w:vAlign w:val="center"/>
                </w:tcPr>
                <w:p w14:paraId="0414D3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0.13</w:t>
                  </w:r>
                </w:p>
              </w:tc>
              <w:tc>
                <w:tcPr>
                  <w:tcW w:w="455" w:type="pct"/>
                  <w:tcBorders>
                    <w:tl2br w:val="nil"/>
                    <w:tr2bl w:val="nil"/>
                  </w:tcBorders>
                  <w:shd w:val="clear" w:color="auto" w:fill="auto"/>
                  <w:noWrap w:val="0"/>
                  <w:vAlign w:val="center"/>
                </w:tcPr>
                <w:p w14:paraId="5DF10C0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0.13</w:t>
                  </w:r>
                </w:p>
              </w:tc>
              <w:tc>
                <w:tcPr>
                  <w:tcW w:w="455" w:type="pct"/>
                  <w:tcBorders>
                    <w:tl2br w:val="nil"/>
                    <w:tr2bl w:val="nil"/>
                  </w:tcBorders>
                  <w:shd w:val="clear" w:color="auto" w:fill="auto"/>
                  <w:noWrap w:val="0"/>
                  <w:vAlign w:val="center"/>
                </w:tcPr>
                <w:p w14:paraId="769363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0.11</w:t>
                  </w:r>
                </w:p>
              </w:tc>
              <w:tc>
                <w:tcPr>
                  <w:tcW w:w="741" w:type="pct"/>
                  <w:tcBorders>
                    <w:tl2br w:val="nil"/>
                    <w:tr2bl w:val="nil"/>
                  </w:tcBorders>
                  <w:noWrap w:val="0"/>
                  <w:vAlign w:val="center"/>
                </w:tcPr>
                <w:p w14:paraId="41B3691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0.2</w:t>
                  </w:r>
                </w:p>
              </w:tc>
              <w:tc>
                <w:tcPr>
                  <w:tcW w:w="677" w:type="pct"/>
                  <w:tcBorders>
                    <w:tl2br w:val="nil"/>
                    <w:tr2bl w:val="nil"/>
                  </w:tcBorders>
                  <w:noWrap w:val="0"/>
                  <w:vAlign w:val="center"/>
                </w:tcPr>
                <w:p w14:paraId="1BD6F7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0.9</w:t>
                  </w:r>
                </w:p>
              </w:tc>
              <w:tc>
                <w:tcPr>
                  <w:tcW w:w="377" w:type="pct"/>
                  <w:tcBorders>
                    <w:tl2br w:val="nil"/>
                    <w:tr2bl w:val="nil"/>
                  </w:tcBorders>
                  <w:noWrap w:val="0"/>
                  <w:vAlign w:val="center"/>
                </w:tcPr>
                <w:p w14:paraId="3CEC57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715134B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shd w:val="clear" w:color="auto" w:fill="auto"/>
                  <w:noWrap w:val="0"/>
                  <w:vAlign w:val="center"/>
                </w:tcPr>
                <w:p w14:paraId="3F2B5FB4">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粪大肠菌群（MPN/L)</w:t>
                  </w:r>
                </w:p>
              </w:tc>
              <w:tc>
                <w:tcPr>
                  <w:tcW w:w="455" w:type="pct"/>
                  <w:tcBorders>
                    <w:tl2br w:val="nil"/>
                    <w:tr2bl w:val="nil"/>
                  </w:tcBorders>
                  <w:shd w:val="clear" w:color="auto" w:fill="auto"/>
                  <w:noWrap w:val="0"/>
                  <w:vAlign w:val="center"/>
                </w:tcPr>
                <w:p w14:paraId="4D5755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20L</w:t>
                  </w:r>
                </w:p>
              </w:tc>
              <w:tc>
                <w:tcPr>
                  <w:tcW w:w="455" w:type="pct"/>
                  <w:tcBorders>
                    <w:tl2br w:val="nil"/>
                    <w:tr2bl w:val="nil"/>
                  </w:tcBorders>
                  <w:shd w:val="clear" w:color="auto" w:fill="auto"/>
                  <w:noWrap w:val="0"/>
                  <w:vAlign w:val="center"/>
                </w:tcPr>
                <w:p w14:paraId="4416E9A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20L</w:t>
                  </w:r>
                </w:p>
              </w:tc>
              <w:tc>
                <w:tcPr>
                  <w:tcW w:w="455" w:type="pct"/>
                  <w:tcBorders>
                    <w:tl2br w:val="nil"/>
                    <w:tr2bl w:val="nil"/>
                  </w:tcBorders>
                  <w:shd w:val="clear" w:color="auto" w:fill="auto"/>
                  <w:noWrap w:val="0"/>
                  <w:vAlign w:val="center"/>
                </w:tcPr>
                <w:p w14:paraId="05E791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20L</w:t>
                  </w:r>
                </w:p>
              </w:tc>
              <w:tc>
                <w:tcPr>
                  <w:tcW w:w="455" w:type="pct"/>
                  <w:tcBorders>
                    <w:tl2br w:val="nil"/>
                    <w:tr2bl w:val="nil"/>
                  </w:tcBorders>
                  <w:shd w:val="clear" w:color="auto" w:fill="auto"/>
                  <w:noWrap w:val="0"/>
                  <w:vAlign w:val="center"/>
                </w:tcPr>
                <w:p w14:paraId="1EBF30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20L</w:t>
                  </w:r>
                </w:p>
              </w:tc>
              <w:tc>
                <w:tcPr>
                  <w:tcW w:w="455" w:type="pct"/>
                  <w:tcBorders>
                    <w:tl2br w:val="nil"/>
                    <w:tr2bl w:val="nil"/>
                  </w:tcBorders>
                  <w:shd w:val="clear" w:color="auto" w:fill="auto"/>
                  <w:noWrap w:val="0"/>
                  <w:vAlign w:val="center"/>
                </w:tcPr>
                <w:p w14:paraId="26FEFAD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20L</w:t>
                  </w:r>
                </w:p>
              </w:tc>
              <w:tc>
                <w:tcPr>
                  <w:tcW w:w="455" w:type="pct"/>
                  <w:tcBorders>
                    <w:tl2br w:val="nil"/>
                    <w:tr2bl w:val="nil"/>
                  </w:tcBorders>
                  <w:shd w:val="clear" w:color="auto" w:fill="auto"/>
                  <w:noWrap w:val="0"/>
                  <w:vAlign w:val="center"/>
                </w:tcPr>
                <w:p w14:paraId="26B8ABC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20L</w:t>
                  </w:r>
                </w:p>
              </w:tc>
              <w:tc>
                <w:tcPr>
                  <w:tcW w:w="741" w:type="pct"/>
                  <w:tcBorders>
                    <w:tl2br w:val="nil"/>
                    <w:tr2bl w:val="nil"/>
                  </w:tcBorders>
                  <w:noWrap w:val="0"/>
                  <w:vAlign w:val="center"/>
                </w:tcPr>
                <w:p w14:paraId="79726F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10000</w:t>
                  </w:r>
                </w:p>
              </w:tc>
              <w:tc>
                <w:tcPr>
                  <w:tcW w:w="677" w:type="pct"/>
                  <w:tcBorders>
                    <w:tl2br w:val="nil"/>
                    <w:tr2bl w:val="nil"/>
                  </w:tcBorders>
                  <w:noWrap w:val="0"/>
                  <w:vAlign w:val="center"/>
                </w:tcPr>
                <w:p w14:paraId="317F40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0.002</w:t>
                  </w:r>
                </w:p>
              </w:tc>
              <w:tc>
                <w:tcPr>
                  <w:tcW w:w="377" w:type="pct"/>
                  <w:tcBorders>
                    <w:tl2br w:val="nil"/>
                    <w:tr2bl w:val="nil"/>
                  </w:tcBorders>
                  <w:noWrap w:val="0"/>
                  <w:vAlign w:val="center"/>
                </w:tcPr>
                <w:p w14:paraId="707B4B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7F3DE90A">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shd w:val="clear" w:color="auto" w:fill="auto"/>
                  <w:noWrap w:val="0"/>
                  <w:vAlign w:val="center"/>
                </w:tcPr>
                <w:p w14:paraId="754584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五日生化需氧量</w:t>
                  </w:r>
                </w:p>
              </w:tc>
              <w:tc>
                <w:tcPr>
                  <w:tcW w:w="455" w:type="pct"/>
                  <w:tcBorders>
                    <w:tl2br w:val="nil"/>
                    <w:tr2bl w:val="nil"/>
                  </w:tcBorders>
                  <w:shd w:val="clear" w:color="auto" w:fill="auto"/>
                  <w:noWrap w:val="0"/>
                  <w:vAlign w:val="center"/>
                </w:tcPr>
                <w:p w14:paraId="3BE77F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3.8</w:t>
                  </w:r>
                </w:p>
              </w:tc>
              <w:tc>
                <w:tcPr>
                  <w:tcW w:w="455" w:type="pct"/>
                  <w:tcBorders>
                    <w:tl2br w:val="nil"/>
                    <w:tr2bl w:val="nil"/>
                  </w:tcBorders>
                  <w:shd w:val="clear" w:color="auto" w:fill="auto"/>
                  <w:noWrap w:val="0"/>
                  <w:vAlign w:val="center"/>
                </w:tcPr>
                <w:p w14:paraId="50A4303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3.5</w:t>
                  </w:r>
                </w:p>
              </w:tc>
              <w:tc>
                <w:tcPr>
                  <w:tcW w:w="455" w:type="pct"/>
                  <w:tcBorders>
                    <w:tl2br w:val="nil"/>
                    <w:tr2bl w:val="nil"/>
                  </w:tcBorders>
                  <w:shd w:val="clear" w:color="auto" w:fill="auto"/>
                  <w:noWrap w:val="0"/>
                  <w:vAlign w:val="center"/>
                </w:tcPr>
                <w:p w14:paraId="477B1E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3.4</w:t>
                  </w:r>
                </w:p>
              </w:tc>
              <w:tc>
                <w:tcPr>
                  <w:tcW w:w="455" w:type="pct"/>
                  <w:tcBorders>
                    <w:tl2br w:val="nil"/>
                    <w:tr2bl w:val="nil"/>
                  </w:tcBorders>
                  <w:shd w:val="clear" w:color="auto" w:fill="auto"/>
                  <w:noWrap w:val="0"/>
                  <w:vAlign w:val="center"/>
                </w:tcPr>
                <w:p w14:paraId="5738D0B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3.2</w:t>
                  </w:r>
                </w:p>
              </w:tc>
              <w:tc>
                <w:tcPr>
                  <w:tcW w:w="455" w:type="pct"/>
                  <w:tcBorders>
                    <w:tl2br w:val="nil"/>
                    <w:tr2bl w:val="nil"/>
                  </w:tcBorders>
                  <w:shd w:val="clear" w:color="auto" w:fill="auto"/>
                  <w:noWrap w:val="0"/>
                  <w:vAlign w:val="center"/>
                </w:tcPr>
                <w:p w14:paraId="23FB52C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2.9</w:t>
                  </w:r>
                </w:p>
              </w:tc>
              <w:tc>
                <w:tcPr>
                  <w:tcW w:w="455" w:type="pct"/>
                  <w:tcBorders>
                    <w:tl2br w:val="nil"/>
                    <w:tr2bl w:val="nil"/>
                  </w:tcBorders>
                  <w:shd w:val="clear" w:color="auto" w:fill="auto"/>
                  <w:noWrap w:val="0"/>
                  <w:vAlign w:val="center"/>
                </w:tcPr>
                <w:p w14:paraId="7C3D06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2.6</w:t>
                  </w:r>
                </w:p>
              </w:tc>
              <w:tc>
                <w:tcPr>
                  <w:tcW w:w="741" w:type="pct"/>
                  <w:tcBorders>
                    <w:tl2br w:val="nil"/>
                    <w:tr2bl w:val="nil"/>
                  </w:tcBorders>
                  <w:noWrap w:val="0"/>
                  <w:vAlign w:val="center"/>
                </w:tcPr>
                <w:p w14:paraId="542BD9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4</w:t>
                  </w:r>
                </w:p>
              </w:tc>
              <w:tc>
                <w:tcPr>
                  <w:tcW w:w="677" w:type="pct"/>
                  <w:tcBorders>
                    <w:tl2br w:val="nil"/>
                    <w:tr2bl w:val="nil"/>
                  </w:tcBorders>
                  <w:noWrap w:val="0"/>
                  <w:vAlign w:val="center"/>
                </w:tcPr>
                <w:p w14:paraId="203086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0.95</w:t>
                  </w:r>
                </w:p>
              </w:tc>
              <w:tc>
                <w:tcPr>
                  <w:tcW w:w="377" w:type="pct"/>
                  <w:tcBorders>
                    <w:tl2br w:val="nil"/>
                    <w:tr2bl w:val="nil"/>
                  </w:tcBorders>
                  <w:noWrap w:val="0"/>
                  <w:vAlign w:val="center"/>
                </w:tcPr>
                <w:p w14:paraId="5A958F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157193DC">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shd w:val="clear" w:color="auto" w:fill="auto"/>
                  <w:noWrap w:val="0"/>
                  <w:vAlign w:val="center"/>
                </w:tcPr>
                <w:p w14:paraId="6B9D69B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石油类</w:t>
                  </w:r>
                </w:p>
              </w:tc>
              <w:tc>
                <w:tcPr>
                  <w:tcW w:w="455" w:type="pct"/>
                  <w:tcBorders>
                    <w:tl2br w:val="nil"/>
                    <w:tr2bl w:val="nil"/>
                  </w:tcBorders>
                  <w:shd w:val="clear" w:color="auto" w:fill="auto"/>
                  <w:noWrap w:val="0"/>
                  <w:vAlign w:val="center"/>
                </w:tcPr>
                <w:p w14:paraId="5CE842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0.01L</w:t>
                  </w:r>
                </w:p>
              </w:tc>
              <w:tc>
                <w:tcPr>
                  <w:tcW w:w="455" w:type="pct"/>
                  <w:tcBorders>
                    <w:tl2br w:val="nil"/>
                    <w:tr2bl w:val="nil"/>
                  </w:tcBorders>
                  <w:shd w:val="clear" w:color="auto" w:fill="auto"/>
                  <w:noWrap w:val="0"/>
                  <w:vAlign w:val="center"/>
                </w:tcPr>
                <w:p w14:paraId="5ED8E49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0.01L</w:t>
                  </w:r>
                </w:p>
              </w:tc>
              <w:tc>
                <w:tcPr>
                  <w:tcW w:w="455" w:type="pct"/>
                  <w:tcBorders>
                    <w:tl2br w:val="nil"/>
                    <w:tr2bl w:val="nil"/>
                  </w:tcBorders>
                  <w:shd w:val="clear" w:color="auto" w:fill="auto"/>
                  <w:noWrap w:val="0"/>
                  <w:vAlign w:val="center"/>
                </w:tcPr>
                <w:p w14:paraId="719EBF4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0.01L</w:t>
                  </w:r>
                </w:p>
              </w:tc>
              <w:tc>
                <w:tcPr>
                  <w:tcW w:w="455" w:type="pct"/>
                  <w:tcBorders>
                    <w:tl2br w:val="nil"/>
                    <w:tr2bl w:val="nil"/>
                  </w:tcBorders>
                  <w:shd w:val="clear" w:color="auto" w:fill="auto"/>
                  <w:noWrap w:val="0"/>
                  <w:vAlign w:val="center"/>
                </w:tcPr>
                <w:p w14:paraId="22051AF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0.01L</w:t>
                  </w:r>
                </w:p>
              </w:tc>
              <w:tc>
                <w:tcPr>
                  <w:tcW w:w="455" w:type="pct"/>
                  <w:tcBorders>
                    <w:tl2br w:val="nil"/>
                    <w:tr2bl w:val="nil"/>
                  </w:tcBorders>
                  <w:shd w:val="clear" w:color="auto" w:fill="auto"/>
                  <w:noWrap w:val="0"/>
                  <w:vAlign w:val="center"/>
                </w:tcPr>
                <w:p w14:paraId="12AF526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0.01L</w:t>
                  </w:r>
                </w:p>
              </w:tc>
              <w:tc>
                <w:tcPr>
                  <w:tcW w:w="455" w:type="pct"/>
                  <w:tcBorders>
                    <w:tl2br w:val="nil"/>
                    <w:tr2bl w:val="nil"/>
                  </w:tcBorders>
                  <w:shd w:val="clear" w:color="auto" w:fill="auto"/>
                  <w:noWrap w:val="0"/>
                  <w:vAlign w:val="center"/>
                </w:tcPr>
                <w:p w14:paraId="576334C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0.01L</w:t>
                  </w:r>
                </w:p>
              </w:tc>
              <w:tc>
                <w:tcPr>
                  <w:tcW w:w="741" w:type="pct"/>
                  <w:tcBorders>
                    <w:tl2br w:val="nil"/>
                    <w:tr2bl w:val="nil"/>
                  </w:tcBorders>
                  <w:noWrap w:val="0"/>
                  <w:vAlign w:val="center"/>
                </w:tcPr>
                <w:p w14:paraId="45ED5E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0.</w:t>
                  </w:r>
                  <w:r>
                    <w:rPr>
                      <w:rFonts w:hint="eastAsia" w:cs="Times New Roman" w:eastAsiaTheme="minorEastAsia"/>
                      <w:b w:val="0"/>
                      <w:bCs w:val="0"/>
                      <w:color w:val="auto"/>
                      <w:sz w:val="21"/>
                      <w:szCs w:val="21"/>
                      <w:highlight w:val="none"/>
                      <w:lang w:val="en-US" w:eastAsia="zh-CN"/>
                    </w:rPr>
                    <w:t>05</w:t>
                  </w:r>
                </w:p>
              </w:tc>
              <w:tc>
                <w:tcPr>
                  <w:tcW w:w="677" w:type="pct"/>
                  <w:tcBorders>
                    <w:tl2br w:val="nil"/>
                    <w:tr2bl w:val="nil"/>
                  </w:tcBorders>
                  <w:noWrap w:val="0"/>
                  <w:vAlign w:val="center"/>
                </w:tcPr>
                <w:p w14:paraId="09FC3DF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0.</w:t>
                  </w:r>
                  <w:r>
                    <w:rPr>
                      <w:rFonts w:hint="eastAsia" w:cs="Times New Roman" w:eastAsiaTheme="minorEastAsia"/>
                      <w:b w:val="0"/>
                      <w:bCs w:val="0"/>
                      <w:color w:val="auto"/>
                      <w:sz w:val="21"/>
                      <w:szCs w:val="21"/>
                      <w:highlight w:val="none"/>
                      <w:lang w:val="en-US" w:eastAsia="zh-CN"/>
                    </w:rPr>
                    <w:t>2</w:t>
                  </w:r>
                </w:p>
              </w:tc>
              <w:tc>
                <w:tcPr>
                  <w:tcW w:w="377" w:type="pct"/>
                  <w:tcBorders>
                    <w:tl2br w:val="nil"/>
                    <w:tr2bl w:val="nil"/>
                  </w:tcBorders>
                  <w:noWrap w:val="0"/>
                  <w:vAlign w:val="center"/>
                </w:tcPr>
                <w:p w14:paraId="78E5600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0E9C87D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shd w:val="clear" w:color="auto" w:fill="auto"/>
                  <w:noWrap w:val="0"/>
                  <w:vAlign w:val="center"/>
                </w:tcPr>
                <w:p w14:paraId="29DDAA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氰化物</w:t>
                  </w:r>
                </w:p>
              </w:tc>
              <w:tc>
                <w:tcPr>
                  <w:tcW w:w="455" w:type="pct"/>
                  <w:tcBorders>
                    <w:tl2br w:val="nil"/>
                    <w:tr2bl w:val="nil"/>
                  </w:tcBorders>
                  <w:shd w:val="clear" w:color="auto" w:fill="auto"/>
                  <w:noWrap w:val="0"/>
                  <w:vAlign w:val="center"/>
                </w:tcPr>
                <w:p w14:paraId="0018C8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0.002L</w:t>
                  </w:r>
                </w:p>
              </w:tc>
              <w:tc>
                <w:tcPr>
                  <w:tcW w:w="455" w:type="pct"/>
                  <w:tcBorders>
                    <w:tl2br w:val="nil"/>
                    <w:tr2bl w:val="nil"/>
                  </w:tcBorders>
                  <w:shd w:val="clear" w:color="auto" w:fill="auto"/>
                  <w:noWrap w:val="0"/>
                  <w:vAlign w:val="center"/>
                </w:tcPr>
                <w:p w14:paraId="2C98C1B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0.002L</w:t>
                  </w:r>
                </w:p>
              </w:tc>
              <w:tc>
                <w:tcPr>
                  <w:tcW w:w="455" w:type="pct"/>
                  <w:tcBorders>
                    <w:tl2br w:val="nil"/>
                    <w:tr2bl w:val="nil"/>
                  </w:tcBorders>
                  <w:shd w:val="clear" w:color="auto" w:fill="auto"/>
                  <w:noWrap w:val="0"/>
                  <w:vAlign w:val="center"/>
                </w:tcPr>
                <w:p w14:paraId="51659F7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0.002L</w:t>
                  </w:r>
                </w:p>
              </w:tc>
              <w:tc>
                <w:tcPr>
                  <w:tcW w:w="455" w:type="pct"/>
                  <w:tcBorders>
                    <w:tl2br w:val="nil"/>
                    <w:tr2bl w:val="nil"/>
                  </w:tcBorders>
                  <w:shd w:val="clear" w:color="auto" w:fill="auto"/>
                  <w:noWrap w:val="0"/>
                  <w:vAlign w:val="center"/>
                </w:tcPr>
                <w:p w14:paraId="409DEC7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0.002L</w:t>
                  </w:r>
                </w:p>
              </w:tc>
              <w:tc>
                <w:tcPr>
                  <w:tcW w:w="455" w:type="pct"/>
                  <w:tcBorders>
                    <w:tl2br w:val="nil"/>
                    <w:tr2bl w:val="nil"/>
                  </w:tcBorders>
                  <w:shd w:val="clear" w:color="auto" w:fill="auto"/>
                  <w:noWrap w:val="0"/>
                  <w:vAlign w:val="center"/>
                </w:tcPr>
                <w:p w14:paraId="7D96B2E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0.002L</w:t>
                  </w:r>
                </w:p>
              </w:tc>
              <w:tc>
                <w:tcPr>
                  <w:tcW w:w="455" w:type="pct"/>
                  <w:tcBorders>
                    <w:tl2br w:val="nil"/>
                    <w:tr2bl w:val="nil"/>
                  </w:tcBorders>
                  <w:shd w:val="clear" w:color="auto" w:fill="auto"/>
                  <w:noWrap w:val="0"/>
                  <w:vAlign w:val="center"/>
                </w:tcPr>
                <w:p w14:paraId="7D078B2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0.002L</w:t>
                  </w:r>
                </w:p>
              </w:tc>
              <w:tc>
                <w:tcPr>
                  <w:tcW w:w="741" w:type="pct"/>
                  <w:tcBorders>
                    <w:tl2br w:val="nil"/>
                    <w:tr2bl w:val="nil"/>
                  </w:tcBorders>
                  <w:noWrap w:val="0"/>
                  <w:vAlign w:val="center"/>
                </w:tcPr>
                <w:p w14:paraId="605B8A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0.2</w:t>
                  </w:r>
                </w:p>
              </w:tc>
              <w:tc>
                <w:tcPr>
                  <w:tcW w:w="677" w:type="pct"/>
                  <w:tcBorders>
                    <w:tl2br w:val="nil"/>
                    <w:tr2bl w:val="nil"/>
                  </w:tcBorders>
                  <w:noWrap w:val="0"/>
                  <w:vAlign w:val="center"/>
                </w:tcPr>
                <w:p w14:paraId="5CD722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0.01</w:t>
                  </w:r>
                </w:p>
              </w:tc>
              <w:tc>
                <w:tcPr>
                  <w:tcW w:w="377" w:type="pct"/>
                  <w:tcBorders>
                    <w:tl2br w:val="nil"/>
                    <w:tr2bl w:val="nil"/>
                  </w:tcBorders>
                  <w:noWrap w:val="0"/>
                  <w:vAlign w:val="center"/>
                </w:tcPr>
                <w:p w14:paraId="5F0755B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6B99F43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shd w:val="clear" w:color="auto" w:fill="auto"/>
                  <w:noWrap w:val="0"/>
                  <w:vAlign w:val="center"/>
                </w:tcPr>
                <w:p w14:paraId="26CF2E6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硒</w:t>
                  </w:r>
                </w:p>
              </w:tc>
              <w:tc>
                <w:tcPr>
                  <w:tcW w:w="455" w:type="pct"/>
                  <w:tcBorders>
                    <w:tl2br w:val="nil"/>
                    <w:tr2bl w:val="nil"/>
                  </w:tcBorders>
                  <w:shd w:val="clear" w:color="auto" w:fill="auto"/>
                  <w:noWrap w:val="0"/>
                  <w:vAlign w:val="center"/>
                </w:tcPr>
                <w:p w14:paraId="33C7923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455" w:type="pct"/>
                  <w:tcBorders>
                    <w:tl2br w:val="nil"/>
                    <w:tr2bl w:val="nil"/>
                  </w:tcBorders>
                  <w:shd w:val="clear" w:color="auto" w:fill="auto"/>
                  <w:noWrap w:val="0"/>
                  <w:vAlign w:val="center"/>
                </w:tcPr>
                <w:p w14:paraId="6F9FD2E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455" w:type="pct"/>
                  <w:tcBorders>
                    <w:tl2br w:val="nil"/>
                    <w:tr2bl w:val="nil"/>
                  </w:tcBorders>
                  <w:shd w:val="clear" w:color="auto" w:fill="auto"/>
                  <w:noWrap w:val="0"/>
                  <w:vAlign w:val="center"/>
                </w:tcPr>
                <w:p w14:paraId="7980F64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455" w:type="pct"/>
                  <w:tcBorders>
                    <w:tl2br w:val="nil"/>
                    <w:tr2bl w:val="nil"/>
                  </w:tcBorders>
                  <w:shd w:val="clear" w:color="auto" w:fill="auto"/>
                  <w:noWrap w:val="0"/>
                  <w:vAlign w:val="center"/>
                </w:tcPr>
                <w:p w14:paraId="264072F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455" w:type="pct"/>
                  <w:tcBorders>
                    <w:tl2br w:val="nil"/>
                    <w:tr2bl w:val="nil"/>
                  </w:tcBorders>
                  <w:shd w:val="clear" w:color="auto" w:fill="auto"/>
                  <w:noWrap w:val="0"/>
                  <w:vAlign w:val="center"/>
                </w:tcPr>
                <w:p w14:paraId="0269005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r>
                    <w:rPr>
                      <w:rFonts w:hint="default" w:ascii="Times New Roman" w:hAnsi="Times New Roman" w:cs="Times New Roman" w:eastAsiaTheme="minorEastAsia"/>
                      <w:b w:val="0"/>
                      <w:bCs w:val="0"/>
                      <w:color w:val="auto"/>
                      <w:sz w:val="21"/>
                      <w:szCs w:val="21"/>
                      <w:highlight w:val="none"/>
                      <w:lang w:val="en-US" w:eastAsia="zh-CN"/>
                    </w:rPr>
                    <w:t>L</w:t>
                  </w:r>
                </w:p>
              </w:tc>
              <w:tc>
                <w:tcPr>
                  <w:tcW w:w="455" w:type="pct"/>
                  <w:tcBorders>
                    <w:tl2br w:val="nil"/>
                    <w:tr2bl w:val="nil"/>
                  </w:tcBorders>
                  <w:shd w:val="clear" w:color="auto" w:fill="auto"/>
                  <w:noWrap w:val="0"/>
                  <w:vAlign w:val="center"/>
                </w:tcPr>
                <w:p w14:paraId="2A78E0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741" w:type="pct"/>
                  <w:tcBorders>
                    <w:tl2br w:val="nil"/>
                    <w:tr2bl w:val="nil"/>
                  </w:tcBorders>
                  <w:noWrap w:val="0"/>
                  <w:vAlign w:val="center"/>
                </w:tcPr>
                <w:p w14:paraId="44970E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0.0</w:t>
                  </w:r>
                  <w:r>
                    <w:rPr>
                      <w:rFonts w:hint="eastAsia" w:cs="Times New Roman" w:eastAsiaTheme="minorEastAsia"/>
                      <w:b w:val="0"/>
                      <w:bCs w:val="0"/>
                      <w:color w:val="auto"/>
                      <w:sz w:val="21"/>
                      <w:szCs w:val="21"/>
                      <w:highlight w:val="none"/>
                      <w:lang w:val="en-US" w:eastAsia="zh-CN"/>
                    </w:rPr>
                    <w:t>1</w:t>
                  </w:r>
                </w:p>
              </w:tc>
              <w:tc>
                <w:tcPr>
                  <w:tcW w:w="677" w:type="pct"/>
                  <w:tcBorders>
                    <w:tl2br w:val="nil"/>
                    <w:tr2bl w:val="nil"/>
                  </w:tcBorders>
                  <w:noWrap w:val="0"/>
                  <w:vAlign w:val="center"/>
                </w:tcPr>
                <w:p w14:paraId="2F18665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w:t>
                  </w:r>
                  <w:r>
                    <w:rPr>
                      <w:rFonts w:hint="eastAsia" w:cs="Times New Roman" w:eastAsiaTheme="minorEastAsia"/>
                      <w:b w:val="0"/>
                      <w:bCs w:val="0"/>
                      <w:color w:val="auto"/>
                      <w:sz w:val="21"/>
                      <w:szCs w:val="21"/>
                      <w:highlight w:val="none"/>
                      <w:lang w:val="en-US" w:eastAsia="zh-CN"/>
                    </w:rPr>
                    <w:t>04</w:t>
                  </w:r>
                </w:p>
              </w:tc>
              <w:tc>
                <w:tcPr>
                  <w:tcW w:w="377" w:type="pct"/>
                  <w:tcBorders>
                    <w:tl2br w:val="nil"/>
                    <w:tr2bl w:val="nil"/>
                  </w:tcBorders>
                  <w:noWrap w:val="0"/>
                  <w:vAlign w:val="center"/>
                </w:tcPr>
                <w:p w14:paraId="5244B5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47FEB695">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shd w:val="clear" w:color="auto" w:fill="auto"/>
                  <w:noWrap w:val="0"/>
                  <w:vAlign w:val="center"/>
                </w:tcPr>
                <w:p w14:paraId="76AFD8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硫化物</w:t>
                  </w:r>
                </w:p>
              </w:tc>
              <w:tc>
                <w:tcPr>
                  <w:tcW w:w="455" w:type="pct"/>
                  <w:tcBorders>
                    <w:tl2br w:val="nil"/>
                    <w:tr2bl w:val="nil"/>
                  </w:tcBorders>
                  <w:shd w:val="clear" w:color="auto" w:fill="auto"/>
                  <w:noWrap w:val="0"/>
                  <w:vAlign w:val="center"/>
                </w:tcPr>
                <w:p w14:paraId="04FCFAA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0.01</w:t>
                  </w:r>
                </w:p>
              </w:tc>
              <w:tc>
                <w:tcPr>
                  <w:tcW w:w="455" w:type="pct"/>
                  <w:tcBorders>
                    <w:tl2br w:val="nil"/>
                    <w:tr2bl w:val="nil"/>
                  </w:tcBorders>
                  <w:shd w:val="clear" w:color="auto" w:fill="auto"/>
                  <w:noWrap w:val="0"/>
                  <w:vAlign w:val="center"/>
                </w:tcPr>
                <w:p w14:paraId="0E62C70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0.01</w:t>
                  </w:r>
                </w:p>
              </w:tc>
              <w:tc>
                <w:tcPr>
                  <w:tcW w:w="455" w:type="pct"/>
                  <w:tcBorders>
                    <w:tl2br w:val="nil"/>
                    <w:tr2bl w:val="nil"/>
                  </w:tcBorders>
                  <w:shd w:val="clear" w:color="auto" w:fill="auto"/>
                  <w:noWrap w:val="0"/>
                  <w:vAlign w:val="center"/>
                </w:tcPr>
                <w:p w14:paraId="44FFB0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0.01</w:t>
                  </w:r>
                </w:p>
              </w:tc>
              <w:tc>
                <w:tcPr>
                  <w:tcW w:w="455" w:type="pct"/>
                  <w:tcBorders>
                    <w:tl2br w:val="nil"/>
                    <w:tr2bl w:val="nil"/>
                  </w:tcBorders>
                  <w:shd w:val="clear" w:color="auto" w:fill="auto"/>
                  <w:noWrap w:val="0"/>
                  <w:vAlign w:val="center"/>
                </w:tcPr>
                <w:p w14:paraId="7251A5E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0.01</w:t>
                  </w:r>
                </w:p>
              </w:tc>
              <w:tc>
                <w:tcPr>
                  <w:tcW w:w="455" w:type="pct"/>
                  <w:tcBorders>
                    <w:tl2br w:val="nil"/>
                    <w:tr2bl w:val="nil"/>
                  </w:tcBorders>
                  <w:shd w:val="clear" w:color="auto" w:fill="auto"/>
                  <w:noWrap w:val="0"/>
                  <w:vAlign w:val="center"/>
                </w:tcPr>
                <w:p w14:paraId="1D54F0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0.01</w:t>
                  </w:r>
                </w:p>
              </w:tc>
              <w:tc>
                <w:tcPr>
                  <w:tcW w:w="455" w:type="pct"/>
                  <w:tcBorders>
                    <w:tl2br w:val="nil"/>
                    <w:tr2bl w:val="nil"/>
                  </w:tcBorders>
                  <w:shd w:val="clear" w:color="auto" w:fill="auto"/>
                  <w:noWrap w:val="0"/>
                  <w:vAlign w:val="center"/>
                </w:tcPr>
                <w:p w14:paraId="04BBF40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0.01</w:t>
                  </w:r>
                </w:p>
              </w:tc>
              <w:tc>
                <w:tcPr>
                  <w:tcW w:w="741" w:type="pct"/>
                  <w:tcBorders>
                    <w:tl2br w:val="nil"/>
                    <w:tr2bl w:val="nil"/>
                  </w:tcBorders>
                  <w:noWrap w:val="0"/>
                  <w:vAlign w:val="center"/>
                </w:tcPr>
                <w:p w14:paraId="5519DA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0.2</w:t>
                  </w:r>
                </w:p>
              </w:tc>
              <w:tc>
                <w:tcPr>
                  <w:tcW w:w="677" w:type="pct"/>
                  <w:tcBorders>
                    <w:tl2br w:val="nil"/>
                    <w:tr2bl w:val="nil"/>
                  </w:tcBorders>
                  <w:noWrap w:val="0"/>
                  <w:vAlign w:val="center"/>
                </w:tcPr>
                <w:p w14:paraId="6D8E9C0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0.05</w:t>
                  </w:r>
                </w:p>
              </w:tc>
              <w:tc>
                <w:tcPr>
                  <w:tcW w:w="377" w:type="pct"/>
                  <w:tcBorders>
                    <w:tl2br w:val="nil"/>
                    <w:tr2bl w:val="nil"/>
                  </w:tcBorders>
                  <w:noWrap w:val="0"/>
                  <w:vAlign w:val="center"/>
                </w:tcPr>
                <w:p w14:paraId="0E858FC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5685CCCD">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shd w:val="clear" w:color="auto" w:fill="auto"/>
                  <w:noWrap w:val="0"/>
                  <w:vAlign w:val="center"/>
                </w:tcPr>
                <w:p w14:paraId="3DCA620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挥发酚</w:t>
                  </w:r>
                </w:p>
              </w:tc>
              <w:tc>
                <w:tcPr>
                  <w:tcW w:w="455" w:type="pct"/>
                  <w:tcBorders>
                    <w:tl2br w:val="nil"/>
                    <w:tr2bl w:val="nil"/>
                  </w:tcBorders>
                  <w:shd w:val="clear" w:color="auto" w:fill="auto"/>
                  <w:noWrap w:val="0"/>
                  <w:vAlign w:val="center"/>
                </w:tcPr>
                <w:p w14:paraId="79ACC18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0.0003</w:t>
                  </w:r>
                </w:p>
              </w:tc>
              <w:tc>
                <w:tcPr>
                  <w:tcW w:w="455" w:type="pct"/>
                  <w:tcBorders>
                    <w:tl2br w:val="nil"/>
                    <w:tr2bl w:val="nil"/>
                  </w:tcBorders>
                  <w:shd w:val="clear" w:color="auto" w:fill="auto"/>
                  <w:noWrap w:val="0"/>
                  <w:vAlign w:val="center"/>
                </w:tcPr>
                <w:p w14:paraId="7CFD67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0.0003</w:t>
                  </w:r>
                </w:p>
              </w:tc>
              <w:tc>
                <w:tcPr>
                  <w:tcW w:w="455" w:type="pct"/>
                  <w:tcBorders>
                    <w:tl2br w:val="nil"/>
                    <w:tr2bl w:val="nil"/>
                  </w:tcBorders>
                  <w:shd w:val="clear" w:color="auto" w:fill="auto"/>
                  <w:noWrap w:val="0"/>
                  <w:vAlign w:val="center"/>
                </w:tcPr>
                <w:p w14:paraId="2F74531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0.0003</w:t>
                  </w:r>
                </w:p>
              </w:tc>
              <w:tc>
                <w:tcPr>
                  <w:tcW w:w="455" w:type="pct"/>
                  <w:tcBorders>
                    <w:tl2br w:val="nil"/>
                    <w:tr2bl w:val="nil"/>
                  </w:tcBorders>
                  <w:shd w:val="clear" w:color="auto" w:fill="auto"/>
                  <w:noWrap w:val="0"/>
                  <w:vAlign w:val="center"/>
                </w:tcPr>
                <w:p w14:paraId="1D37FF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0.0003</w:t>
                  </w:r>
                </w:p>
              </w:tc>
              <w:tc>
                <w:tcPr>
                  <w:tcW w:w="455" w:type="pct"/>
                  <w:tcBorders>
                    <w:tl2br w:val="nil"/>
                    <w:tr2bl w:val="nil"/>
                  </w:tcBorders>
                  <w:shd w:val="clear" w:color="auto" w:fill="auto"/>
                  <w:noWrap w:val="0"/>
                  <w:vAlign w:val="center"/>
                </w:tcPr>
                <w:p w14:paraId="7058ECA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0.0003</w:t>
                  </w:r>
                </w:p>
              </w:tc>
              <w:tc>
                <w:tcPr>
                  <w:tcW w:w="455" w:type="pct"/>
                  <w:tcBorders>
                    <w:tl2br w:val="nil"/>
                    <w:tr2bl w:val="nil"/>
                  </w:tcBorders>
                  <w:shd w:val="clear" w:color="auto" w:fill="auto"/>
                  <w:noWrap w:val="0"/>
                  <w:vAlign w:val="center"/>
                </w:tcPr>
                <w:p w14:paraId="6D8BB7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0.0003</w:t>
                  </w:r>
                </w:p>
              </w:tc>
              <w:tc>
                <w:tcPr>
                  <w:tcW w:w="741" w:type="pct"/>
                  <w:tcBorders>
                    <w:tl2br w:val="nil"/>
                    <w:tr2bl w:val="nil"/>
                  </w:tcBorders>
                  <w:noWrap w:val="0"/>
                  <w:vAlign w:val="center"/>
                </w:tcPr>
                <w:p w14:paraId="38ED068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0.005</w:t>
                  </w:r>
                </w:p>
              </w:tc>
              <w:tc>
                <w:tcPr>
                  <w:tcW w:w="677" w:type="pct"/>
                  <w:tcBorders>
                    <w:tl2br w:val="nil"/>
                    <w:tr2bl w:val="nil"/>
                  </w:tcBorders>
                  <w:noWrap w:val="0"/>
                  <w:vAlign w:val="center"/>
                </w:tcPr>
                <w:p w14:paraId="4FEADBE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0.06</w:t>
                  </w:r>
                </w:p>
              </w:tc>
              <w:tc>
                <w:tcPr>
                  <w:tcW w:w="377" w:type="pct"/>
                  <w:tcBorders>
                    <w:tl2br w:val="nil"/>
                    <w:tr2bl w:val="nil"/>
                  </w:tcBorders>
                  <w:noWrap w:val="0"/>
                  <w:vAlign w:val="center"/>
                </w:tcPr>
                <w:p w14:paraId="1D75F8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51CF363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noWrap w:val="0"/>
                  <w:vAlign w:val="center"/>
                </w:tcPr>
                <w:p w14:paraId="47B7BCA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阴离子表面活性剂</w:t>
                  </w:r>
                </w:p>
              </w:tc>
              <w:tc>
                <w:tcPr>
                  <w:tcW w:w="455" w:type="pct"/>
                  <w:tcBorders>
                    <w:tl2br w:val="nil"/>
                    <w:tr2bl w:val="nil"/>
                  </w:tcBorders>
                  <w:noWrap w:val="0"/>
                  <w:vAlign w:val="center"/>
                </w:tcPr>
                <w:p w14:paraId="782DB202">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455" w:type="pct"/>
                  <w:tcBorders>
                    <w:tl2br w:val="nil"/>
                    <w:tr2bl w:val="nil"/>
                  </w:tcBorders>
                  <w:noWrap w:val="0"/>
                  <w:vAlign w:val="center"/>
                </w:tcPr>
                <w:p w14:paraId="3A10DB6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455" w:type="pct"/>
                  <w:tcBorders>
                    <w:tl2br w:val="nil"/>
                    <w:tr2bl w:val="nil"/>
                  </w:tcBorders>
                  <w:noWrap w:val="0"/>
                  <w:vAlign w:val="center"/>
                </w:tcPr>
                <w:p w14:paraId="324B5C2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455" w:type="pct"/>
                  <w:tcBorders>
                    <w:tl2br w:val="nil"/>
                    <w:tr2bl w:val="nil"/>
                  </w:tcBorders>
                  <w:noWrap w:val="0"/>
                  <w:vAlign w:val="center"/>
                </w:tcPr>
                <w:p w14:paraId="15F9177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455" w:type="pct"/>
                  <w:tcBorders>
                    <w:tl2br w:val="nil"/>
                    <w:tr2bl w:val="nil"/>
                  </w:tcBorders>
                  <w:noWrap w:val="0"/>
                  <w:vAlign w:val="center"/>
                </w:tcPr>
                <w:p w14:paraId="1232B32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455" w:type="pct"/>
                  <w:tcBorders>
                    <w:tl2br w:val="nil"/>
                    <w:tr2bl w:val="nil"/>
                  </w:tcBorders>
                  <w:noWrap w:val="0"/>
                  <w:vAlign w:val="center"/>
                </w:tcPr>
                <w:p w14:paraId="3EB9C5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741" w:type="pct"/>
                  <w:tcBorders>
                    <w:tl2br w:val="nil"/>
                    <w:tr2bl w:val="nil"/>
                  </w:tcBorders>
                  <w:noWrap w:val="0"/>
                  <w:vAlign w:val="center"/>
                </w:tcPr>
                <w:p w14:paraId="5FEA69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0.2</w:t>
                  </w:r>
                </w:p>
              </w:tc>
              <w:tc>
                <w:tcPr>
                  <w:tcW w:w="677" w:type="pct"/>
                  <w:tcBorders>
                    <w:tl2br w:val="nil"/>
                    <w:tr2bl w:val="nil"/>
                  </w:tcBorders>
                  <w:noWrap w:val="0"/>
                  <w:vAlign w:val="center"/>
                </w:tcPr>
                <w:p w14:paraId="0EE3363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0.176</w:t>
                  </w:r>
                </w:p>
              </w:tc>
              <w:tc>
                <w:tcPr>
                  <w:tcW w:w="377" w:type="pct"/>
                  <w:tcBorders>
                    <w:tl2br w:val="nil"/>
                    <w:tr2bl w:val="nil"/>
                  </w:tcBorders>
                  <w:noWrap w:val="0"/>
                  <w:vAlign w:val="center"/>
                </w:tcPr>
                <w:p w14:paraId="164E11A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37B68479">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noWrap w:val="0"/>
                  <w:vAlign w:val="center"/>
                </w:tcPr>
                <w:p w14:paraId="47AA54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溶解氧</w:t>
                  </w:r>
                </w:p>
              </w:tc>
              <w:tc>
                <w:tcPr>
                  <w:tcW w:w="455" w:type="pct"/>
                  <w:tcBorders>
                    <w:tl2br w:val="nil"/>
                    <w:tr2bl w:val="nil"/>
                  </w:tcBorders>
                  <w:noWrap w:val="0"/>
                  <w:vAlign w:val="center"/>
                </w:tcPr>
                <w:p w14:paraId="2C80504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6.84</w:t>
                  </w:r>
                </w:p>
              </w:tc>
              <w:tc>
                <w:tcPr>
                  <w:tcW w:w="455" w:type="pct"/>
                  <w:tcBorders>
                    <w:tl2br w:val="nil"/>
                    <w:tr2bl w:val="nil"/>
                  </w:tcBorders>
                  <w:noWrap w:val="0"/>
                  <w:vAlign w:val="center"/>
                </w:tcPr>
                <w:p w14:paraId="4052A85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6.21</w:t>
                  </w:r>
                </w:p>
              </w:tc>
              <w:tc>
                <w:tcPr>
                  <w:tcW w:w="455" w:type="pct"/>
                  <w:tcBorders>
                    <w:tl2br w:val="nil"/>
                    <w:tr2bl w:val="nil"/>
                  </w:tcBorders>
                  <w:noWrap w:val="0"/>
                  <w:vAlign w:val="center"/>
                </w:tcPr>
                <w:p w14:paraId="6B6BCD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6.13</w:t>
                  </w:r>
                </w:p>
              </w:tc>
              <w:tc>
                <w:tcPr>
                  <w:tcW w:w="455" w:type="pct"/>
                  <w:tcBorders>
                    <w:tl2br w:val="nil"/>
                    <w:tr2bl w:val="nil"/>
                  </w:tcBorders>
                  <w:noWrap w:val="0"/>
                  <w:vAlign w:val="center"/>
                </w:tcPr>
                <w:p w14:paraId="04FCA7C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6.65</w:t>
                  </w:r>
                </w:p>
              </w:tc>
              <w:tc>
                <w:tcPr>
                  <w:tcW w:w="455" w:type="pct"/>
                  <w:tcBorders>
                    <w:tl2br w:val="nil"/>
                    <w:tr2bl w:val="nil"/>
                  </w:tcBorders>
                  <w:noWrap w:val="0"/>
                  <w:vAlign w:val="center"/>
                </w:tcPr>
                <w:p w14:paraId="4F2492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6.44</w:t>
                  </w:r>
                </w:p>
              </w:tc>
              <w:tc>
                <w:tcPr>
                  <w:tcW w:w="455" w:type="pct"/>
                  <w:tcBorders>
                    <w:tl2br w:val="nil"/>
                    <w:tr2bl w:val="nil"/>
                  </w:tcBorders>
                  <w:noWrap w:val="0"/>
                  <w:vAlign w:val="center"/>
                </w:tcPr>
                <w:p w14:paraId="6D52DED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6.26</w:t>
                  </w:r>
                </w:p>
              </w:tc>
              <w:tc>
                <w:tcPr>
                  <w:tcW w:w="741" w:type="pct"/>
                  <w:tcBorders>
                    <w:tl2br w:val="nil"/>
                    <w:tr2bl w:val="nil"/>
                  </w:tcBorders>
                  <w:noWrap w:val="0"/>
                  <w:vAlign w:val="center"/>
                </w:tcPr>
                <w:p w14:paraId="663DBBB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5</w:t>
                  </w:r>
                </w:p>
              </w:tc>
              <w:tc>
                <w:tcPr>
                  <w:tcW w:w="677" w:type="pct"/>
                  <w:tcBorders>
                    <w:tl2br w:val="nil"/>
                    <w:tr2bl w:val="nil"/>
                  </w:tcBorders>
                  <w:noWrap w:val="0"/>
                  <w:vAlign w:val="center"/>
                </w:tcPr>
                <w:p w14:paraId="171B66F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0.14</w:t>
                  </w:r>
                </w:p>
              </w:tc>
              <w:tc>
                <w:tcPr>
                  <w:tcW w:w="377" w:type="pct"/>
                  <w:tcBorders>
                    <w:tl2br w:val="nil"/>
                    <w:tr2bl w:val="nil"/>
                  </w:tcBorders>
                  <w:noWrap w:val="0"/>
                  <w:vAlign w:val="center"/>
                </w:tcPr>
                <w:p w14:paraId="24DC1AE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459CF67B">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noWrap w:val="0"/>
                  <w:vAlign w:val="center"/>
                </w:tcPr>
                <w:p w14:paraId="3FAC088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高锰酸盐指数</w:t>
                  </w:r>
                </w:p>
              </w:tc>
              <w:tc>
                <w:tcPr>
                  <w:tcW w:w="455" w:type="pct"/>
                  <w:tcBorders>
                    <w:tl2br w:val="nil"/>
                    <w:tr2bl w:val="nil"/>
                  </w:tcBorders>
                  <w:noWrap w:val="0"/>
                  <w:vAlign w:val="center"/>
                </w:tcPr>
                <w:p w14:paraId="0F4EC3B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1.1</w:t>
                  </w:r>
                </w:p>
              </w:tc>
              <w:tc>
                <w:tcPr>
                  <w:tcW w:w="455" w:type="pct"/>
                  <w:tcBorders>
                    <w:tl2br w:val="nil"/>
                    <w:tr2bl w:val="nil"/>
                  </w:tcBorders>
                  <w:noWrap w:val="0"/>
                  <w:vAlign w:val="center"/>
                </w:tcPr>
                <w:p w14:paraId="2BF5FFD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1.4</w:t>
                  </w:r>
                </w:p>
              </w:tc>
              <w:tc>
                <w:tcPr>
                  <w:tcW w:w="455" w:type="pct"/>
                  <w:tcBorders>
                    <w:tl2br w:val="nil"/>
                    <w:tr2bl w:val="nil"/>
                  </w:tcBorders>
                  <w:noWrap w:val="0"/>
                  <w:vAlign w:val="center"/>
                </w:tcPr>
                <w:p w14:paraId="7C7803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1.6</w:t>
                  </w:r>
                </w:p>
              </w:tc>
              <w:tc>
                <w:tcPr>
                  <w:tcW w:w="455" w:type="pct"/>
                  <w:tcBorders>
                    <w:tl2br w:val="nil"/>
                    <w:tr2bl w:val="nil"/>
                  </w:tcBorders>
                  <w:noWrap w:val="0"/>
                  <w:vAlign w:val="center"/>
                </w:tcPr>
                <w:p w14:paraId="056835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1.7</w:t>
                  </w:r>
                </w:p>
              </w:tc>
              <w:tc>
                <w:tcPr>
                  <w:tcW w:w="455" w:type="pct"/>
                  <w:tcBorders>
                    <w:tl2br w:val="nil"/>
                    <w:tr2bl w:val="nil"/>
                  </w:tcBorders>
                  <w:noWrap w:val="0"/>
                  <w:vAlign w:val="center"/>
                </w:tcPr>
                <w:p w14:paraId="7DB2C4F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1.3</w:t>
                  </w:r>
                </w:p>
              </w:tc>
              <w:tc>
                <w:tcPr>
                  <w:tcW w:w="455" w:type="pct"/>
                  <w:tcBorders>
                    <w:tl2br w:val="nil"/>
                    <w:tr2bl w:val="nil"/>
                  </w:tcBorders>
                  <w:noWrap w:val="0"/>
                  <w:vAlign w:val="center"/>
                </w:tcPr>
                <w:p w14:paraId="4A23016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1.2</w:t>
                  </w:r>
                </w:p>
              </w:tc>
              <w:tc>
                <w:tcPr>
                  <w:tcW w:w="741" w:type="pct"/>
                  <w:tcBorders>
                    <w:tl2br w:val="nil"/>
                    <w:tr2bl w:val="nil"/>
                  </w:tcBorders>
                  <w:noWrap w:val="0"/>
                  <w:vAlign w:val="center"/>
                </w:tcPr>
                <w:p w14:paraId="090DD9B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6</w:t>
                  </w:r>
                </w:p>
              </w:tc>
              <w:tc>
                <w:tcPr>
                  <w:tcW w:w="677" w:type="pct"/>
                  <w:tcBorders>
                    <w:tl2br w:val="nil"/>
                    <w:tr2bl w:val="nil"/>
                  </w:tcBorders>
                  <w:noWrap w:val="0"/>
                  <w:vAlign w:val="center"/>
                </w:tcPr>
                <w:p w14:paraId="234FC9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0.28</w:t>
                  </w:r>
                </w:p>
              </w:tc>
              <w:tc>
                <w:tcPr>
                  <w:tcW w:w="377" w:type="pct"/>
                  <w:tcBorders>
                    <w:tl2br w:val="nil"/>
                    <w:tr2bl w:val="nil"/>
                  </w:tcBorders>
                  <w:noWrap w:val="0"/>
                  <w:vAlign w:val="center"/>
                </w:tcPr>
                <w:p w14:paraId="6B00AB1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4246F997">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noWrap w:val="0"/>
                  <w:vAlign w:val="center"/>
                </w:tcPr>
                <w:p w14:paraId="362B010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铜</w:t>
                  </w:r>
                </w:p>
              </w:tc>
              <w:tc>
                <w:tcPr>
                  <w:tcW w:w="455" w:type="pct"/>
                  <w:tcBorders>
                    <w:tl2br w:val="nil"/>
                    <w:tr2bl w:val="nil"/>
                  </w:tcBorders>
                  <w:noWrap w:val="0"/>
                  <w:vAlign w:val="center"/>
                </w:tcPr>
                <w:p w14:paraId="518E644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vertAlign w:val="baseli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0.05L</w:t>
                  </w:r>
                </w:p>
              </w:tc>
              <w:tc>
                <w:tcPr>
                  <w:tcW w:w="455" w:type="pct"/>
                  <w:tcBorders>
                    <w:tl2br w:val="nil"/>
                    <w:tr2bl w:val="nil"/>
                  </w:tcBorders>
                  <w:noWrap w:val="0"/>
                  <w:vAlign w:val="center"/>
                </w:tcPr>
                <w:p w14:paraId="6299F79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0.05L</w:t>
                  </w:r>
                </w:p>
              </w:tc>
              <w:tc>
                <w:tcPr>
                  <w:tcW w:w="455" w:type="pct"/>
                  <w:tcBorders>
                    <w:tl2br w:val="nil"/>
                    <w:tr2bl w:val="nil"/>
                  </w:tcBorders>
                  <w:noWrap w:val="0"/>
                  <w:vAlign w:val="center"/>
                </w:tcPr>
                <w:p w14:paraId="01C7C71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0.05L</w:t>
                  </w:r>
                </w:p>
              </w:tc>
              <w:tc>
                <w:tcPr>
                  <w:tcW w:w="455" w:type="pct"/>
                  <w:tcBorders>
                    <w:tl2br w:val="nil"/>
                    <w:tr2bl w:val="nil"/>
                  </w:tcBorders>
                  <w:noWrap w:val="0"/>
                  <w:vAlign w:val="center"/>
                </w:tcPr>
                <w:p w14:paraId="02ACAD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0.05L</w:t>
                  </w:r>
                </w:p>
              </w:tc>
              <w:tc>
                <w:tcPr>
                  <w:tcW w:w="455" w:type="pct"/>
                  <w:tcBorders>
                    <w:tl2br w:val="nil"/>
                    <w:tr2bl w:val="nil"/>
                  </w:tcBorders>
                  <w:noWrap w:val="0"/>
                  <w:vAlign w:val="center"/>
                </w:tcPr>
                <w:p w14:paraId="6A98B9A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0.05L</w:t>
                  </w:r>
                </w:p>
              </w:tc>
              <w:tc>
                <w:tcPr>
                  <w:tcW w:w="455" w:type="pct"/>
                  <w:tcBorders>
                    <w:tl2br w:val="nil"/>
                    <w:tr2bl w:val="nil"/>
                  </w:tcBorders>
                  <w:noWrap w:val="0"/>
                  <w:vAlign w:val="center"/>
                </w:tcPr>
                <w:p w14:paraId="665C0C6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0.05L</w:t>
                  </w:r>
                </w:p>
              </w:tc>
              <w:tc>
                <w:tcPr>
                  <w:tcW w:w="741" w:type="pct"/>
                  <w:tcBorders>
                    <w:tl2br w:val="nil"/>
                    <w:tr2bl w:val="nil"/>
                  </w:tcBorders>
                  <w:noWrap w:val="0"/>
                  <w:vAlign w:val="center"/>
                </w:tcPr>
                <w:p w14:paraId="33C60CA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color w:val="auto"/>
                      <w:kern w:val="0"/>
                      <w:sz w:val="21"/>
                      <w:szCs w:val="21"/>
                      <w:highlight w:val="none"/>
                      <w:lang w:val="en-US" w:eastAsia="zh-CN" w:bidi="ar-SA"/>
                    </w:rPr>
                    <w:t>1</w:t>
                  </w:r>
                </w:p>
              </w:tc>
              <w:tc>
                <w:tcPr>
                  <w:tcW w:w="677" w:type="pct"/>
                  <w:tcBorders>
                    <w:tl2br w:val="nil"/>
                    <w:tr2bl w:val="nil"/>
                  </w:tcBorders>
                  <w:noWrap w:val="0"/>
                  <w:vAlign w:val="center"/>
                </w:tcPr>
                <w:p w14:paraId="31B224D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sz w:val="21"/>
                      <w:szCs w:val="21"/>
                      <w:lang w:val="en-US" w:eastAsia="zh-CN"/>
                    </w:rPr>
                    <w:t>0.0</w:t>
                  </w:r>
                  <w:r>
                    <w:rPr>
                      <w:rFonts w:hint="eastAsia" w:cs="Times New Roman" w:eastAsiaTheme="minorEastAsia"/>
                      <w:sz w:val="21"/>
                      <w:szCs w:val="21"/>
                      <w:lang w:val="en-US" w:eastAsia="zh-CN"/>
                    </w:rPr>
                    <w:t>5</w:t>
                  </w:r>
                </w:p>
              </w:tc>
              <w:tc>
                <w:tcPr>
                  <w:tcW w:w="377" w:type="pct"/>
                  <w:tcBorders>
                    <w:tl2br w:val="nil"/>
                    <w:tr2bl w:val="nil"/>
                  </w:tcBorders>
                  <w:noWrap w:val="0"/>
                  <w:vAlign w:val="center"/>
                </w:tcPr>
                <w:p w14:paraId="32BEE56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1E7BFC9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noWrap w:val="0"/>
                  <w:vAlign w:val="center"/>
                </w:tcPr>
                <w:p w14:paraId="3194BEE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锌</w:t>
                  </w:r>
                </w:p>
              </w:tc>
              <w:tc>
                <w:tcPr>
                  <w:tcW w:w="455" w:type="pct"/>
                  <w:tcBorders>
                    <w:tl2br w:val="nil"/>
                    <w:tr2bl w:val="nil"/>
                  </w:tcBorders>
                  <w:noWrap w:val="0"/>
                  <w:vAlign w:val="center"/>
                </w:tcPr>
                <w:p w14:paraId="388A1A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0.05L</w:t>
                  </w:r>
                </w:p>
              </w:tc>
              <w:tc>
                <w:tcPr>
                  <w:tcW w:w="455" w:type="pct"/>
                  <w:tcBorders>
                    <w:tl2br w:val="nil"/>
                    <w:tr2bl w:val="nil"/>
                  </w:tcBorders>
                  <w:noWrap w:val="0"/>
                  <w:vAlign w:val="center"/>
                </w:tcPr>
                <w:p w14:paraId="088DA5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0.05L</w:t>
                  </w:r>
                </w:p>
              </w:tc>
              <w:tc>
                <w:tcPr>
                  <w:tcW w:w="455" w:type="pct"/>
                  <w:tcBorders>
                    <w:tl2br w:val="nil"/>
                    <w:tr2bl w:val="nil"/>
                  </w:tcBorders>
                  <w:noWrap w:val="0"/>
                  <w:vAlign w:val="center"/>
                </w:tcPr>
                <w:p w14:paraId="4C16FD7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0.05L</w:t>
                  </w:r>
                </w:p>
              </w:tc>
              <w:tc>
                <w:tcPr>
                  <w:tcW w:w="455" w:type="pct"/>
                  <w:tcBorders>
                    <w:tl2br w:val="nil"/>
                    <w:tr2bl w:val="nil"/>
                  </w:tcBorders>
                  <w:noWrap w:val="0"/>
                  <w:vAlign w:val="center"/>
                </w:tcPr>
                <w:p w14:paraId="7852085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0.05L</w:t>
                  </w:r>
                </w:p>
              </w:tc>
              <w:tc>
                <w:tcPr>
                  <w:tcW w:w="455" w:type="pct"/>
                  <w:tcBorders>
                    <w:tl2br w:val="nil"/>
                    <w:tr2bl w:val="nil"/>
                  </w:tcBorders>
                  <w:noWrap w:val="0"/>
                  <w:vAlign w:val="center"/>
                </w:tcPr>
                <w:p w14:paraId="0B0921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0.05L</w:t>
                  </w:r>
                </w:p>
              </w:tc>
              <w:tc>
                <w:tcPr>
                  <w:tcW w:w="455" w:type="pct"/>
                  <w:tcBorders>
                    <w:tl2br w:val="nil"/>
                    <w:tr2bl w:val="nil"/>
                  </w:tcBorders>
                  <w:noWrap w:val="0"/>
                  <w:vAlign w:val="center"/>
                </w:tcPr>
                <w:p w14:paraId="2822E48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0.05L</w:t>
                  </w:r>
                </w:p>
              </w:tc>
              <w:tc>
                <w:tcPr>
                  <w:tcW w:w="741" w:type="pct"/>
                  <w:tcBorders>
                    <w:tl2br w:val="nil"/>
                    <w:tr2bl w:val="nil"/>
                  </w:tcBorders>
                  <w:noWrap w:val="0"/>
                  <w:vAlign w:val="center"/>
                </w:tcPr>
                <w:p w14:paraId="5613918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1</w:t>
                  </w:r>
                </w:p>
              </w:tc>
              <w:tc>
                <w:tcPr>
                  <w:tcW w:w="677" w:type="pct"/>
                  <w:tcBorders>
                    <w:tl2br w:val="nil"/>
                    <w:tr2bl w:val="nil"/>
                  </w:tcBorders>
                  <w:noWrap w:val="0"/>
                  <w:vAlign w:val="center"/>
                </w:tcPr>
                <w:p w14:paraId="4406A4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0.05</w:t>
                  </w:r>
                </w:p>
              </w:tc>
              <w:tc>
                <w:tcPr>
                  <w:tcW w:w="377" w:type="pct"/>
                  <w:tcBorders>
                    <w:tl2br w:val="nil"/>
                    <w:tr2bl w:val="nil"/>
                  </w:tcBorders>
                  <w:noWrap w:val="0"/>
                  <w:vAlign w:val="center"/>
                </w:tcPr>
                <w:p w14:paraId="5D40354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5CBF91E3">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noWrap w:val="0"/>
                  <w:vAlign w:val="center"/>
                </w:tcPr>
                <w:p w14:paraId="6866768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镉</w:t>
                  </w:r>
                </w:p>
              </w:tc>
              <w:tc>
                <w:tcPr>
                  <w:tcW w:w="455" w:type="pct"/>
                  <w:tcBorders>
                    <w:tl2br w:val="nil"/>
                    <w:tr2bl w:val="nil"/>
                  </w:tcBorders>
                  <w:noWrap w:val="0"/>
                  <w:vAlign w:val="center"/>
                </w:tcPr>
                <w:p w14:paraId="337DE3FC">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1.0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455" w:type="pct"/>
                  <w:tcBorders>
                    <w:tl2br w:val="nil"/>
                    <w:tr2bl w:val="nil"/>
                  </w:tcBorders>
                  <w:noWrap w:val="0"/>
                  <w:vAlign w:val="center"/>
                </w:tcPr>
                <w:p w14:paraId="3F77DE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1.0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455" w:type="pct"/>
                  <w:tcBorders>
                    <w:tl2br w:val="nil"/>
                    <w:tr2bl w:val="nil"/>
                  </w:tcBorders>
                  <w:noWrap w:val="0"/>
                  <w:vAlign w:val="center"/>
                </w:tcPr>
                <w:p w14:paraId="06F0F98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1.0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455" w:type="pct"/>
                  <w:tcBorders>
                    <w:tl2br w:val="nil"/>
                    <w:tr2bl w:val="nil"/>
                  </w:tcBorders>
                  <w:noWrap w:val="0"/>
                  <w:vAlign w:val="center"/>
                </w:tcPr>
                <w:p w14:paraId="582E508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455" w:type="pct"/>
                  <w:tcBorders>
                    <w:tl2br w:val="nil"/>
                    <w:tr2bl w:val="nil"/>
                  </w:tcBorders>
                  <w:noWrap w:val="0"/>
                  <w:vAlign w:val="center"/>
                </w:tcPr>
                <w:p w14:paraId="078F0A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455" w:type="pct"/>
                  <w:tcBorders>
                    <w:tl2br w:val="nil"/>
                    <w:tr2bl w:val="nil"/>
                  </w:tcBorders>
                  <w:noWrap w:val="0"/>
                  <w:vAlign w:val="center"/>
                </w:tcPr>
                <w:p w14:paraId="17D0F8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741" w:type="pct"/>
                  <w:tcBorders>
                    <w:tl2br w:val="nil"/>
                    <w:tr2bl w:val="nil"/>
                  </w:tcBorders>
                  <w:noWrap w:val="0"/>
                  <w:vAlign w:val="center"/>
                </w:tcPr>
                <w:p w14:paraId="03014EF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0.005</w:t>
                  </w:r>
                </w:p>
              </w:tc>
              <w:tc>
                <w:tcPr>
                  <w:tcW w:w="677" w:type="pct"/>
                  <w:tcBorders>
                    <w:tl2br w:val="nil"/>
                    <w:tr2bl w:val="nil"/>
                  </w:tcBorders>
                  <w:noWrap w:val="0"/>
                  <w:vAlign w:val="center"/>
                </w:tcPr>
                <w:p w14:paraId="16B1429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0.12</w:t>
                  </w:r>
                </w:p>
              </w:tc>
              <w:tc>
                <w:tcPr>
                  <w:tcW w:w="377" w:type="pct"/>
                  <w:tcBorders>
                    <w:tl2br w:val="nil"/>
                    <w:tr2bl w:val="nil"/>
                  </w:tcBorders>
                  <w:noWrap w:val="0"/>
                  <w:vAlign w:val="center"/>
                </w:tcPr>
                <w:p w14:paraId="02C30C45">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273EB08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noWrap w:val="0"/>
                  <w:vAlign w:val="center"/>
                </w:tcPr>
                <w:p w14:paraId="1E961E0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铅</w:t>
                  </w:r>
                </w:p>
              </w:tc>
              <w:tc>
                <w:tcPr>
                  <w:tcW w:w="455" w:type="pct"/>
                  <w:tcBorders>
                    <w:tl2br w:val="nil"/>
                    <w:tr2bl w:val="nil"/>
                  </w:tcBorders>
                  <w:noWrap w:val="0"/>
                  <w:vAlign w:val="center"/>
                </w:tcPr>
                <w:p w14:paraId="3F23CD6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1.0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3</w:t>
                  </w:r>
                </w:p>
              </w:tc>
              <w:tc>
                <w:tcPr>
                  <w:tcW w:w="455" w:type="pct"/>
                  <w:tcBorders>
                    <w:tl2br w:val="nil"/>
                    <w:tr2bl w:val="nil"/>
                  </w:tcBorders>
                  <w:noWrap w:val="0"/>
                  <w:vAlign w:val="center"/>
                </w:tcPr>
                <w:p w14:paraId="61548FC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1.0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3</w:t>
                  </w:r>
                </w:p>
              </w:tc>
              <w:tc>
                <w:tcPr>
                  <w:tcW w:w="455" w:type="pct"/>
                  <w:tcBorders>
                    <w:tl2br w:val="nil"/>
                    <w:tr2bl w:val="nil"/>
                  </w:tcBorders>
                  <w:noWrap w:val="0"/>
                  <w:vAlign w:val="center"/>
                </w:tcPr>
                <w:p w14:paraId="769262D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1.0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3</w:t>
                  </w:r>
                </w:p>
              </w:tc>
              <w:tc>
                <w:tcPr>
                  <w:tcW w:w="455" w:type="pct"/>
                  <w:tcBorders>
                    <w:tl2br w:val="nil"/>
                    <w:tr2bl w:val="nil"/>
                  </w:tcBorders>
                  <w:noWrap w:val="0"/>
                  <w:vAlign w:val="center"/>
                </w:tcPr>
                <w:p w14:paraId="32E24E0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0.0132</w:t>
                  </w:r>
                </w:p>
              </w:tc>
              <w:tc>
                <w:tcPr>
                  <w:tcW w:w="455" w:type="pct"/>
                  <w:tcBorders>
                    <w:tl2br w:val="nil"/>
                    <w:tr2bl w:val="nil"/>
                  </w:tcBorders>
                  <w:noWrap w:val="0"/>
                  <w:vAlign w:val="center"/>
                </w:tcPr>
                <w:p w14:paraId="0C7305F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0.0089</w:t>
                  </w:r>
                </w:p>
              </w:tc>
              <w:tc>
                <w:tcPr>
                  <w:tcW w:w="455" w:type="pct"/>
                  <w:tcBorders>
                    <w:tl2br w:val="nil"/>
                    <w:tr2bl w:val="nil"/>
                  </w:tcBorders>
                  <w:noWrap w:val="0"/>
                  <w:vAlign w:val="center"/>
                </w:tcPr>
                <w:p w14:paraId="3982C0D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0.0067</w:t>
                  </w:r>
                </w:p>
              </w:tc>
              <w:tc>
                <w:tcPr>
                  <w:tcW w:w="741" w:type="pct"/>
                  <w:tcBorders>
                    <w:tl2br w:val="nil"/>
                    <w:tr2bl w:val="nil"/>
                  </w:tcBorders>
                  <w:noWrap w:val="0"/>
                  <w:vAlign w:val="center"/>
                </w:tcPr>
                <w:p w14:paraId="2565702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0.05</w:t>
                  </w:r>
                </w:p>
              </w:tc>
              <w:tc>
                <w:tcPr>
                  <w:tcW w:w="677" w:type="pct"/>
                  <w:tcBorders>
                    <w:tl2br w:val="nil"/>
                    <w:tr2bl w:val="nil"/>
                  </w:tcBorders>
                  <w:noWrap w:val="0"/>
                  <w:vAlign w:val="center"/>
                </w:tcPr>
                <w:p w14:paraId="4E27D2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eastAsia" w:cs="Times New Roman" w:eastAsiaTheme="minorEastAsia"/>
                      <w:sz w:val="21"/>
                      <w:szCs w:val="21"/>
                      <w:lang w:val="en-US" w:eastAsia="zh-CN"/>
                    </w:rPr>
                    <w:t>0.264</w:t>
                  </w:r>
                </w:p>
              </w:tc>
              <w:tc>
                <w:tcPr>
                  <w:tcW w:w="377" w:type="pct"/>
                  <w:tcBorders>
                    <w:tl2br w:val="nil"/>
                    <w:tr2bl w:val="nil"/>
                  </w:tcBorders>
                  <w:noWrap w:val="0"/>
                  <w:vAlign w:val="center"/>
                </w:tcPr>
                <w:p w14:paraId="3735F7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sz w:val="21"/>
                      <w:szCs w:val="21"/>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6F6DFDAF">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noWrap w:val="0"/>
                  <w:vAlign w:val="center"/>
                </w:tcPr>
                <w:p w14:paraId="6233602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总铬</w:t>
                  </w:r>
                </w:p>
              </w:tc>
              <w:tc>
                <w:tcPr>
                  <w:tcW w:w="455" w:type="pct"/>
                  <w:tcBorders>
                    <w:tl2br w:val="nil"/>
                    <w:tr2bl w:val="nil"/>
                  </w:tcBorders>
                  <w:noWrap w:val="0"/>
                  <w:vAlign w:val="center"/>
                </w:tcPr>
                <w:p w14:paraId="4DE0EEC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0.03</w:t>
                  </w:r>
                </w:p>
              </w:tc>
              <w:tc>
                <w:tcPr>
                  <w:tcW w:w="455" w:type="pct"/>
                  <w:tcBorders>
                    <w:tl2br w:val="nil"/>
                    <w:tr2bl w:val="nil"/>
                  </w:tcBorders>
                  <w:noWrap w:val="0"/>
                  <w:vAlign w:val="center"/>
                </w:tcPr>
                <w:p w14:paraId="0C1138D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455" w:type="pct"/>
                  <w:tcBorders>
                    <w:tl2br w:val="nil"/>
                    <w:tr2bl w:val="nil"/>
                  </w:tcBorders>
                  <w:noWrap w:val="0"/>
                  <w:vAlign w:val="center"/>
                </w:tcPr>
                <w:p w14:paraId="2C3C40E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455" w:type="pct"/>
                  <w:tcBorders>
                    <w:tl2br w:val="nil"/>
                    <w:tr2bl w:val="nil"/>
                  </w:tcBorders>
                  <w:noWrap w:val="0"/>
                  <w:vAlign w:val="center"/>
                </w:tcPr>
                <w:p w14:paraId="0BF73C3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455" w:type="pct"/>
                  <w:tcBorders>
                    <w:tl2br w:val="nil"/>
                    <w:tr2bl w:val="nil"/>
                  </w:tcBorders>
                  <w:noWrap w:val="0"/>
                  <w:vAlign w:val="center"/>
                </w:tcPr>
                <w:p w14:paraId="34543B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455" w:type="pct"/>
                  <w:tcBorders>
                    <w:tl2br w:val="nil"/>
                    <w:tr2bl w:val="nil"/>
                  </w:tcBorders>
                  <w:noWrap w:val="0"/>
                  <w:vAlign w:val="center"/>
                </w:tcPr>
                <w:p w14:paraId="401B9F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741" w:type="pct"/>
                  <w:tcBorders>
                    <w:tl2br w:val="nil"/>
                    <w:tr2bl w:val="nil"/>
                  </w:tcBorders>
                  <w:noWrap w:val="0"/>
                  <w:vAlign w:val="center"/>
                </w:tcPr>
                <w:p w14:paraId="593A0E87">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c>
                <w:tcPr>
                  <w:tcW w:w="677" w:type="pct"/>
                  <w:tcBorders>
                    <w:tl2br w:val="nil"/>
                    <w:tr2bl w:val="nil"/>
                  </w:tcBorders>
                  <w:noWrap w:val="0"/>
                  <w:vAlign w:val="center"/>
                </w:tcPr>
                <w:p w14:paraId="14FD08F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c>
                <w:tcPr>
                  <w:tcW w:w="377" w:type="pct"/>
                  <w:tcBorders>
                    <w:tl2br w:val="nil"/>
                    <w:tr2bl w:val="nil"/>
                  </w:tcBorders>
                  <w:noWrap w:val="0"/>
                  <w:vAlign w:val="center"/>
                </w:tcPr>
                <w:p w14:paraId="0DFBE97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r>
            <w:tr w14:paraId="3E1259F4">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noWrap w:val="0"/>
                  <w:vAlign w:val="center"/>
                </w:tcPr>
                <w:p w14:paraId="2DB0DF1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六价铬</w:t>
                  </w:r>
                </w:p>
              </w:tc>
              <w:tc>
                <w:tcPr>
                  <w:tcW w:w="455" w:type="pct"/>
                  <w:tcBorders>
                    <w:tl2br w:val="nil"/>
                    <w:tr2bl w:val="nil"/>
                  </w:tcBorders>
                  <w:noWrap w:val="0"/>
                  <w:vAlign w:val="center"/>
                </w:tcPr>
                <w:p w14:paraId="0F22DCE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0.004</w:t>
                  </w:r>
                </w:p>
              </w:tc>
              <w:tc>
                <w:tcPr>
                  <w:tcW w:w="455" w:type="pct"/>
                  <w:tcBorders>
                    <w:tl2br w:val="nil"/>
                    <w:tr2bl w:val="nil"/>
                  </w:tcBorders>
                  <w:noWrap w:val="0"/>
                  <w:vAlign w:val="center"/>
                </w:tcPr>
                <w:p w14:paraId="2BC88CE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0.004</w:t>
                  </w:r>
                </w:p>
              </w:tc>
              <w:tc>
                <w:tcPr>
                  <w:tcW w:w="455" w:type="pct"/>
                  <w:tcBorders>
                    <w:tl2br w:val="nil"/>
                    <w:tr2bl w:val="nil"/>
                  </w:tcBorders>
                  <w:noWrap w:val="0"/>
                  <w:vAlign w:val="center"/>
                </w:tcPr>
                <w:p w14:paraId="21E8B29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0.004</w:t>
                  </w:r>
                </w:p>
              </w:tc>
              <w:tc>
                <w:tcPr>
                  <w:tcW w:w="455" w:type="pct"/>
                  <w:tcBorders>
                    <w:tl2br w:val="nil"/>
                    <w:tr2bl w:val="nil"/>
                  </w:tcBorders>
                  <w:noWrap w:val="0"/>
                  <w:vAlign w:val="center"/>
                </w:tcPr>
                <w:p w14:paraId="6D21BE5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0.004</w:t>
                  </w:r>
                </w:p>
              </w:tc>
              <w:tc>
                <w:tcPr>
                  <w:tcW w:w="455" w:type="pct"/>
                  <w:tcBorders>
                    <w:tl2br w:val="nil"/>
                    <w:tr2bl w:val="nil"/>
                  </w:tcBorders>
                  <w:noWrap w:val="0"/>
                  <w:vAlign w:val="center"/>
                </w:tcPr>
                <w:p w14:paraId="7FB8CD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0.004</w:t>
                  </w:r>
                </w:p>
              </w:tc>
              <w:tc>
                <w:tcPr>
                  <w:tcW w:w="455" w:type="pct"/>
                  <w:tcBorders>
                    <w:tl2br w:val="nil"/>
                    <w:tr2bl w:val="nil"/>
                  </w:tcBorders>
                  <w:noWrap w:val="0"/>
                  <w:vAlign w:val="center"/>
                </w:tcPr>
                <w:p w14:paraId="0675A0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0.004</w:t>
                  </w:r>
                </w:p>
              </w:tc>
              <w:tc>
                <w:tcPr>
                  <w:tcW w:w="741" w:type="pct"/>
                  <w:tcBorders>
                    <w:tl2br w:val="nil"/>
                    <w:tr2bl w:val="nil"/>
                  </w:tcBorders>
                  <w:noWrap w:val="0"/>
                  <w:vAlign w:val="center"/>
                </w:tcPr>
                <w:p w14:paraId="13C117A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w:t>
                  </w:r>
                  <w:r>
                    <w:rPr>
                      <w:rFonts w:hint="eastAsia" w:cs="Times New Roman" w:eastAsiaTheme="minorEastAsia"/>
                      <w:b w:val="0"/>
                      <w:bCs w:val="0"/>
                      <w:color w:val="auto"/>
                      <w:sz w:val="21"/>
                      <w:szCs w:val="21"/>
                      <w:highlight w:val="none"/>
                      <w:lang w:val="en-US" w:eastAsia="zh-CN"/>
                    </w:rPr>
                    <w:t>5</w:t>
                  </w:r>
                </w:p>
              </w:tc>
              <w:tc>
                <w:tcPr>
                  <w:tcW w:w="677" w:type="pct"/>
                  <w:tcBorders>
                    <w:tl2br w:val="nil"/>
                    <w:tr2bl w:val="nil"/>
                  </w:tcBorders>
                  <w:noWrap w:val="0"/>
                  <w:vAlign w:val="center"/>
                </w:tcPr>
                <w:p w14:paraId="0F99BBB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0.08</w:t>
                  </w:r>
                </w:p>
              </w:tc>
              <w:tc>
                <w:tcPr>
                  <w:tcW w:w="377" w:type="pct"/>
                  <w:tcBorders>
                    <w:tl2br w:val="nil"/>
                    <w:tr2bl w:val="nil"/>
                  </w:tcBorders>
                  <w:noWrap w:val="0"/>
                  <w:vAlign w:val="center"/>
                </w:tcPr>
                <w:p w14:paraId="587C81F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717317A8">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noWrap w:val="0"/>
                  <w:vAlign w:val="center"/>
                </w:tcPr>
                <w:p w14:paraId="70C57D1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总汞</w:t>
                  </w:r>
                </w:p>
              </w:tc>
              <w:tc>
                <w:tcPr>
                  <w:tcW w:w="455" w:type="pct"/>
                  <w:tcBorders>
                    <w:tl2br w:val="nil"/>
                    <w:tr2bl w:val="nil"/>
                  </w:tcBorders>
                  <w:noWrap w:val="0"/>
                  <w:vAlign w:val="center"/>
                </w:tcPr>
                <w:p w14:paraId="4DB4C8A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455" w:type="pct"/>
                  <w:tcBorders>
                    <w:tl2br w:val="nil"/>
                    <w:tr2bl w:val="nil"/>
                  </w:tcBorders>
                  <w:noWrap w:val="0"/>
                  <w:vAlign w:val="center"/>
                </w:tcPr>
                <w:p w14:paraId="3483D4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455" w:type="pct"/>
                  <w:tcBorders>
                    <w:tl2br w:val="nil"/>
                    <w:tr2bl w:val="nil"/>
                  </w:tcBorders>
                  <w:noWrap w:val="0"/>
                  <w:vAlign w:val="center"/>
                </w:tcPr>
                <w:p w14:paraId="712A26F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455" w:type="pct"/>
                  <w:tcBorders>
                    <w:tl2br w:val="nil"/>
                    <w:tr2bl w:val="nil"/>
                  </w:tcBorders>
                  <w:noWrap w:val="0"/>
                  <w:vAlign w:val="center"/>
                </w:tcPr>
                <w:p w14:paraId="0B34AEB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455" w:type="pct"/>
                  <w:tcBorders>
                    <w:tl2br w:val="nil"/>
                    <w:tr2bl w:val="nil"/>
                  </w:tcBorders>
                  <w:noWrap w:val="0"/>
                  <w:vAlign w:val="center"/>
                </w:tcPr>
                <w:p w14:paraId="05656DF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455" w:type="pct"/>
                  <w:tcBorders>
                    <w:tl2br w:val="nil"/>
                    <w:tr2bl w:val="nil"/>
                  </w:tcBorders>
                  <w:noWrap w:val="0"/>
                  <w:vAlign w:val="center"/>
                </w:tcPr>
                <w:p w14:paraId="0DDBCD1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741" w:type="pct"/>
                  <w:tcBorders>
                    <w:tl2br w:val="nil"/>
                    <w:tr2bl w:val="nil"/>
                  </w:tcBorders>
                  <w:noWrap w:val="0"/>
                  <w:vAlign w:val="center"/>
                </w:tcPr>
                <w:p w14:paraId="6333A24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0.0001</w:t>
                  </w:r>
                </w:p>
              </w:tc>
              <w:tc>
                <w:tcPr>
                  <w:tcW w:w="677" w:type="pct"/>
                  <w:tcBorders>
                    <w:tl2br w:val="nil"/>
                    <w:tr2bl w:val="nil"/>
                  </w:tcBorders>
                  <w:noWrap w:val="0"/>
                  <w:vAlign w:val="center"/>
                </w:tcPr>
                <w:p w14:paraId="656A212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0.4</w:t>
                  </w:r>
                </w:p>
              </w:tc>
              <w:tc>
                <w:tcPr>
                  <w:tcW w:w="377" w:type="pct"/>
                  <w:tcBorders>
                    <w:tl2br w:val="nil"/>
                    <w:tr2bl w:val="nil"/>
                  </w:tcBorders>
                  <w:noWrap w:val="0"/>
                  <w:vAlign w:val="center"/>
                </w:tcPr>
                <w:p w14:paraId="7192DA9B">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r w14:paraId="292DDC60">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noWrap w:val="0"/>
                  <w:vAlign w:val="center"/>
                </w:tcPr>
                <w:p w14:paraId="4EA560D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铍</w:t>
                  </w:r>
                </w:p>
              </w:tc>
              <w:tc>
                <w:tcPr>
                  <w:tcW w:w="455" w:type="pct"/>
                  <w:tcBorders>
                    <w:tl2br w:val="nil"/>
                    <w:tr2bl w:val="nil"/>
                  </w:tcBorders>
                  <w:noWrap w:val="0"/>
                  <w:vAlign w:val="center"/>
                </w:tcPr>
                <w:p w14:paraId="51294546">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455" w:type="pct"/>
                  <w:tcBorders>
                    <w:tl2br w:val="nil"/>
                    <w:tr2bl w:val="nil"/>
                  </w:tcBorders>
                  <w:noWrap w:val="0"/>
                  <w:vAlign w:val="center"/>
                </w:tcPr>
                <w:p w14:paraId="28D1A1C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455" w:type="pct"/>
                  <w:tcBorders>
                    <w:tl2br w:val="nil"/>
                    <w:tr2bl w:val="nil"/>
                  </w:tcBorders>
                  <w:noWrap w:val="0"/>
                  <w:vAlign w:val="center"/>
                </w:tcPr>
                <w:p w14:paraId="4968EF9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455" w:type="pct"/>
                  <w:tcBorders>
                    <w:tl2br w:val="nil"/>
                    <w:tr2bl w:val="nil"/>
                  </w:tcBorders>
                  <w:noWrap w:val="0"/>
                  <w:vAlign w:val="center"/>
                </w:tcPr>
                <w:p w14:paraId="637BE28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455" w:type="pct"/>
                  <w:tcBorders>
                    <w:tl2br w:val="nil"/>
                    <w:tr2bl w:val="nil"/>
                  </w:tcBorders>
                  <w:noWrap w:val="0"/>
                  <w:vAlign w:val="center"/>
                </w:tcPr>
                <w:p w14:paraId="299C1D0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455" w:type="pct"/>
                  <w:tcBorders>
                    <w:tl2br w:val="nil"/>
                    <w:tr2bl w:val="nil"/>
                  </w:tcBorders>
                  <w:noWrap w:val="0"/>
                  <w:vAlign w:val="center"/>
                </w:tcPr>
                <w:p w14:paraId="5B98C614">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741" w:type="pct"/>
                  <w:tcBorders>
                    <w:tl2br w:val="nil"/>
                    <w:tr2bl w:val="nil"/>
                  </w:tcBorders>
                  <w:noWrap w:val="0"/>
                  <w:vAlign w:val="center"/>
                </w:tcPr>
                <w:p w14:paraId="69D4AA0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c>
                <w:tcPr>
                  <w:tcW w:w="677" w:type="pct"/>
                  <w:tcBorders>
                    <w:tl2br w:val="nil"/>
                    <w:tr2bl w:val="nil"/>
                  </w:tcBorders>
                  <w:noWrap w:val="0"/>
                  <w:vAlign w:val="center"/>
                </w:tcPr>
                <w:p w14:paraId="305E2F6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c>
                <w:tcPr>
                  <w:tcW w:w="377" w:type="pct"/>
                  <w:tcBorders>
                    <w:tl2br w:val="nil"/>
                    <w:tr2bl w:val="nil"/>
                  </w:tcBorders>
                  <w:noWrap w:val="0"/>
                  <w:vAlign w:val="center"/>
                </w:tcPr>
                <w:p w14:paraId="285484B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r>
            <w:tr w14:paraId="55D74471">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noWrap w:val="0"/>
                  <w:vAlign w:val="center"/>
                </w:tcPr>
                <w:p w14:paraId="5F7F8B5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镍</w:t>
                  </w:r>
                </w:p>
              </w:tc>
              <w:tc>
                <w:tcPr>
                  <w:tcW w:w="455" w:type="pct"/>
                  <w:tcBorders>
                    <w:tl2br w:val="nil"/>
                    <w:tr2bl w:val="nil"/>
                  </w:tcBorders>
                  <w:noWrap w:val="0"/>
                  <w:vAlign w:val="center"/>
                </w:tcPr>
                <w:p w14:paraId="4E58B02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0.005</w:t>
                  </w:r>
                </w:p>
              </w:tc>
              <w:tc>
                <w:tcPr>
                  <w:tcW w:w="455" w:type="pct"/>
                  <w:tcBorders>
                    <w:tl2br w:val="nil"/>
                    <w:tr2bl w:val="nil"/>
                  </w:tcBorders>
                  <w:noWrap w:val="0"/>
                  <w:vAlign w:val="center"/>
                </w:tcPr>
                <w:p w14:paraId="0ED4FF0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0.005</w:t>
                  </w:r>
                </w:p>
              </w:tc>
              <w:tc>
                <w:tcPr>
                  <w:tcW w:w="455" w:type="pct"/>
                  <w:tcBorders>
                    <w:tl2br w:val="nil"/>
                    <w:tr2bl w:val="nil"/>
                  </w:tcBorders>
                  <w:noWrap w:val="0"/>
                  <w:vAlign w:val="center"/>
                </w:tcPr>
                <w:p w14:paraId="44D9B48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0.005</w:t>
                  </w:r>
                </w:p>
              </w:tc>
              <w:tc>
                <w:tcPr>
                  <w:tcW w:w="455" w:type="pct"/>
                  <w:tcBorders>
                    <w:tl2br w:val="nil"/>
                    <w:tr2bl w:val="nil"/>
                  </w:tcBorders>
                  <w:noWrap w:val="0"/>
                  <w:vAlign w:val="center"/>
                </w:tcPr>
                <w:p w14:paraId="198AEDA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0.005</w:t>
                  </w:r>
                </w:p>
              </w:tc>
              <w:tc>
                <w:tcPr>
                  <w:tcW w:w="455" w:type="pct"/>
                  <w:tcBorders>
                    <w:tl2br w:val="nil"/>
                    <w:tr2bl w:val="nil"/>
                  </w:tcBorders>
                  <w:noWrap w:val="0"/>
                  <w:vAlign w:val="center"/>
                </w:tcPr>
                <w:p w14:paraId="58A320C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0.005</w:t>
                  </w:r>
                </w:p>
              </w:tc>
              <w:tc>
                <w:tcPr>
                  <w:tcW w:w="455" w:type="pct"/>
                  <w:tcBorders>
                    <w:tl2br w:val="nil"/>
                    <w:tr2bl w:val="nil"/>
                  </w:tcBorders>
                  <w:noWrap w:val="0"/>
                  <w:vAlign w:val="center"/>
                </w:tcPr>
                <w:p w14:paraId="773BE25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0.005</w:t>
                  </w:r>
                </w:p>
              </w:tc>
              <w:tc>
                <w:tcPr>
                  <w:tcW w:w="741" w:type="pct"/>
                  <w:tcBorders>
                    <w:tl2br w:val="nil"/>
                    <w:tr2bl w:val="nil"/>
                  </w:tcBorders>
                  <w:noWrap w:val="0"/>
                  <w:vAlign w:val="center"/>
                </w:tcPr>
                <w:p w14:paraId="24FC1D8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c>
                <w:tcPr>
                  <w:tcW w:w="677" w:type="pct"/>
                  <w:tcBorders>
                    <w:tl2br w:val="nil"/>
                    <w:tr2bl w:val="nil"/>
                  </w:tcBorders>
                  <w:noWrap w:val="0"/>
                  <w:vAlign w:val="center"/>
                </w:tcPr>
                <w:p w14:paraId="6D2AE988">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c>
                <w:tcPr>
                  <w:tcW w:w="377" w:type="pct"/>
                  <w:tcBorders>
                    <w:tl2br w:val="nil"/>
                    <w:tr2bl w:val="nil"/>
                  </w:tcBorders>
                  <w:noWrap w:val="0"/>
                  <w:vAlign w:val="center"/>
                </w:tcPr>
                <w:p w14:paraId="0201FC0F">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r>
            <w:tr w14:paraId="611FF62E">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noWrap w:val="0"/>
                  <w:vAlign w:val="center"/>
                </w:tcPr>
                <w:p w14:paraId="5C601FD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总银</w:t>
                  </w:r>
                </w:p>
              </w:tc>
              <w:tc>
                <w:tcPr>
                  <w:tcW w:w="455" w:type="pct"/>
                  <w:tcBorders>
                    <w:tl2br w:val="nil"/>
                    <w:tr2bl w:val="nil"/>
                  </w:tcBorders>
                  <w:noWrap w:val="0"/>
                  <w:vAlign w:val="center"/>
                </w:tcPr>
                <w:p w14:paraId="78E95E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kern w:val="2"/>
                      <w:sz w:val="21"/>
                      <w:szCs w:val="21"/>
                      <w:highlight w:val="none"/>
                      <w:lang w:val="en-US" w:eastAsia="zh-CN" w:bidi="ar-SA"/>
                    </w:rPr>
                    <w:t>0.03</w:t>
                  </w:r>
                </w:p>
              </w:tc>
              <w:tc>
                <w:tcPr>
                  <w:tcW w:w="455" w:type="pct"/>
                  <w:tcBorders>
                    <w:tl2br w:val="nil"/>
                    <w:tr2bl w:val="nil"/>
                  </w:tcBorders>
                  <w:noWrap w:val="0"/>
                  <w:vAlign w:val="center"/>
                </w:tcPr>
                <w:p w14:paraId="1DD91D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455" w:type="pct"/>
                  <w:tcBorders>
                    <w:tl2br w:val="nil"/>
                    <w:tr2bl w:val="nil"/>
                  </w:tcBorders>
                  <w:noWrap w:val="0"/>
                  <w:vAlign w:val="center"/>
                </w:tcPr>
                <w:p w14:paraId="1E06C5D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455" w:type="pct"/>
                  <w:tcBorders>
                    <w:tl2br w:val="nil"/>
                    <w:tr2bl w:val="nil"/>
                  </w:tcBorders>
                  <w:noWrap w:val="0"/>
                  <w:vAlign w:val="center"/>
                </w:tcPr>
                <w:p w14:paraId="2A1F7C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455" w:type="pct"/>
                  <w:tcBorders>
                    <w:tl2br w:val="nil"/>
                    <w:tr2bl w:val="nil"/>
                  </w:tcBorders>
                  <w:noWrap w:val="0"/>
                  <w:vAlign w:val="center"/>
                </w:tcPr>
                <w:p w14:paraId="408AE04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455" w:type="pct"/>
                  <w:tcBorders>
                    <w:tl2br w:val="nil"/>
                    <w:tr2bl w:val="nil"/>
                  </w:tcBorders>
                  <w:noWrap w:val="0"/>
                  <w:vAlign w:val="center"/>
                </w:tcPr>
                <w:p w14:paraId="30E7014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741" w:type="pct"/>
                  <w:tcBorders>
                    <w:tl2br w:val="nil"/>
                    <w:tr2bl w:val="nil"/>
                  </w:tcBorders>
                  <w:noWrap w:val="0"/>
                  <w:vAlign w:val="center"/>
                </w:tcPr>
                <w:p w14:paraId="2C5AB149">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c>
                <w:tcPr>
                  <w:tcW w:w="677" w:type="pct"/>
                  <w:tcBorders>
                    <w:tl2br w:val="nil"/>
                    <w:tr2bl w:val="nil"/>
                  </w:tcBorders>
                  <w:noWrap w:val="0"/>
                  <w:vAlign w:val="center"/>
                </w:tcPr>
                <w:p w14:paraId="6AE1AE6A">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c>
                <w:tcPr>
                  <w:tcW w:w="377" w:type="pct"/>
                  <w:tcBorders>
                    <w:tl2br w:val="nil"/>
                    <w:tr2bl w:val="nil"/>
                  </w:tcBorders>
                  <w:noWrap w:val="0"/>
                  <w:vAlign w:val="center"/>
                </w:tcPr>
                <w:p w14:paraId="7503C160">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w:t>
                  </w:r>
                </w:p>
              </w:tc>
            </w:tr>
            <w:tr w14:paraId="7A05C912">
              <w:tblPrEx>
                <w:tblBorders>
                  <w:top w:val="single" w:color="auto" w:sz="12" w:space="0"/>
                  <w:left w:val="single" w:color="auto" w:sz="12" w:space="0"/>
                  <w:bottom w:val="single" w:color="auto" w:sz="12" w:space="0"/>
                  <w:right w:val="single" w:color="auto" w:sz="12" w:space="0"/>
                  <w:insideH w:val="single" w:color="auto" w:sz="12" w:space="0"/>
                  <w:insideV w:val="single" w:color="auto" w:sz="12" w:space="0"/>
                </w:tblBorders>
                <w:tblCellMar>
                  <w:top w:w="0" w:type="dxa"/>
                  <w:left w:w="108" w:type="dxa"/>
                  <w:bottom w:w="0" w:type="dxa"/>
                  <w:right w:w="108" w:type="dxa"/>
                </w:tblCellMar>
              </w:tblPrEx>
              <w:trPr>
                <w:trHeight w:val="544" w:hRule="atLeast"/>
                <w:tblHeader/>
              </w:trPr>
              <w:tc>
                <w:tcPr>
                  <w:tcW w:w="469" w:type="pct"/>
                  <w:tcBorders>
                    <w:tl2br w:val="nil"/>
                    <w:tr2bl w:val="nil"/>
                  </w:tcBorders>
                  <w:shd w:val="clear" w:color="auto" w:fill="auto"/>
                  <w:noWrap w:val="0"/>
                  <w:vAlign w:val="center"/>
                </w:tcPr>
                <w:p w14:paraId="16C98B7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总砷</w:t>
                  </w:r>
                </w:p>
              </w:tc>
              <w:tc>
                <w:tcPr>
                  <w:tcW w:w="455" w:type="pct"/>
                  <w:tcBorders>
                    <w:tl2br w:val="nil"/>
                    <w:tr2bl w:val="nil"/>
                  </w:tcBorders>
                  <w:shd w:val="clear" w:color="auto" w:fill="auto"/>
                  <w:noWrap w:val="0"/>
                  <w:vAlign w:val="center"/>
                </w:tcPr>
                <w:p w14:paraId="115E91F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455" w:type="pct"/>
                  <w:tcBorders>
                    <w:tl2br w:val="nil"/>
                    <w:tr2bl w:val="nil"/>
                  </w:tcBorders>
                  <w:shd w:val="clear" w:color="auto" w:fill="auto"/>
                  <w:noWrap w:val="0"/>
                  <w:vAlign w:val="center"/>
                </w:tcPr>
                <w:p w14:paraId="06F7205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455" w:type="pct"/>
                  <w:tcBorders>
                    <w:tl2br w:val="nil"/>
                    <w:tr2bl w:val="nil"/>
                  </w:tcBorders>
                  <w:shd w:val="clear" w:color="auto" w:fill="auto"/>
                  <w:noWrap w:val="0"/>
                  <w:vAlign w:val="center"/>
                </w:tcPr>
                <w:p w14:paraId="1C16783D">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455" w:type="pct"/>
                  <w:tcBorders>
                    <w:tl2br w:val="nil"/>
                    <w:tr2bl w:val="nil"/>
                  </w:tcBorders>
                  <w:shd w:val="clear" w:color="auto" w:fill="auto"/>
                  <w:noWrap w:val="0"/>
                  <w:vAlign w:val="center"/>
                </w:tcPr>
                <w:p w14:paraId="2E6357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455" w:type="pct"/>
                  <w:tcBorders>
                    <w:tl2br w:val="nil"/>
                    <w:tr2bl w:val="nil"/>
                  </w:tcBorders>
                  <w:shd w:val="clear" w:color="auto" w:fill="auto"/>
                  <w:noWrap w:val="0"/>
                  <w:vAlign w:val="center"/>
                </w:tcPr>
                <w:p w14:paraId="26DEAD51">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455" w:type="pct"/>
                  <w:tcBorders>
                    <w:tl2br w:val="nil"/>
                    <w:tr2bl w:val="nil"/>
                  </w:tcBorders>
                  <w:shd w:val="clear" w:color="auto" w:fill="auto"/>
                  <w:noWrap w:val="0"/>
                  <w:vAlign w:val="center"/>
                </w:tcPr>
                <w:p w14:paraId="5DADB4C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kern w:val="2"/>
                      <w:sz w:val="21"/>
                      <w:szCs w:val="21"/>
                      <w:highlight w:val="none"/>
                      <w:lang w:val="en-US" w:eastAsia="zh-CN" w:bidi="ar-SA"/>
                    </w:rPr>
                  </w:pP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741" w:type="pct"/>
                  <w:tcBorders>
                    <w:tl2br w:val="nil"/>
                    <w:tr2bl w:val="nil"/>
                  </w:tcBorders>
                  <w:noWrap w:val="0"/>
                  <w:vAlign w:val="center"/>
                </w:tcPr>
                <w:p w14:paraId="3BE758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0.0</w:t>
                  </w:r>
                  <w:r>
                    <w:rPr>
                      <w:rFonts w:hint="eastAsia" w:cs="Times New Roman" w:eastAsiaTheme="minorEastAsia"/>
                      <w:b w:val="0"/>
                      <w:bCs w:val="0"/>
                      <w:color w:val="auto"/>
                      <w:sz w:val="21"/>
                      <w:szCs w:val="21"/>
                      <w:highlight w:val="none"/>
                      <w:lang w:val="en-US" w:eastAsia="zh-CN"/>
                    </w:rPr>
                    <w:t>5</w:t>
                  </w:r>
                </w:p>
              </w:tc>
              <w:tc>
                <w:tcPr>
                  <w:tcW w:w="677" w:type="pct"/>
                  <w:tcBorders>
                    <w:tl2br w:val="nil"/>
                    <w:tr2bl w:val="nil"/>
                  </w:tcBorders>
                  <w:noWrap w:val="0"/>
                  <w:vAlign w:val="center"/>
                </w:tcPr>
                <w:p w14:paraId="03A2B9D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eastAsia" w:ascii="Times New Roman" w:hAnsi="Times New Roman" w:cs="Times New Roman" w:eastAsiaTheme="minorEastAsia"/>
                      <w:b w:val="0"/>
                      <w:bCs w:val="0"/>
                      <w:color w:val="auto"/>
                      <w:sz w:val="21"/>
                      <w:szCs w:val="21"/>
                      <w:highlight w:val="none"/>
                      <w:lang w:val="en-US" w:eastAsia="zh-CN"/>
                    </w:rPr>
                    <w:t>0.0</w:t>
                  </w:r>
                  <w:r>
                    <w:rPr>
                      <w:rFonts w:hint="eastAsia" w:cs="Times New Roman" w:eastAsiaTheme="minorEastAsia"/>
                      <w:b w:val="0"/>
                      <w:bCs w:val="0"/>
                      <w:color w:val="auto"/>
                      <w:sz w:val="21"/>
                      <w:szCs w:val="21"/>
                      <w:highlight w:val="none"/>
                      <w:lang w:val="en-US" w:eastAsia="zh-CN"/>
                    </w:rPr>
                    <w:t>06</w:t>
                  </w:r>
                </w:p>
              </w:tc>
              <w:tc>
                <w:tcPr>
                  <w:tcW w:w="377" w:type="pct"/>
                  <w:tcBorders>
                    <w:tl2br w:val="nil"/>
                    <w:tr2bl w:val="nil"/>
                  </w:tcBorders>
                  <w:noWrap w:val="0"/>
                  <w:vAlign w:val="center"/>
                </w:tcPr>
                <w:p w14:paraId="4F52AC9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达标</w:t>
                  </w:r>
                </w:p>
              </w:tc>
            </w:tr>
          </w:tbl>
          <w:p w14:paraId="0A4109D6">
            <w:pPr>
              <w:ind w:firstLine="480"/>
              <w:rPr>
                <w:kern w:val="0"/>
                <w:lang w:bidi="ar"/>
              </w:rPr>
            </w:pPr>
            <w:r>
              <w:rPr>
                <w:rFonts w:hint="eastAsia"/>
                <w:kern w:val="0"/>
                <w:lang w:bidi="ar"/>
              </w:rPr>
              <w:t>5）结论</w:t>
            </w:r>
          </w:p>
          <w:p w14:paraId="5C5FD4F3">
            <w:pPr>
              <w:ind w:firstLine="48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由上表可知，项目周边距离最近地表水体为</w:t>
            </w:r>
            <w:r>
              <w:rPr>
                <w:rFonts w:hint="eastAsia" w:cs="Times New Roman"/>
                <w:color w:val="auto"/>
                <w:highlight w:val="none"/>
                <w:lang w:val="en-US" w:eastAsia="zh-CN"/>
              </w:rPr>
              <w:t>卡巴拉河，属于洗马河左岸支流九龙河的小分支</w:t>
            </w:r>
            <w:r>
              <w:rPr>
                <w:rFonts w:hint="eastAsia" w:ascii="Times New Roman" w:hAnsi="Times New Roman" w:eastAsia="宋体" w:cs="Times New Roman"/>
                <w:color w:val="auto"/>
                <w:highlight w:val="none"/>
                <w:lang w:val="en-US" w:eastAsia="zh-CN"/>
              </w:rPr>
              <w:t>，该河流执行《地表水环境质量标准》（GB3838-2002）</w:t>
            </w:r>
            <w:r>
              <w:rPr>
                <w:rFonts w:hint="eastAsia" w:ascii="宋体" w:hAnsi="宋体" w:eastAsia="宋体" w:cs="宋体"/>
                <w:b/>
                <w:bCs w:val="0"/>
                <w:color w:val="auto"/>
                <w:sz w:val="21"/>
                <w:szCs w:val="21"/>
                <w:highlight w:val="none"/>
                <w:lang w:val="en-US" w:eastAsia="zh-CN"/>
              </w:rPr>
              <w:t>Ⅲ</w:t>
            </w:r>
            <w:r>
              <w:rPr>
                <w:rFonts w:hint="eastAsia" w:ascii="Times New Roman" w:hAnsi="Times New Roman" w:eastAsia="宋体" w:cs="Times New Roman"/>
                <w:color w:val="auto"/>
                <w:highlight w:val="none"/>
                <w:lang w:val="en-US" w:eastAsia="zh-CN"/>
              </w:rPr>
              <w:t>类标准，根据监测结果分析可知，该河流监测因子均达标，现状环境质量较好。</w:t>
            </w:r>
          </w:p>
          <w:p w14:paraId="1AD86155">
            <w:pPr>
              <w:widowControl/>
              <w:ind w:firstLine="482"/>
              <w:jc w:val="left"/>
              <w:rPr>
                <w:b/>
                <w:bCs/>
                <w:kern w:val="0"/>
                <w:lang w:bidi="ar"/>
              </w:rPr>
            </w:pPr>
            <w:r>
              <w:rPr>
                <w:rFonts w:hint="eastAsia"/>
                <w:b/>
                <w:bCs/>
                <w:kern w:val="0"/>
                <w:lang w:bidi="ar"/>
              </w:rPr>
              <w:t>6、大气环境现状</w:t>
            </w:r>
          </w:p>
          <w:p w14:paraId="58E3214B">
            <w:pPr>
              <w:widowControl/>
              <w:ind w:firstLine="480"/>
              <w:jc w:val="left"/>
              <w:rPr>
                <w:kern w:val="0"/>
                <w:lang w:bidi="ar"/>
              </w:rPr>
            </w:pPr>
            <w:r>
              <w:rPr>
                <w:rFonts w:hint="eastAsia"/>
                <w:kern w:val="0"/>
                <w:lang w:bidi="ar"/>
              </w:rPr>
              <w:t>项目位于云南省昆明市寻甸县鸡街镇古城新石桥村大旋塘采石场，属于二类环境空气质量功能区，执行《环境空气质量标准》（</w:t>
            </w:r>
            <w:r>
              <w:rPr>
                <w:kern w:val="0"/>
                <w:lang w:bidi="ar"/>
              </w:rPr>
              <w:t>GB3095-2012</w:t>
            </w:r>
            <w:r>
              <w:rPr>
                <w:rFonts w:hint="eastAsia"/>
                <w:kern w:val="0"/>
                <w:lang w:bidi="ar"/>
              </w:rPr>
              <w:t>）及修改单中的二级标准。</w:t>
            </w:r>
          </w:p>
          <w:p w14:paraId="5DAFA674">
            <w:pPr>
              <w:widowControl/>
              <w:ind w:firstLine="480"/>
              <w:jc w:val="left"/>
              <w:rPr>
                <w:kern w:val="0"/>
                <w:lang w:bidi="ar"/>
              </w:rPr>
            </w:pPr>
            <w:r>
              <w:rPr>
                <w:rFonts w:hint="eastAsia"/>
                <w:kern w:val="0"/>
                <w:lang w:bidi="ar"/>
              </w:rPr>
              <w:t>根据《</w:t>
            </w:r>
            <w:r>
              <w:rPr>
                <w:kern w:val="0"/>
                <w:lang w:bidi="ar"/>
              </w:rPr>
              <w:t>202</w:t>
            </w:r>
            <w:r>
              <w:rPr>
                <w:rFonts w:hint="eastAsia"/>
                <w:kern w:val="0"/>
                <w:lang w:bidi="ar"/>
              </w:rPr>
              <w:t>3年度昆明市生态环境状况公报》，昆明市</w:t>
            </w:r>
            <w:r>
              <w:rPr>
                <w:kern w:val="0"/>
                <w:lang w:bidi="ar"/>
              </w:rPr>
              <w:t>各县（市）区环境空气质量总体保持良好，各项污染物平均浓度均达到二级空气质量标准。与2022年相比，</w:t>
            </w:r>
            <w:r>
              <w:rPr>
                <w:rFonts w:hint="eastAsia"/>
                <w:kern w:val="0"/>
                <w:lang w:bidi="ar"/>
              </w:rPr>
              <w:t>昆明市</w:t>
            </w:r>
            <w:r>
              <w:rPr>
                <w:kern w:val="0"/>
                <w:lang w:bidi="ar"/>
              </w:rPr>
              <w:t>各县（市）区环境空气综合污染指数均上升。</w:t>
            </w:r>
          </w:p>
          <w:p w14:paraId="2CD5958E">
            <w:pPr>
              <w:ind w:firstLine="480"/>
              <w:rPr>
                <w:rFonts w:hint="eastAsia" w:ascii="Times New Roman" w:hAnsi="Times New Roman" w:eastAsia="宋体" w:cs="Times New Roman"/>
                <w:bCs w:val="0"/>
                <w:iCs w:val="0"/>
                <w:color w:val="auto"/>
                <w:kern w:val="0"/>
                <w:sz w:val="24"/>
                <w:szCs w:val="24"/>
                <w:highlight w:val="none"/>
                <w:lang w:val="en-US" w:eastAsia="zh-CN" w:bidi="ar"/>
              </w:rPr>
            </w:pPr>
            <w:r>
              <w:rPr>
                <w:rFonts w:hint="eastAsia" w:ascii="Times New Roman" w:hAnsi="Times New Roman" w:eastAsia="宋体" w:cs="Times New Roman"/>
                <w:bCs w:val="0"/>
                <w:iCs w:val="0"/>
                <w:color w:val="auto"/>
                <w:kern w:val="0"/>
                <w:sz w:val="24"/>
                <w:szCs w:val="24"/>
                <w:highlight w:val="none"/>
                <w:lang w:val="en-US" w:eastAsia="zh-CN" w:bidi="ar"/>
              </w:rPr>
              <w:t>为了解项目所在区域空气环境质量现状，委托云南普域环境科技有限公司于202</w:t>
            </w:r>
            <w:r>
              <w:rPr>
                <w:rFonts w:hint="eastAsia" w:cs="Times New Roman"/>
                <w:bCs w:val="0"/>
                <w:iCs w:val="0"/>
                <w:color w:val="auto"/>
                <w:kern w:val="0"/>
                <w:sz w:val="24"/>
                <w:szCs w:val="24"/>
                <w:highlight w:val="none"/>
                <w:lang w:val="en-US" w:eastAsia="zh-CN" w:bidi="ar"/>
              </w:rPr>
              <w:t>5</w:t>
            </w:r>
            <w:r>
              <w:rPr>
                <w:rFonts w:hint="eastAsia" w:ascii="Times New Roman" w:hAnsi="Times New Roman" w:eastAsia="宋体" w:cs="Times New Roman"/>
                <w:bCs w:val="0"/>
                <w:iCs w:val="0"/>
                <w:color w:val="auto"/>
                <w:kern w:val="0"/>
                <w:sz w:val="24"/>
                <w:szCs w:val="24"/>
                <w:highlight w:val="none"/>
                <w:lang w:val="en-US" w:eastAsia="zh-CN" w:bidi="ar"/>
              </w:rPr>
              <w:t>年</w:t>
            </w:r>
            <w:r>
              <w:rPr>
                <w:rFonts w:hint="eastAsia" w:cs="Times New Roman"/>
                <w:bCs w:val="0"/>
                <w:iCs w:val="0"/>
                <w:color w:val="auto"/>
                <w:kern w:val="0"/>
                <w:sz w:val="24"/>
                <w:szCs w:val="24"/>
                <w:highlight w:val="none"/>
                <w:lang w:val="en-US" w:eastAsia="zh-CN" w:bidi="ar"/>
              </w:rPr>
              <w:t>7</w:t>
            </w:r>
            <w:r>
              <w:rPr>
                <w:rFonts w:hint="eastAsia" w:ascii="Times New Roman" w:hAnsi="Times New Roman" w:eastAsia="宋体" w:cs="Times New Roman"/>
                <w:bCs w:val="0"/>
                <w:iCs w:val="0"/>
                <w:color w:val="auto"/>
                <w:kern w:val="0"/>
                <w:sz w:val="24"/>
                <w:szCs w:val="24"/>
                <w:highlight w:val="none"/>
                <w:lang w:val="en-US" w:eastAsia="zh-CN" w:bidi="ar"/>
              </w:rPr>
              <w:t>月</w:t>
            </w:r>
            <w:r>
              <w:rPr>
                <w:rFonts w:hint="eastAsia" w:cs="Times New Roman"/>
                <w:bCs w:val="0"/>
                <w:iCs w:val="0"/>
                <w:color w:val="auto"/>
                <w:kern w:val="0"/>
                <w:sz w:val="24"/>
                <w:szCs w:val="24"/>
                <w:highlight w:val="none"/>
                <w:lang w:val="en-US" w:eastAsia="zh-CN" w:bidi="ar"/>
              </w:rPr>
              <w:t>19</w:t>
            </w:r>
            <w:r>
              <w:rPr>
                <w:rFonts w:hint="eastAsia" w:ascii="Times New Roman" w:hAnsi="Times New Roman" w:eastAsia="宋体" w:cs="Times New Roman"/>
                <w:bCs w:val="0"/>
                <w:iCs w:val="0"/>
                <w:color w:val="auto"/>
                <w:kern w:val="0"/>
                <w:sz w:val="24"/>
                <w:szCs w:val="24"/>
                <w:highlight w:val="none"/>
                <w:lang w:val="en-US" w:eastAsia="zh-CN" w:bidi="ar"/>
              </w:rPr>
              <w:t>日～202</w:t>
            </w:r>
            <w:r>
              <w:rPr>
                <w:rFonts w:hint="eastAsia" w:cs="Times New Roman"/>
                <w:bCs w:val="0"/>
                <w:iCs w:val="0"/>
                <w:color w:val="auto"/>
                <w:kern w:val="0"/>
                <w:sz w:val="24"/>
                <w:szCs w:val="24"/>
                <w:highlight w:val="none"/>
                <w:lang w:val="en-US" w:eastAsia="zh-CN" w:bidi="ar"/>
              </w:rPr>
              <w:t>5</w:t>
            </w:r>
            <w:r>
              <w:rPr>
                <w:rFonts w:hint="eastAsia" w:ascii="Times New Roman" w:hAnsi="Times New Roman" w:eastAsia="宋体" w:cs="Times New Roman"/>
                <w:bCs w:val="0"/>
                <w:iCs w:val="0"/>
                <w:color w:val="auto"/>
                <w:kern w:val="0"/>
                <w:sz w:val="24"/>
                <w:szCs w:val="24"/>
                <w:highlight w:val="none"/>
                <w:lang w:val="en-US" w:eastAsia="zh-CN" w:bidi="ar"/>
              </w:rPr>
              <w:t>年</w:t>
            </w:r>
            <w:r>
              <w:rPr>
                <w:rFonts w:hint="eastAsia" w:cs="Times New Roman"/>
                <w:bCs w:val="0"/>
                <w:iCs w:val="0"/>
                <w:color w:val="auto"/>
                <w:kern w:val="0"/>
                <w:sz w:val="24"/>
                <w:szCs w:val="24"/>
                <w:highlight w:val="none"/>
                <w:lang w:val="en-US" w:eastAsia="zh-CN" w:bidi="ar"/>
              </w:rPr>
              <w:t>7</w:t>
            </w:r>
            <w:r>
              <w:rPr>
                <w:rFonts w:hint="eastAsia" w:ascii="Times New Roman" w:hAnsi="Times New Roman" w:eastAsia="宋体" w:cs="Times New Roman"/>
                <w:bCs w:val="0"/>
                <w:iCs w:val="0"/>
                <w:color w:val="auto"/>
                <w:kern w:val="0"/>
                <w:sz w:val="24"/>
                <w:szCs w:val="24"/>
                <w:highlight w:val="none"/>
                <w:lang w:val="en-US" w:eastAsia="zh-CN" w:bidi="ar"/>
              </w:rPr>
              <w:t>月2</w:t>
            </w:r>
            <w:r>
              <w:rPr>
                <w:rFonts w:hint="eastAsia" w:cs="Times New Roman"/>
                <w:bCs w:val="0"/>
                <w:iCs w:val="0"/>
                <w:color w:val="auto"/>
                <w:kern w:val="0"/>
                <w:sz w:val="24"/>
                <w:szCs w:val="24"/>
                <w:highlight w:val="none"/>
                <w:lang w:val="en-US" w:eastAsia="zh-CN" w:bidi="ar"/>
              </w:rPr>
              <w:t>1</w:t>
            </w:r>
            <w:r>
              <w:rPr>
                <w:rFonts w:hint="eastAsia" w:ascii="Times New Roman" w:hAnsi="Times New Roman" w:eastAsia="宋体" w:cs="Times New Roman"/>
                <w:bCs w:val="0"/>
                <w:iCs w:val="0"/>
                <w:color w:val="auto"/>
                <w:kern w:val="0"/>
                <w:sz w:val="24"/>
                <w:szCs w:val="24"/>
                <w:highlight w:val="none"/>
                <w:lang w:val="en-US" w:eastAsia="zh-CN" w:bidi="ar"/>
              </w:rPr>
              <w:t>日连续3天对修复区环境空气质量现状进行监测。</w:t>
            </w:r>
          </w:p>
          <w:p w14:paraId="380A5AC4">
            <w:pPr>
              <w:ind w:firstLine="480"/>
              <w:rPr>
                <w:rFonts w:hint="default" w:ascii="Times New Roman" w:hAnsi="Times New Roman" w:eastAsia="宋体" w:cs="Times New Roman"/>
                <w:bCs w:val="0"/>
                <w:iCs w:val="0"/>
                <w:color w:val="auto"/>
                <w:kern w:val="0"/>
                <w:sz w:val="24"/>
                <w:szCs w:val="24"/>
                <w:highlight w:val="none"/>
                <w:lang w:val="en-US" w:eastAsia="zh-CN" w:bidi="ar"/>
              </w:rPr>
            </w:pPr>
            <w:r>
              <w:rPr>
                <w:rFonts w:hint="eastAsia" w:ascii="Times New Roman" w:hAnsi="Times New Roman" w:eastAsia="宋体" w:cs="Times New Roman"/>
                <w:bCs w:val="0"/>
                <w:iCs w:val="0"/>
                <w:color w:val="auto"/>
                <w:kern w:val="0"/>
                <w:sz w:val="24"/>
                <w:szCs w:val="24"/>
                <w:highlight w:val="none"/>
                <w:lang w:val="en-US" w:eastAsia="zh-CN" w:bidi="ar"/>
              </w:rPr>
              <w:t>1）监测点位：项目场地内下风（A1），共1个点位；</w:t>
            </w:r>
          </w:p>
          <w:p w14:paraId="1CFEFFE7">
            <w:pPr>
              <w:ind w:firstLine="480"/>
              <w:rPr>
                <w:rFonts w:hint="default" w:ascii="Times New Roman" w:hAnsi="Times New Roman" w:eastAsia="宋体" w:cs="Times New Roman"/>
                <w:bCs w:val="0"/>
                <w:iCs w:val="0"/>
                <w:color w:val="auto"/>
                <w:kern w:val="0"/>
                <w:sz w:val="24"/>
                <w:szCs w:val="24"/>
                <w:highlight w:val="none"/>
                <w:lang w:val="en-US" w:eastAsia="zh-CN" w:bidi="ar"/>
              </w:rPr>
            </w:pPr>
            <w:r>
              <w:rPr>
                <w:rFonts w:hint="eastAsia" w:ascii="Times New Roman" w:hAnsi="Times New Roman" w:eastAsia="宋体" w:cs="Times New Roman"/>
                <w:bCs w:val="0"/>
                <w:iCs w:val="0"/>
                <w:color w:val="auto"/>
                <w:kern w:val="0"/>
                <w:sz w:val="24"/>
                <w:szCs w:val="24"/>
                <w:highlight w:val="none"/>
                <w:lang w:val="en-US" w:eastAsia="zh-CN" w:bidi="ar"/>
              </w:rPr>
              <w:t>2）检测项目：TSP</w:t>
            </w:r>
            <w:r>
              <w:rPr>
                <w:rFonts w:hint="eastAsia" w:cs="Times New Roman"/>
                <w:bCs w:val="0"/>
                <w:iCs w:val="0"/>
                <w:color w:val="auto"/>
                <w:kern w:val="0"/>
                <w:sz w:val="24"/>
                <w:szCs w:val="24"/>
                <w:highlight w:val="none"/>
                <w:lang w:val="en-US" w:eastAsia="zh-CN" w:bidi="ar"/>
              </w:rPr>
              <w:t>，监测期间同步观测气温、湿度、风向、风速等气象要素，同时记录采样点的坐标经纬度并拍摄照片。</w:t>
            </w:r>
          </w:p>
          <w:p w14:paraId="4271E0FE">
            <w:pPr>
              <w:ind w:firstLine="480"/>
              <w:rPr>
                <w:rFonts w:hint="default" w:ascii="Times New Roman" w:hAnsi="Times New Roman" w:eastAsia="宋体" w:cs="Times New Roman"/>
                <w:bCs w:val="0"/>
                <w:iCs w:val="0"/>
                <w:color w:val="auto"/>
                <w:kern w:val="0"/>
                <w:sz w:val="24"/>
                <w:szCs w:val="24"/>
                <w:highlight w:val="none"/>
                <w:lang w:val="en-US" w:eastAsia="zh-CN" w:bidi="ar"/>
              </w:rPr>
            </w:pPr>
            <w:r>
              <w:rPr>
                <w:rFonts w:hint="eastAsia" w:ascii="Times New Roman" w:hAnsi="Times New Roman" w:eastAsia="宋体" w:cs="Times New Roman"/>
                <w:bCs w:val="0"/>
                <w:iCs w:val="0"/>
                <w:color w:val="auto"/>
                <w:kern w:val="0"/>
                <w:sz w:val="24"/>
                <w:szCs w:val="24"/>
                <w:highlight w:val="none"/>
                <w:lang w:val="en-US" w:eastAsia="zh-CN" w:bidi="ar"/>
              </w:rPr>
              <w:t>3）监测频次：1次/天，</w:t>
            </w:r>
            <w:r>
              <w:rPr>
                <w:rFonts w:hint="eastAsia" w:cs="Times New Roman"/>
                <w:bCs w:val="0"/>
                <w:iCs w:val="0"/>
                <w:color w:val="auto"/>
                <w:kern w:val="0"/>
                <w:sz w:val="24"/>
                <w:szCs w:val="24"/>
                <w:highlight w:val="none"/>
                <w:lang w:val="en-US" w:eastAsia="zh-CN" w:bidi="ar"/>
              </w:rPr>
              <w:t>TSP</w:t>
            </w:r>
            <w:r>
              <w:rPr>
                <w:rFonts w:hint="eastAsia" w:ascii="Times New Roman" w:hAnsi="Times New Roman" w:eastAsia="宋体" w:cs="Times New Roman"/>
                <w:bCs w:val="0"/>
                <w:iCs w:val="0"/>
                <w:color w:val="auto"/>
                <w:kern w:val="0"/>
                <w:sz w:val="24"/>
                <w:szCs w:val="24"/>
                <w:highlight w:val="none"/>
                <w:lang w:val="en-US" w:eastAsia="zh-CN" w:bidi="ar"/>
              </w:rPr>
              <w:t>监测日均值，监测3天</w:t>
            </w:r>
            <w:r>
              <w:rPr>
                <w:rFonts w:hint="eastAsia" w:cs="Times New Roman"/>
                <w:bCs w:val="0"/>
                <w:iCs w:val="0"/>
                <w:color w:val="auto"/>
                <w:kern w:val="0"/>
                <w:sz w:val="24"/>
                <w:szCs w:val="24"/>
                <w:highlight w:val="none"/>
                <w:lang w:val="en-US" w:eastAsia="zh-CN" w:bidi="ar"/>
              </w:rPr>
              <w:t>。</w:t>
            </w:r>
          </w:p>
          <w:p w14:paraId="2A13E761">
            <w:pPr>
              <w:ind w:firstLine="480"/>
              <w:rPr>
                <w:rFonts w:hint="eastAsia" w:ascii="Times New Roman" w:hAnsi="Times New Roman" w:eastAsia="宋体" w:cs="Times New Roman"/>
                <w:bCs w:val="0"/>
                <w:iCs w:val="0"/>
                <w:color w:val="auto"/>
                <w:kern w:val="0"/>
                <w:sz w:val="24"/>
                <w:szCs w:val="24"/>
                <w:highlight w:val="none"/>
                <w:lang w:val="en-US" w:eastAsia="zh-CN" w:bidi="ar"/>
              </w:rPr>
            </w:pPr>
            <w:r>
              <w:rPr>
                <w:rFonts w:hint="eastAsia" w:ascii="Times New Roman" w:hAnsi="Times New Roman" w:eastAsia="宋体" w:cs="Times New Roman"/>
                <w:bCs w:val="0"/>
                <w:iCs w:val="0"/>
                <w:color w:val="auto"/>
                <w:kern w:val="0"/>
                <w:sz w:val="24"/>
                <w:szCs w:val="24"/>
                <w:highlight w:val="none"/>
                <w:lang w:val="en-US" w:eastAsia="zh-CN" w:bidi="ar"/>
              </w:rPr>
              <w:t>4）检测结果</w:t>
            </w:r>
          </w:p>
          <w:p w14:paraId="4E0B152D">
            <w:pPr>
              <w:pStyle w:val="24"/>
              <w:adjustRightInd w:val="0"/>
              <w:spacing w:before="0" w:after="0" w:line="240" w:lineRule="auto"/>
              <w:ind w:right="0" w:firstLine="0" w:firstLineChars="0"/>
              <w:jc w:val="center"/>
              <w:rPr>
                <w:rFonts w:hint="default"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iCs w:val="0"/>
                <w:color w:val="auto"/>
                <w:kern w:val="0"/>
                <w:sz w:val="24"/>
                <w:szCs w:val="24"/>
                <w:highlight w:val="none"/>
                <w:lang w:val="en-US" w:eastAsia="zh-CN" w:bidi="ar"/>
              </w:rPr>
              <w:t>表3-4</w:t>
            </w:r>
            <w:r>
              <w:rPr>
                <w:rFonts w:hint="eastAsia" w:cs="Times New Roman"/>
                <w:b/>
                <w:bCs/>
                <w:iCs w:val="0"/>
                <w:color w:val="auto"/>
                <w:kern w:val="0"/>
                <w:sz w:val="24"/>
                <w:szCs w:val="24"/>
                <w:highlight w:val="none"/>
                <w:lang w:val="en-US" w:eastAsia="zh-CN" w:bidi="ar"/>
              </w:rPr>
              <w:t xml:space="preserve">  </w:t>
            </w:r>
            <w:r>
              <w:rPr>
                <w:rFonts w:hint="eastAsia" w:ascii="Times New Roman" w:hAnsi="Times New Roman" w:eastAsia="宋体" w:cs="Times New Roman"/>
                <w:b/>
                <w:bCs/>
                <w:iCs w:val="0"/>
                <w:color w:val="auto"/>
                <w:kern w:val="0"/>
                <w:sz w:val="24"/>
                <w:szCs w:val="24"/>
                <w:highlight w:val="none"/>
                <w:lang w:val="en-US" w:eastAsia="zh-CN" w:bidi="ar"/>
              </w:rPr>
              <w:t>项目空气环境</w:t>
            </w:r>
            <w:r>
              <w:rPr>
                <w:rFonts w:hint="eastAsia" w:cs="Times New Roman"/>
                <w:b/>
                <w:bCs/>
                <w:iCs w:val="0"/>
                <w:color w:val="auto"/>
                <w:kern w:val="0"/>
                <w:sz w:val="24"/>
                <w:szCs w:val="24"/>
                <w:highlight w:val="none"/>
                <w:lang w:val="en-US" w:eastAsia="zh-CN" w:bidi="ar"/>
              </w:rPr>
              <w:t>检测</w:t>
            </w:r>
            <w:r>
              <w:rPr>
                <w:rFonts w:hint="eastAsia" w:ascii="Times New Roman" w:hAnsi="Times New Roman" w:eastAsia="宋体" w:cs="Times New Roman"/>
                <w:b/>
                <w:bCs/>
                <w:iCs w:val="0"/>
                <w:color w:val="auto"/>
                <w:kern w:val="0"/>
                <w:sz w:val="24"/>
                <w:szCs w:val="24"/>
                <w:highlight w:val="none"/>
                <w:lang w:val="en-US" w:eastAsia="zh-CN" w:bidi="ar"/>
              </w:rPr>
              <w:t>结果单位：</w:t>
            </w:r>
            <w:r>
              <w:rPr>
                <w:rFonts w:hint="default" w:ascii="Times New Roman" w:hAnsi="Times New Roman" w:eastAsia="宋体" w:cs="Times New Roman"/>
                <w:b/>
                <w:bCs/>
                <w:color w:val="000000"/>
                <w:sz w:val="24"/>
                <w:szCs w:val="24"/>
                <w:vertAlign w:val="baseline"/>
                <w:lang w:val="en-US" w:eastAsia="zh-CN"/>
              </w:rPr>
              <w:t>μ</w:t>
            </w:r>
            <w:r>
              <w:rPr>
                <w:rFonts w:hint="eastAsia" w:ascii="Times New Roman" w:hAnsi="Times New Roman" w:eastAsia="宋体" w:cs="Times New Roman"/>
                <w:b/>
                <w:bCs/>
                <w:color w:val="000000"/>
                <w:sz w:val="24"/>
                <w:szCs w:val="24"/>
                <w:vertAlign w:val="baseline"/>
                <w:lang w:val="en-US" w:eastAsia="zh-CN"/>
              </w:rPr>
              <w:t>g</w:t>
            </w:r>
            <w:r>
              <w:rPr>
                <w:rFonts w:hint="eastAsia" w:ascii="Times New Roman" w:hAnsi="Times New Roman" w:eastAsia="宋体" w:cs="Times New Roman"/>
                <w:b/>
                <w:bCs/>
                <w:iCs w:val="0"/>
                <w:color w:val="auto"/>
                <w:kern w:val="0"/>
                <w:sz w:val="24"/>
                <w:szCs w:val="24"/>
                <w:highlight w:val="none"/>
                <w:lang w:val="en-US" w:eastAsia="zh-CN" w:bidi="ar"/>
              </w:rPr>
              <w:t>/m³</w:t>
            </w:r>
          </w:p>
          <w:tbl>
            <w:tblPr>
              <w:tblStyle w:val="41"/>
              <w:tblW w:w="806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1367"/>
              <w:gridCol w:w="1333"/>
              <w:gridCol w:w="1183"/>
              <w:gridCol w:w="1083"/>
              <w:gridCol w:w="1067"/>
              <w:gridCol w:w="1213"/>
            </w:tblGrid>
            <w:tr w14:paraId="7BC623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26" w:hRule="atLeast"/>
              </w:trPr>
              <w:tc>
                <w:tcPr>
                  <w:tcW w:w="817" w:type="dxa"/>
                  <w:vMerge w:val="restart"/>
                  <w:noWrap w:val="0"/>
                  <w:vAlign w:val="center"/>
                </w:tcPr>
                <w:p w14:paraId="12CB68DB">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Cs w:val="0"/>
                      <w:color w:val="auto"/>
                      <w:kern w:val="0"/>
                      <w:sz w:val="21"/>
                      <w:szCs w:val="21"/>
                      <w:highlight w:val="none"/>
                      <w:vertAlign w:val="baseline"/>
                      <w:lang w:val="en-US" w:eastAsia="zh-CN" w:bidi="ar"/>
                    </w:rPr>
                  </w:pPr>
                  <w:r>
                    <w:rPr>
                      <w:rFonts w:hint="default" w:ascii="Times New Roman" w:hAnsi="Times New Roman" w:eastAsia="宋体" w:cs="Times New Roman"/>
                      <w:b/>
                      <w:bCs/>
                      <w:iCs w:val="0"/>
                      <w:color w:val="auto"/>
                      <w:kern w:val="0"/>
                      <w:sz w:val="21"/>
                      <w:szCs w:val="21"/>
                      <w:highlight w:val="none"/>
                      <w:vertAlign w:val="baseline"/>
                      <w:lang w:val="en-US" w:eastAsia="zh-CN" w:bidi="ar"/>
                    </w:rPr>
                    <w:t>监测点位</w:t>
                  </w:r>
                </w:p>
              </w:tc>
              <w:tc>
                <w:tcPr>
                  <w:tcW w:w="1367" w:type="dxa"/>
                  <w:vMerge w:val="restart"/>
                  <w:noWrap w:val="0"/>
                  <w:vAlign w:val="center"/>
                </w:tcPr>
                <w:p w14:paraId="735962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Cs w:val="0"/>
                      <w:color w:val="auto"/>
                      <w:kern w:val="0"/>
                      <w:sz w:val="21"/>
                      <w:szCs w:val="21"/>
                      <w:highlight w:val="none"/>
                      <w:vertAlign w:val="baseline"/>
                      <w:lang w:val="en-US" w:eastAsia="zh-CN" w:bidi="ar"/>
                    </w:rPr>
                  </w:pPr>
                  <w:r>
                    <w:rPr>
                      <w:rFonts w:hint="default" w:ascii="Times New Roman" w:hAnsi="Times New Roman" w:eastAsia="宋体" w:cs="Times New Roman"/>
                      <w:b/>
                      <w:bCs/>
                      <w:iCs w:val="0"/>
                      <w:color w:val="auto"/>
                      <w:kern w:val="0"/>
                      <w:sz w:val="21"/>
                      <w:szCs w:val="21"/>
                      <w:highlight w:val="none"/>
                      <w:vertAlign w:val="baseline"/>
                      <w:lang w:val="en-US" w:eastAsia="zh-CN" w:bidi="ar"/>
                    </w:rPr>
                    <w:t>采样日期</w:t>
                  </w:r>
                </w:p>
              </w:tc>
              <w:tc>
                <w:tcPr>
                  <w:tcW w:w="1333" w:type="dxa"/>
                  <w:vMerge w:val="restart"/>
                  <w:noWrap w:val="0"/>
                  <w:vAlign w:val="center"/>
                </w:tcPr>
                <w:p w14:paraId="1165F147">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Cs w:val="0"/>
                      <w:color w:val="auto"/>
                      <w:kern w:val="0"/>
                      <w:sz w:val="21"/>
                      <w:szCs w:val="21"/>
                      <w:highlight w:val="none"/>
                      <w:vertAlign w:val="baseline"/>
                      <w:lang w:val="en-US" w:eastAsia="zh-CN" w:bidi="ar"/>
                    </w:rPr>
                  </w:pPr>
                  <w:r>
                    <w:rPr>
                      <w:rFonts w:hint="default" w:ascii="Times New Roman" w:hAnsi="Times New Roman" w:eastAsia="宋体" w:cs="Times New Roman"/>
                      <w:b/>
                      <w:bCs/>
                      <w:iCs w:val="0"/>
                      <w:color w:val="auto"/>
                      <w:kern w:val="0"/>
                      <w:sz w:val="21"/>
                      <w:szCs w:val="21"/>
                      <w:highlight w:val="none"/>
                      <w:vertAlign w:val="baseline"/>
                      <w:lang w:val="en-US" w:eastAsia="zh-CN" w:bidi="ar"/>
                    </w:rPr>
                    <w:t>采样时段</w:t>
                  </w:r>
                </w:p>
              </w:tc>
              <w:tc>
                <w:tcPr>
                  <w:tcW w:w="1183" w:type="dxa"/>
                  <w:vMerge w:val="restart"/>
                  <w:noWrap w:val="0"/>
                  <w:vAlign w:val="center"/>
                </w:tcPr>
                <w:p w14:paraId="2D6A99AD">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Cs w:val="0"/>
                      <w:color w:val="auto"/>
                      <w:kern w:val="0"/>
                      <w:sz w:val="21"/>
                      <w:szCs w:val="21"/>
                      <w:highlight w:val="none"/>
                      <w:vertAlign w:val="baseline"/>
                      <w:lang w:val="en-US" w:eastAsia="zh-CN" w:bidi="ar"/>
                    </w:rPr>
                  </w:pPr>
                  <w:r>
                    <w:rPr>
                      <w:rFonts w:hint="default" w:ascii="Times New Roman" w:hAnsi="Times New Roman" w:eastAsia="宋体" w:cs="Times New Roman"/>
                      <w:b/>
                      <w:bCs/>
                      <w:iCs w:val="0"/>
                      <w:color w:val="auto"/>
                      <w:kern w:val="0"/>
                      <w:sz w:val="21"/>
                      <w:szCs w:val="21"/>
                      <w:highlight w:val="none"/>
                      <w:vertAlign w:val="baseline"/>
                      <w:lang w:val="en-US" w:eastAsia="zh-CN" w:bidi="ar"/>
                    </w:rPr>
                    <w:t>样品编号</w:t>
                  </w:r>
                </w:p>
              </w:tc>
              <w:tc>
                <w:tcPr>
                  <w:tcW w:w="3363" w:type="dxa"/>
                  <w:gridSpan w:val="3"/>
                  <w:noWrap w:val="0"/>
                  <w:vAlign w:val="center"/>
                </w:tcPr>
                <w:p w14:paraId="5ED50F0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Cs w:val="0"/>
                      <w:color w:val="auto"/>
                      <w:kern w:val="0"/>
                      <w:sz w:val="21"/>
                      <w:szCs w:val="21"/>
                      <w:highlight w:val="none"/>
                      <w:vertAlign w:val="baseline"/>
                      <w:lang w:val="en-US" w:eastAsia="zh-CN" w:bidi="ar"/>
                    </w:rPr>
                  </w:pPr>
                  <w:r>
                    <w:rPr>
                      <w:rFonts w:hint="default" w:ascii="Times New Roman" w:hAnsi="Times New Roman" w:eastAsia="宋体" w:cs="Times New Roman"/>
                      <w:b/>
                      <w:bCs/>
                      <w:i w:val="0"/>
                      <w:iCs w:val="0"/>
                      <w:color w:val="000000"/>
                      <w:kern w:val="0"/>
                      <w:sz w:val="21"/>
                      <w:szCs w:val="21"/>
                      <w:u w:val="none"/>
                      <w:lang w:val="en-US" w:eastAsia="zh-CN" w:bidi="ar"/>
                    </w:rPr>
                    <w:t>颗粒物</w:t>
                  </w:r>
                </w:p>
              </w:tc>
            </w:tr>
            <w:tr w14:paraId="3473E0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8" w:hRule="atLeast"/>
              </w:trPr>
              <w:tc>
                <w:tcPr>
                  <w:tcW w:w="817" w:type="dxa"/>
                  <w:vMerge w:val="continue"/>
                  <w:noWrap w:val="0"/>
                  <w:vAlign w:val="center"/>
                </w:tcPr>
                <w:p w14:paraId="50B9FD3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Cs w:val="0"/>
                      <w:color w:val="auto"/>
                      <w:kern w:val="0"/>
                      <w:sz w:val="21"/>
                      <w:szCs w:val="21"/>
                      <w:highlight w:val="none"/>
                      <w:vertAlign w:val="baseline"/>
                      <w:lang w:val="en-US" w:eastAsia="zh-CN" w:bidi="ar"/>
                    </w:rPr>
                  </w:pPr>
                </w:p>
              </w:tc>
              <w:tc>
                <w:tcPr>
                  <w:tcW w:w="1367" w:type="dxa"/>
                  <w:vMerge w:val="continue"/>
                  <w:noWrap w:val="0"/>
                  <w:vAlign w:val="center"/>
                </w:tcPr>
                <w:p w14:paraId="60986D3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Cs w:val="0"/>
                      <w:color w:val="auto"/>
                      <w:kern w:val="0"/>
                      <w:sz w:val="21"/>
                      <w:szCs w:val="21"/>
                      <w:highlight w:val="none"/>
                      <w:vertAlign w:val="baseline"/>
                      <w:lang w:val="en-US" w:eastAsia="zh-CN" w:bidi="ar"/>
                    </w:rPr>
                  </w:pPr>
                </w:p>
              </w:tc>
              <w:tc>
                <w:tcPr>
                  <w:tcW w:w="1333" w:type="dxa"/>
                  <w:vMerge w:val="continue"/>
                  <w:noWrap w:val="0"/>
                  <w:vAlign w:val="center"/>
                </w:tcPr>
                <w:p w14:paraId="019387B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Cs w:val="0"/>
                      <w:color w:val="auto"/>
                      <w:kern w:val="0"/>
                      <w:sz w:val="21"/>
                      <w:szCs w:val="21"/>
                      <w:highlight w:val="none"/>
                      <w:vertAlign w:val="baseline"/>
                      <w:lang w:val="en-US" w:eastAsia="zh-CN" w:bidi="ar"/>
                    </w:rPr>
                  </w:pPr>
                </w:p>
              </w:tc>
              <w:tc>
                <w:tcPr>
                  <w:tcW w:w="1183" w:type="dxa"/>
                  <w:vMerge w:val="continue"/>
                  <w:noWrap w:val="0"/>
                  <w:vAlign w:val="center"/>
                </w:tcPr>
                <w:p w14:paraId="2ADB89DA">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Cs w:val="0"/>
                      <w:color w:val="auto"/>
                      <w:kern w:val="0"/>
                      <w:sz w:val="21"/>
                      <w:szCs w:val="21"/>
                      <w:highlight w:val="none"/>
                      <w:vertAlign w:val="baseline"/>
                      <w:lang w:val="en-US" w:eastAsia="zh-CN" w:bidi="ar"/>
                    </w:rPr>
                  </w:pPr>
                </w:p>
              </w:tc>
              <w:tc>
                <w:tcPr>
                  <w:tcW w:w="1083" w:type="dxa"/>
                  <w:noWrap w:val="0"/>
                  <w:vAlign w:val="center"/>
                </w:tcPr>
                <w:p w14:paraId="7DB5ECD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Cs w:val="0"/>
                      <w:color w:val="auto"/>
                      <w:kern w:val="0"/>
                      <w:sz w:val="21"/>
                      <w:szCs w:val="21"/>
                      <w:highlight w:val="none"/>
                      <w:vertAlign w:val="baseline"/>
                      <w:lang w:val="en-US" w:eastAsia="zh-CN" w:bidi="ar"/>
                    </w:rPr>
                  </w:pPr>
                  <w:r>
                    <w:rPr>
                      <w:rFonts w:hint="default" w:ascii="Times New Roman" w:hAnsi="Times New Roman" w:eastAsia="宋体" w:cs="Times New Roman"/>
                      <w:b/>
                      <w:bCs/>
                      <w:iCs w:val="0"/>
                      <w:color w:val="auto"/>
                      <w:kern w:val="0"/>
                      <w:sz w:val="21"/>
                      <w:szCs w:val="21"/>
                      <w:highlight w:val="none"/>
                      <w:vertAlign w:val="baseline"/>
                      <w:lang w:val="en-US" w:eastAsia="zh-CN" w:bidi="ar"/>
                    </w:rPr>
                    <w:t>检测结果</w:t>
                  </w:r>
                </w:p>
              </w:tc>
              <w:tc>
                <w:tcPr>
                  <w:tcW w:w="1067" w:type="dxa"/>
                  <w:noWrap w:val="0"/>
                  <w:vAlign w:val="center"/>
                </w:tcPr>
                <w:p w14:paraId="62C80D3E">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Cs w:val="0"/>
                      <w:color w:val="auto"/>
                      <w:kern w:val="0"/>
                      <w:sz w:val="21"/>
                      <w:szCs w:val="21"/>
                      <w:highlight w:val="none"/>
                      <w:vertAlign w:val="baseline"/>
                      <w:lang w:val="en-US" w:eastAsia="zh-CN" w:bidi="ar"/>
                    </w:rPr>
                  </w:pPr>
                  <w:r>
                    <w:rPr>
                      <w:rFonts w:hint="default" w:ascii="Times New Roman" w:hAnsi="Times New Roman" w:eastAsia="宋体" w:cs="Times New Roman"/>
                      <w:b/>
                      <w:bCs/>
                      <w:iCs w:val="0"/>
                      <w:color w:val="auto"/>
                      <w:kern w:val="0"/>
                      <w:sz w:val="21"/>
                      <w:szCs w:val="21"/>
                      <w:highlight w:val="none"/>
                      <w:vertAlign w:val="baseline"/>
                      <w:lang w:val="en-US" w:eastAsia="zh-CN" w:bidi="ar"/>
                    </w:rPr>
                    <w:t>评价标准</w:t>
                  </w:r>
                </w:p>
              </w:tc>
              <w:tc>
                <w:tcPr>
                  <w:tcW w:w="1213" w:type="dxa"/>
                  <w:noWrap w:val="0"/>
                  <w:vAlign w:val="center"/>
                </w:tcPr>
                <w:p w14:paraId="7506CC0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bCs/>
                      <w:iCs w:val="0"/>
                      <w:color w:val="auto"/>
                      <w:kern w:val="0"/>
                      <w:sz w:val="21"/>
                      <w:szCs w:val="21"/>
                      <w:highlight w:val="none"/>
                      <w:vertAlign w:val="baseline"/>
                      <w:lang w:val="en-US" w:eastAsia="zh-CN" w:bidi="ar"/>
                    </w:rPr>
                  </w:pPr>
                  <w:r>
                    <w:rPr>
                      <w:rFonts w:hint="default" w:ascii="Times New Roman" w:hAnsi="Times New Roman" w:eastAsia="宋体" w:cs="Times New Roman"/>
                      <w:b/>
                      <w:bCs/>
                      <w:iCs w:val="0"/>
                      <w:color w:val="auto"/>
                      <w:kern w:val="0"/>
                      <w:sz w:val="21"/>
                      <w:szCs w:val="21"/>
                      <w:highlight w:val="none"/>
                      <w:vertAlign w:val="baseline"/>
                      <w:lang w:val="en-US" w:eastAsia="zh-CN" w:bidi="ar"/>
                    </w:rPr>
                    <w:t>是否达标</w:t>
                  </w:r>
                </w:p>
              </w:tc>
            </w:tr>
            <w:tr w14:paraId="452259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817" w:type="dxa"/>
                  <w:vMerge w:val="restart"/>
                  <w:noWrap w:val="0"/>
                  <w:vAlign w:val="center"/>
                </w:tcPr>
                <w:p w14:paraId="1746FCD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i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auto"/>
                      <w:sz w:val="21"/>
                      <w:szCs w:val="21"/>
                      <w:highlight w:val="none"/>
                    </w:rPr>
                    <w:t>修复场地内下风向（A1）</w:t>
                  </w:r>
                </w:p>
              </w:tc>
              <w:tc>
                <w:tcPr>
                  <w:tcW w:w="1367" w:type="dxa"/>
                  <w:noWrap w:val="0"/>
                  <w:vAlign w:val="center"/>
                </w:tcPr>
                <w:p w14:paraId="726230E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000000"/>
                      <w:sz w:val="21"/>
                      <w:szCs w:val="21"/>
                      <w:vertAlign w:val="baseline"/>
                      <w:lang w:val="en-US" w:eastAsia="zh-CN"/>
                    </w:rPr>
                    <w:t>2025.07.19-07.20</w:t>
                  </w:r>
                </w:p>
              </w:tc>
              <w:tc>
                <w:tcPr>
                  <w:tcW w:w="1333" w:type="dxa"/>
                  <w:noWrap w:val="0"/>
                  <w:vAlign w:val="center"/>
                </w:tcPr>
                <w:p w14:paraId="2208F64F">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08:00~次日08:00</w:t>
                  </w:r>
                </w:p>
              </w:tc>
              <w:tc>
                <w:tcPr>
                  <w:tcW w:w="1183" w:type="dxa"/>
                  <w:noWrap w:val="0"/>
                  <w:vAlign w:val="center"/>
                </w:tcPr>
                <w:p w14:paraId="5867855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000000"/>
                      <w:sz w:val="21"/>
                      <w:szCs w:val="21"/>
                      <w:vertAlign w:val="baseline"/>
                      <w:lang w:val="en-US" w:eastAsia="zh-CN"/>
                    </w:rPr>
                    <w:t>W25071707HQ-1-1-1</w:t>
                  </w:r>
                </w:p>
              </w:tc>
              <w:tc>
                <w:tcPr>
                  <w:tcW w:w="1083" w:type="dxa"/>
                  <w:noWrap w:val="0"/>
                  <w:vAlign w:val="center"/>
                </w:tcPr>
                <w:p w14:paraId="7E4F5C9B">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Cs w:val="0"/>
                      <w:color w:val="auto"/>
                      <w:kern w:val="2"/>
                      <w:sz w:val="21"/>
                      <w:szCs w:val="21"/>
                      <w:highlight w:val="none"/>
                      <w:vertAlign w:val="baseline"/>
                      <w:lang w:val="en-US" w:eastAsia="zh-CN" w:bidi="ar"/>
                    </w:rPr>
                  </w:pPr>
                  <w:r>
                    <w:rPr>
                      <w:rFonts w:hint="default" w:ascii="Times New Roman" w:hAnsi="Times New Roman" w:eastAsia="宋体" w:cs="Times New Roman"/>
                      <w:b w:val="0"/>
                      <w:bCs w:val="0"/>
                      <w:color w:val="000000"/>
                      <w:sz w:val="21"/>
                      <w:szCs w:val="21"/>
                      <w:vertAlign w:val="baseline"/>
                      <w:lang w:val="en-US" w:eastAsia="zh-CN"/>
                    </w:rPr>
                    <w:t>79</w:t>
                  </w:r>
                </w:p>
              </w:tc>
              <w:tc>
                <w:tcPr>
                  <w:tcW w:w="1067" w:type="dxa"/>
                  <w:noWrap w:val="0"/>
                  <w:vAlign w:val="center"/>
                </w:tcPr>
                <w:p w14:paraId="04319275">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iCs w:val="0"/>
                      <w:color w:val="auto"/>
                      <w:kern w:val="0"/>
                      <w:sz w:val="21"/>
                      <w:szCs w:val="21"/>
                      <w:highlight w:val="none"/>
                      <w:vertAlign w:val="baseline"/>
                      <w:lang w:val="en-US" w:eastAsia="zh-CN" w:bidi="ar"/>
                    </w:rPr>
                  </w:pPr>
                  <w:r>
                    <w:rPr>
                      <w:rFonts w:hint="eastAsia" w:cs="Times New Roman"/>
                      <w:b w:val="0"/>
                      <w:bCs w:val="0"/>
                      <w:iCs w:val="0"/>
                      <w:color w:val="auto"/>
                      <w:kern w:val="2"/>
                      <w:sz w:val="21"/>
                      <w:szCs w:val="21"/>
                      <w:highlight w:val="none"/>
                      <w:vertAlign w:val="baseline"/>
                      <w:lang w:val="en-US" w:eastAsia="zh-CN" w:bidi="ar"/>
                    </w:rPr>
                    <w:t>300</w:t>
                  </w:r>
                </w:p>
              </w:tc>
              <w:tc>
                <w:tcPr>
                  <w:tcW w:w="1213" w:type="dxa"/>
                  <w:noWrap w:val="0"/>
                  <w:vAlign w:val="center"/>
                </w:tcPr>
                <w:p w14:paraId="096FE048">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i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iCs w:val="0"/>
                      <w:color w:val="auto"/>
                      <w:kern w:val="0"/>
                      <w:sz w:val="21"/>
                      <w:szCs w:val="21"/>
                      <w:highlight w:val="none"/>
                      <w:vertAlign w:val="baseline"/>
                      <w:lang w:val="en-US" w:eastAsia="zh-CN" w:bidi="ar"/>
                    </w:rPr>
                    <w:t>达标</w:t>
                  </w:r>
                </w:p>
              </w:tc>
            </w:tr>
            <w:tr w14:paraId="1841C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trPr>
              <w:tc>
                <w:tcPr>
                  <w:tcW w:w="817" w:type="dxa"/>
                  <w:vMerge w:val="continue"/>
                  <w:noWrap w:val="0"/>
                  <w:vAlign w:val="center"/>
                </w:tcPr>
                <w:p w14:paraId="2FD08029">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iCs w:val="0"/>
                      <w:color w:val="auto"/>
                      <w:kern w:val="0"/>
                      <w:sz w:val="21"/>
                      <w:szCs w:val="21"/>
                      <w:highlight w:val="none"/>
                      <w:vertAlign w:val="baseline"/>
                      <w:lang w:val="en-US" w:eastAsia="zh-CN" w:bidi="ar"/>
                    </w:rPr>
                  </w:pPr>
                </w:p>
              </w:tc>
              <w:tc>
                <w:tcPr>
                  <w:tcW w:w="1367" w:type="dxa"/>
                  <w:noWrap w:val="0"/>
                  <w:vAlign w:val="center"/>
                </w:tcPr>
                <w:p w14:paraId="6051E052">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000000"/>
                      <w:sz w:val="21"/>
                      <w:szCs w:val="21"/>
                      <w:vertAlign w:val="baseline"/>
                      <w:lang w:val="en-US" w:eastAsia="zh-CN"/>
                    </w:rPr>
                    <w:t>2025.07.20-07.21</w:t>
                  </w:r>
                </w:p>
              </w:tc>
              <w:tc>
                <w:tcPr>
                  <w:tcW w:w="1333" w:type="dxa"/>
                  <w:noWrap w:val="0"/>
                  <w:vAlign w:val="center"/>
                </w:tcPr>
                <w:p w14:paraId="49E0FEA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08:05~次日08:05</w:t>
                  </w:r>
                </w:p>
              </w:tc>
              <w:tc>
                <w:tcPr>
                  <w:tcW w:w="1183" w:type="dxa"/>
                  <w:noWrap w:val="0"/>
                  <w:vAlign w:val="center"/>
                </w:tcPr>
                <w:p w14:paraId="7E71E9F1">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000000"/>
                      <w:sz w:val="21"/>
                      <w:szCs w:val="21"/>
                      <w:vertAlign w:val="baseline"/>
                      <w:lang w:val="en-US" w:eastAsia="zh-CN"/>
                    </w:rPr>
                    <w:t>W25071707HQ-1-2-1</w:t>
                  </w:r>
                </w:p>
              </w:tc>
              <w:tc>
                <w:tcPr>
                  <w:tcW w:w="1083" w:type="dxa"/>
                  <w:noWrap w:val="0"/>
                  <w:vAlign w:val="center"/>
                </w:tcPr>
                <w:p w14:paraId="6078662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Cs w:val="0"/>
                      <w:color w:val="auto"/>
                      <w:kern w:val="2"/>
                      <w:sz w:val="21"/>
                      <w:szCs w:val="21"/>
                      <w:highlight w:val="none"/>
                      <w:vertAlign w:val="baseline"/>
                      <w:lang w:val="en-US" w:eastAsia="zh-CN" w:bidi="ar"/>
                    </w:rPr>
                  </w:pPr>
                  <w:r>
                    <w:rPr>
                      <w:rFonts w:hint="default" w:ascii="Times New Roman" w:hAnsi="Times New Roman" w:eastAsia="宋体" w:cs="Times New Roman"/>
                      <w:b w:val="0"/>
                      <w:bCs w:val="0"/>
                      <w:color w:val="000000"/>
                      <w:sz w:val="21"/>
                      <w:szCs w:val="21"/>
                      <w:vertAlign w:val="baseline"/>
                      <w:lang w:val="en-US" w:eastAsia="zh-CN"/>
                    </w:rPr>
                    <w:t>76</w:t>
                  </w:r>
                </w:p>
              </w:tc>
              <w:tc>
                <w:tcPr>
                  <w:tcW w:w="1067" w:type="dxa"/>
                  <w:noWrap w:val="0"/>
                  <w:vAlign w:val="center"/>
                </w:tcPr>
                <w:p w14:paraId="0B91472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iCs w:val="0"/>
                      <w:color w:val="auto"/>
                      <w:kern w:val="2"/>
                      <w:sz w:val="21"/>
                      <w:szCs w:val="21"/>
                      <w:highlight w:val="none"/>
                      <w:vertAlign w:val="baseline"/>
                      <w:lang w:val="en-US" w:eastAsia="zh-CN" w:bidi="ar"/>
                    </w:rPr>
                  </w:pPr>
                  <w:r>
                    <w:rPr>
                      <w:rFonts w:hint="eastAsia" w:cs="Times New Roman"/>
                      <w:b w:val="0"/>
                      <w:bCs w:val="0"/>
                      <w:iCs w:val="0"/>
                      <w:color w:val="auto"/>
                      <w:kern w:val="2"/>
                      <w:sz w:val="21"/>
                      <w:szCs w:val="21"/>
                      <w:highlight w:val="none"/>
                      <w:vertAlign w:val="baseline"/>
                      <w:lang w:val="en-US" w:eastAsia="zh-CN" w:bidi="ar"/>
                    </w:rPr>
                    <w:t>300</w:t>
                  </w:r>
                </w:p>
              </w:tc>
              <w:tc>
                <w:tcPr>
                  <w:tcW w:w="1213" w:type="dxa"/>
                  <w:noWrap w:val="0"/>
                  <w:vAlign w:val="center"/>
                </w:tcPr>
                <w:p w14:paraId="6F975EF0">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iCs w:val="0"/>
                      <w:color w:val="auto"/>
                      <w:kern w:val="2"/>
                      <w:sz w:val="21"/>
                      <w:szCs w:val="21"/>
                      <w:highlight w:val="none"/>
                      <w:vertAlign w:val="baseline"/>
                      <w:lang w:val="en-US" w:eastAsia="zh-CN" w:bidi="ar"/>
                    </w:rPr>
                  </w:pPr>
                  <w:r>
                    <w:rPr>
                      <w:rFonts w:hint="default" w:ascii="Times New Roman" w:hAnsi="Times New Roman" w:eastAsia="宋体" w:cs="Times New Roman"/>
                      <w:b w:val="0"/>
                      <w:bCs w:val="0"/>
                      <w:iCs w:val="0"/>
                      <w:color w:val="auto"/>
                      <w:kern w:val="2"/>
                      <w:sz w:val="21"/>
                      <w:szCs w:val="21"/>
                      <w:highlight w:val="none"/>
                      <w:vertAlign w:val="baseline"/>
                      <w:lang w:val="en-US" w:eastAsia="zh-CN" w:bidi="ar"/>
                    </w:rPr>
                    <w:t>达标</w:t>
                  </w:r>
                </w:p>
              </w:tc>
            </w:tr>
            <w:tr w14:paraId="6147B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1" w:hRule="atLeast"/>
              </w:trPr>
              <w:tc>
                <w:tcPr>
                  <w:tcW w:w="817" w:type="dxa"/>
                  <w:vMerge w:val="continue"/>
                  <w:noWrap w:val="0"/>
                  <w:vAlign w:val="center"/>
                </w:tcPr>
                <w:p w14:paraId="14ACDC0F">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iCs w:val="0"/>
                      <w:color w:val="auto"/>
                      <w:kern w:val="0"/>
                      <w:sz w:val="21"/>
                      <w:szCs w:val="21"/>
                      <w:highlight w:val="none"/>
                      <w:vertAlign w:val="baseline"/>
                      <w:lang w:val="en-US" w:eastAsia="zh-CN" w:bidi="ar"/>
                    </w:rPr>
                  </w:pPr>
                </w:p>
              </w:tc>
              <w:tc>
                <w:tcPr>
                  <w:tcW w:w="1367" w:type="dxa"/>
                  <w:noWrap w:val="0"/>
                  <w:vAlign w:val="center"/>
                </w:tcPr>
                <w:p w14:paraId="199E656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000000"/>
                      <w:sz w:val="21"/>
                      <w:szCs w:val="21"/>
                      <w:vertAlign w:val="baseline"/>
                      <w:lang w:val="en-US" w:eastAsia="zh-CN"/>
                    </w:rPr>
                    <w:t>2025.07.21-07.22</w:t>
                  </w:r>
                </w:p>
              </w:tc>
              <w:tc>
                <w:tcPr>
                  <w:tcW w:w="1333" w:type="dxa"/>
                  <w:noWrap w:val="0"/>
                  <w:vAlign w:val="center"/>
                </w:tcPr>
                <w:p w14:paraId="0267F463">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i w:val="0"/>
                      <w:iCs w:val="0"/>
                      <w:color w:val="000000"/>
                      <w:kern w:val="0"/>
                      <w:sz w:val="21"/>
                      <w:szCs w:val="21"/>
                      <w:u w:val="none"/>
                      <w:lang w:val="en-US" w:eastAsia="zh-CN" w:bidi="ar"/>
                    </w:rPr>
                    <w:t>08:10~次日08:10</w:t>
                  </w:r>
                </w:p>
              </w:tc>
              <w:tc>
                <w:tcPr>
                  <w:tcW w:w="1183" w:type="dxa"/>
                  <w:noWrap w:val="0"/>
                  <w:vAlign w:val="center"/>
                </w:tcPr>
                <w:p w14:paraId="688030B4">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color w:val="000000"/>
                      <w:sz w:val="21"/>
                      <w:szCs w:val="21"/>
                      <w:vertAlign w:val="baseline"/>
                      <w:lang w:val="en-US" w:eastAsia="zh-CN"/>
                    </w:rPr>
                    <w:t>W25071707HQ-1-3-1</w:t>
                  </w:r>
                </w:p>
              </w:tc>
              <w:tc>
                <w:tcPr>
                  <w:tcW w:w="1083" w:type="dxa"/>
                  <w:noWrap w:val="0"/>
                  <w:vAlign w:val="center"/>
                </w:tcPr>
                <w:p w14:paraId="377F2CCC">
                  <w:pPr>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center"/>
                    <w:rPr>
                      <w:rFonts w:hint="default" w:ascii="Times New Roman" w:hAnsi="Times New Roman" w:eastAsia="宋体" w:cs="Times New Roman"/>
                      <w:b w:val="0"/>
                      <w:bCs w:val="0"/>
                      <w:iCs w:val="0"/>
                      <w:color w:val="auto"/>
                      <w:kern w:val="2"/>
                      <w:sz w:val="21"/>
                      <w:szCs w:val="21"/>
                      <w:highlight w:val="none"/>
                      <w:vertAlign w:val="baseline"/>
                      <w:lang w:val="en-US" w:eastAsia="zh-CN" w:bidi="ar"/>
                    </w:rPr>
                  </w:pPr>
                  <w:r>
                    <w:rPr>
                      <w:rFonts w:hint="default" w:ascii="Times New Roman" w:hAnsi="Times New Roman" w:eastAsia="宋体" w:cs="Times New Roman"/>
                      <w:b w:val="0"/>
                      <w:bCs w:val="0"/>
                      <w:color w:val="000000"/>
                      <w:sz w:val="21"/>
                      <w:szCs w:val="21"/>
                      <w:vertAlign w:val="baseline"/>
                      <w:lang w:val="en-US" w:eastAsia="zh-CN"/>
                    </w:rPr>
                    <w:t>77</w:t>
                  </w:r>
                </w:p>
              </w:tc>
              <w:tc>
                <w:tcPr>
                  <w:tcW w:w="1067" w:type="dxa"/>
                  <w:noWrap w:val="0"/>
                  <w:vAlign w:val="center"/>
                </w:tcPr>
                <w:p w14:paraId="5F586613">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iCs w:val="0"/>
                      <w:color w:val="auto"/>
                      <w:kern w:val="2"/>
                      <w:sz w:val="21"/>
                      <w:szCs w:val="21"/>
                      <w:highlight w:val="none"/>
                      <w:vertAlign w:val="baseline"/>
                      <w:lang w:val="en-US" w:eastAsia="zh-CN" w:bidi="ar"/>
                    </w:rPr>
                  </w:pPr>
                  <w:r>
                    <w:rPr>
                      <w:rFonts w:hint="eastAsia" w:cs="Times New Roman"/>
                      <w:b w:val="0"/>
                      <w:bCs w:val="0"/>
                      <w:iCs w:val="0"/>
                      <w:color w:val="auto"/>
                      <w:kern w:val="2"/>
                      <w:sz w:val="21"/>
                      <w:szCs w:val="21"/>
                      <w:highlight w:val="none"/>
                      <w:vertAlign w:val="baseline"/>
                      <w:lang w:val="en-US" w:eastAsia="zh-CN" w:bidi="ar"/>
                    </w:rPr>
                    <w:t>300</w:t>
                  </w:r>
                </w:p>
              </w:tc>
              <w:tc>
                <w:tcPr>
                  <w:tcW w:w="1213" w:type="dxa"/>
                  <w:noWrap w:val="0"/>
                  <w:vAlign w:val="center"/>
                </w:tcPr>
                <w:p w14:paraId="4B416D11">
                  <w:pPr>
                    <w:keepNext w:val="0"/>
                    <w:keepLines w:val="0"/>
                    <w:pageBreakBefore w:val="0"/>
                    <w:kinsoku/>
                    <w:wordWrap/>
                    <w:overflowPunct/>
                    <w:topLinePunct w:val="0"/>
                    <w:autoSpaceDE/>
                    <w:autoSpaceDN/>
                    <w:bidi w:val="0"/>
                    <w:adjustRightInd/>
                    <w:snapToGrid/>
                    <w:spacing w:line="240" w:lineRule="auto"/>
                    <w:ind w:firstLine="0" w:firstLineChars="0"/>
                    <w:jc w:val="center"/>
                    <w:rPr>
                      <w:rFonts w:hint="default" w:ascii="Times New Roman" w:hAnsi="Times New Roman" w:eastAsia="宋体" w:cs="Times New Roman"/>
                      <w:b w:val="0"/>
                      <w:bCs w:val="0"/>
                      <w:iCs w:val="0"/>
                      <w:color w:val="auto"/>
                      <w:kern w:val="2"/>
                      <w:sz w:val="21"/>
                      <w:szCs w:val="21"/>
                      <w:highlight w:val="none"/>
                      <w:vertAlign w:val="baseline"/>
                      <w:lang w:val="en-US" w:eastAsia="zh-CN" w:bidi="ar"/>
                    </w:rPr>
                  </w:pPr>
                  <w:r>
                    <w:rPr>
                      <w:rFonts w:hint="default" w:ascii="Times New Roman" w:hAnsi="Times New Roman" w:eastAsia="宋体" w:cs="Times New Roman"/>
                      <w:b w:val="0"/>
                      <w:bCs w:val="0"/>
                      <w:iCs w:val="0"/>
                      <w:color w:val="auto"/>
                      <w:kern w:val="2"/>
                      <w:sz w:val="21"/>
                      <w:szCs w:val="21"/>
                      <w:highlight w:val="none"/>
                      <w:vertAlign w:val="baseline"/>
                      <w:lang w:val="en-US" w:eastAsia="zh-CN" w:bidi="ar"/>
                    </w:rPr>
                    <w:t>达标</w:t>
                  </w:r>
                </w:p>
              </w:tc>
            </w:tr>
          </w:tbl>
          <w:p w14:paraId="60A89666">
            <w:pPr>
              <w:ind w:firstLine="480"/>
              <w:rPr>
                <w:rFonts w:hint="default" w:ascii="Times New Roman" w:hAnsi="Times New Roman" w:eastAsia="宋体" w:cs="Times New Roman"/>
                <w:bCs w:val="0"/>
                <w:iCs w:val="0"/>
                <w:color w:val="auto"/>
                <w:kern w:val="0"/>
                <w:sz w:val="24"/>
                <w:szCs w:val="24"/>
                <w:highlight w:val="none"/>
                <w:lang w:val="en-US" w:eastAsia="zh-CN" w:bidi="ar"/>
              </w:rPr>
            </w:pPr>
            <w:r>
              <w:rPr>
                <w:rFonts w:hint="eastAsia" w:ascii="Times New Roman" w:hAnsi="Times New Roman" w:eastAsia="宋体" w:cs="Times New Roman"/>
                <w:bCs w:val="0"/>
                <w:iCs w:val="0"/>
                <w:color w:val="auto"/>
                <w:kern w:val="0"/>
                <w:sz w:val="24"/>
                <w:szCs w:val="24"/>
                <w:highlight w:val="none"/>
                <w:lang w:val="en-US" w:eastAsia="zh-CN" w:bidi="ar"/>
              </w:rPr>
              <w:t>5）结论</w:t>
            </w:r>
          </w:p>
          <w:p w14:paraId="3F5D1ABC">
            <w:pPr>
              <w:pStyle w:val="23"/>
              <w:rPr>
                <w:rFonts w:hint="default" w:ascii="Times New Roman" w:hAnsi="Times New Roman" w:eastAsia="宋体" w:cs="Times New Roman"/>
                <w:bCs w:val="0"/>
                <w:iCs w:val="0"/>
                <w:color w:val="auto"/>
                <w:kern w:val="0"/>
                <w:sz w:val="24"/>
                <w:szCs w:val="24"/>
                <w:highlight w:val="none"/>
                <w:lang w:val="en-US" w:eastAsia="zh-CN" w:bidi="ar"/>
              </w:rPr>
            </w:pPr>
            <w:r>
              <w:rPr>
                <w:rFonts w:hint="eastAsia" w:ascii="Times New Roman" w:hAnsi="Times New Roman" w:eastAsia="宋体" w:cs="Times New Roman"/>
                <w:bCs w:val="0"/>
                <w:iCs w:val="0"/>
                <w:color w:val="auto"/>
                <w:kern w:val="0"/>
                <w:sz w:val="24"/>
                <w:szCs w:val="24"/>
                <w:highlight w:val="none"/>
                <w:lang w:val="en-US" w:eastAsia="zh-CN" w:bidi="ar"/>
              </w:rPr>
              <w:t>根据检测结果可知：项目生态修复区周边环境空气质量</w:t>
            </w:r>
            <w:r>
              <w:rPr>
                <w:rFonts w:hint="eastAsia" w:cs="Times New Roman"/>
                <w:bCs w:val="0"/>
                <w:iCs w:val="0"/>
                <w:color w:val="auto"/>
                <w:kern w:val="0"/>
                <w:sz w:val="24"/>
                <w:szCs w:val="24"/>
                <w:highlight w:val="none"/>
                <w:lang w:val="en-US" w:eastAsia="zh-CN" w:bidi="ar"/>
              </w:rPr>
              <w:t>TSP</w:t>
            </w:r>
            <w:r>
              <w:rPr>
                <w:rFonts w:hint="eastAsia" w:ascii="Times New Roman" w:hAnsi="Times New Roman" w:eastAsia="宋体" w:cs="Times New Roman"/>
                <w:bCs w:val="0"/>
                <w:iCs w:val="0"/>
                <w:color w:val="auto"/>
                <w:kern w:val="0"/>
                <w:sz w:val="24"/>
                <w:szCs w:val="24"/>
                <w:highlight w:val="none"/>
                <w:lang w:val="en-US" w:eastAsia="zh-CN" w:bidi="ar"/>
              </w:rPr>
              <w:t>满足</w:t>
            </w:r>
            <w:r>
              <w:rPr>
                <w:rFonts w:hint="default" w:ascii="Times New Roman" w:hAnsi="Times New Roman" w:eastAsia="宋体" w:cs="Times New Roman"/>
                <w:bCs w:val="0"/>
                <w:iCs w:val="0"/>
                <w:color w:val="auto"/>
                <w:kern w:val="0"/>
                <w:sz w:val="24"/>
                <w:szCs w:val="24"/>
                <w:highlight w:val="none"/>
                <w:lang w:val="en-US" w:eastAsia="zh-CN" w:bidi="ar"/>
              </w:rPr>
              <w:t>《环境空气质量标准》</w:t>
            </w:r>
            <w:r>
              <w:rPr>
                <w:rFonts w:hint="eastAsia" w:ascii="Times New Roman" w:hAnsi="Times New Roman" w:eastAsia="宋体" w:cs="Times New Roman"/>
                <w:bCs w:val="0"/>
                <w:iCs w:val="0"/>
                <w:color w:val="auto"/>
                <w:kern w:val="0"/>
                <w:sz w:val="24"/>
                <w:szCs w:val="24"/>
                <w:highlight w:val="none"/>
                <w:lang w:val="en-US" w:eastAsia="zh-CN" w:bidi="ar"/>
              </w:rPr>
              <w:t>（</w:t>
            </w:r>
            <w:r>
              <w:rPr>
                <w:rFonts w:hint="default" w:ascii="Times New Roman" w:hAnsi="Times New Roman" w:eastAsia="宋体" w:cs="Times New Roman"/>
                <w:bCs w:val="0"/>
                <w:iCs w:val="0"/>
                <w:color w:val="auto"/>
                <w:kern w:val="0"/>
                <w:sz w:val="24"/>
                <w:szCs w:val="24"/>
                <w:highlight w:val="none"/>
                <w:lang w:val="en-US" w:eastAsia="zh-CN" w:bidi="ar"/>
              </w:rPr>
              <w:t>GB3095-2012</w:t>
            </w:r>
            <w:r>
              <w:rPr>
                <w:rFonts w:hint="eastAsia" w:ascii="Times New Roman" w:hAnsi="Times New Roman" w:eastAsia="宋体" w:cs="Times New Roman"/>
                <w:bCs w:val="0"/>
                <w:iCs w:val="0"/>
                <w:color w:val="auto"/>
                <w:kern w:val="0"/>
                <w:sz w:val="24"/>
                <w:szCs w:val="24"/>
                <w:highlight w:val="none"/>
                <w:lang w:val="en-US" w:eastAsia="zh-CN" w:bidi="ar"/>
              </w:rPr>
              <w:t>）</w:t>
            </w:r>
            <w:r>
              <w:rPr>
                <w:rFonts w:hint="default" w:ascii="Times New Roman" w:hAnsi="Times New Roman" w:eastAsia="宋体" w:cs="Times New Roman"/>
                <w:bCs w:val="0"/>
                <w:iCs w:val="0"/>
                <w:color w:val="auto"/>
                <w:kern w:val="0"/>
                <w:sz w:val="24"/>
                <w:szCs w:val="24"/>
                <w:highlight w:val="none"/>
                <w:lang w:val="en-US" w:eastAsia="zh-CN" w:bidi="ar"/>
              </w:rPr>
              <w:t>二级标准限值要求</w:t>
            </w:r>
            <w:r>
              <w:rPr>
                <w:rFonts w:hint="eastAsia" w:ascii="Times New Roman" w:hAnsi="Times New Roman" w:eastAsia="宋体" w:cs="Times New Roman"/>
                <w:bCs w:val="0"/>
                <w:iCs w:val="0"/>
                <w:color w:val="auto"/>
                <w:kern w:val="0"/>
                <w:sz w:val="24"/>
                <w:szCs w:val="24"/>
                <w:highlight w:val="none"/>
                <w:lang w:val="en-US" w:eastAsia="zh-CN" w:bidi="ar"/>
              </w:rPr>
              <w:t>。</w:t>
            </w:r>
          </w:p>
          <w:p w14:paraId="59B0BDBB">
            <w:pPr>
              <w:widowControl/>
              <w:ind w:firstLine="482"/>
              <w:jc w:val="left"/>
              <w:rPr>
                <w:b/>
                <w:bCs/>
                <w:kern w:val="0"/>
                <w:lang w:bidi="ar"/>
              </w:rPr>
            </w:pPr>
            <w:r>
              <w:rPr>
                <w:rFonts w:hint="eastAsia"/>
                <w:b/>
                <w:bCs/>
                <w:kern w:val="0"/>
                <w:lang w:bidi="ar"/>
              </w:rPr>
              <w:t>7、土壤环境</w:t>
            </w:r>
          </w:p>
          <w:p w14:paraId="0B9CB4D4">
            <w:pPr>
              <w:ind w:firstLine="480"/>
              <w:rPr>
                <w:rFonts w:hint="eastAsia" w:ascii="Times New Roman" w:hAnsi="Times New Roman" w:eastAsia="宋体" w:cs="Times New Roman"/>
                <w:i w:val="0"/>
                <w:iCs w:val="0"/>
                <w:color w:val="auto"/>
                <w:kern w:val="0"/>
                <w:sz w:val="24"/>
                <w:szCs w:val="24"/>
                <w:highlight w:val="none"/>
                <w:lang w:val="en-US" w:eastAsia="zh-CN" w:bidi="ar"/>
              </w:rPr>
            </w:pPr>
            <w:r>
              <w:rPr>
                <w:rFonts w:hint="eastAsia" w:ascii="Times New Roman" w:hAnsi="Times New Roman" w:eastAsia="宋体" w:cs="Times New Roman"/>
                <w:bCs w:val="0"/>
                <w:iCs w:val="0"/>
                <w:color w:val="auto"/>
                <w:kern w:val="0"/>
                <w:sz w:val="24"/>
                <w:szCs w:val="24"/>
                <w:highlight w:val="none"/>
                <w:lang w:val="en-US" w:eastAsia="zh-CN" w:bidi="ar"/>
              </w:rPr>
              <w:t>项目位于云南省昆明市</w:t>
            </w:r>
            <w:r>
              <w:rPr>
                <w:rFonts w:hint="eastAsia" w:ascii="Times New Roman" w:hAnsi="Times New Roman" w:eastAsia="宋体" w:cs="Times New Roman"/>
                <w:color w:val="auto"/>
                <w:kern w:val="0"/>
                <w:sz w:val="24"/>
                <w:szCs w:val="24"/>
                <w:highlight w:val="none"/>
                <w:lang w:val="en-US" w:eastAsia="zh-CN" w:bidi="ar"/>
              </w:rPr>
              <w:t>寻甸县鸡街镇古城新石桥村大旋塘采石场</w:t>
            </w:r>
            <w:r>
              <w:rPr>
                <w:rFonts w:hint="eastAsia" w:ascii="Times New Roman" w:hAnsi="Times New Roman" w:eastAsia="宋体" w:cs="Times New Roman"/>
                <w:bCs w:val="0"/>
                <w:iCs w:val="0"/>
                <w:color w:val="auto"/>
                <w:kern w:val="0"/>
                <w:sz w:val="24"/>
                <w:szCs w:val="24"/>
                <w:highlight w:val="none"/>
                <w:lang w:val="en-US" w:eastAsia="zh-CN" w:bidi="ar"/>
              </w:rPr>
              <w:t>，</w:t>
            </w:r>
            <w:r>
              <w:rPr>
                <w:rFonts w:hint="eastAsia" w:ascii="Times New Roman" w:hAnsi="Times New Roman" w:eastAsia="宋体" w:cs="Times New Roman"/>
                <w:i w:val="0"/>
                <w:iCs w:val="0"/>
                <w:color w:val="auto"/>
                <w:kern w:val="0"/>
                <w:sz w:val="24"/>
                <w:szCs w:val="24"/>
                <w:highlight w:val="none"/>
                <w:lang w:val="en-US" w:eastAsia="zh-CN" w:bidi="ar"/>
              </w:rPr>
              <w:t>为了解项目土壤环境质量现状，委托云南普域环境科技有限公司于202</w:t>
            </w:r>
            <w:r>
              <w:rPr>
                <w:rFonts w:hint="eastAsia" w:cs="Times New Roman"/>
                <w:i w:val="0"/>
                <w:iCs w:val="0"/>
                <w:color w:val="auto"/>
                <w:kern w:val="0"/>
                <w:sz w:val="24"/>
                <w:szCs w:val="24"/>
                <w:highlight w:val="none"/>
                <w:lang w:val="en-US" w:eastAsia="zh-CN" w:bidi="ar"/>
              </w:rPr>
              <w:t>5</w:t>
            </w:r>
            <w:r>
              <w:rPr>
                <w:rFonts w:hint="eastAsia" w:ascii="Times New Roman" w:hAnsi="Times New Roman" w:eastAsia="宋体" w:cs="Times New Roman"/>
                <w:i w:val="0"/>
                <w:iCs w:val="0"/>
                <w:color w:val="auto"/>
                <w:kern w:val="0"/>
                <w:sz w:val="24"/>
                <w:szCs w:val="24"/>
                <w:highlight w:val="none"/>
                <w:lang w:val="en-US" w:eastAsia="zh-CN" w:bidi="ar"/>
              </w:rPr>
              <w:t>年</w:t>
            </w:r>
            <w:r>
              <w:rPr>
                <w:rFonts w:hint="eastAsia" w:cs="Times New Roman"/>
                <w:i w:val="0"/>
                <w:iCs w:val="0"/>
                <w:color w:val="auto"/>
                <w:kern w:val="0"/>
                <w:sz w:val="24"/>
                <w:szCs w:val="24"/>
                <w:highlight w:val="none"/>
                <w:lang w:val="en-US" w:eastAsia="zh-CN" w:bidi="ar"/>
              </w:rPr>
              <w:t>7</w:t>
            </w:r>
            <w:r>
              <w:rPr>
                <w:rFonts w:hint="eastAsia" w:ascii="Times New Roman" w:hAnsi="Times New Roman" w:eastAsia="宋体" w:cs="Times New Roman"/>
                <w:i w:val="0"/>
                <w:iCs w:val="0"/>
                <w:color w:val="auto"/>
                <w:kern w:val="0"/>
                <w:sz w:val="24"/>
                <w:szCs w:val="24"/>
                <w:highlight w:val="none"/>
                <w:lang w:val="en-US" w:eastAsia="zh-CN" w:bidi="ar"/>
              </w:rPr>
              <w:t>月</w:t>
            </w:r>
            <w:r>
              <w:rPr>
                <w:rFonts w:hint="eastAsia" w:cs="Times New Roman"/>
                <w:i w:val="0"/>
                <w:iCs w:val="0"/>
                <w:color w:val="auto"/>
                <w:kern w:val="0"/>
                <w:sz w:val="24"/>
                <w:szCs w:val="24"/>
                <w:highlight w:val="none"/>
                <w:lang w:val="en-US" w:eastAsia="zh-CN" w:bidi="ar"/>
              </w:rPr>
              <w:t>19</w:t>
            </w:r>
            <w:r>
              <w:rPr>
                <w:rFonts w:hint="eastAsia" w:ascii="Times New Roman" w:hAnsi="Times New Roman" w:eastAsia="宋体" w:cs="Times New Roman"/>
                <w:i w:val="0"/>
                <w:iCs w:val="0"/>
                <w:color w:val="auto"/>
                <w:kern w:val="0"/>
                <w:sz w:val="24"/>
                <w:szCs w:val="24"/>
                <w:highlight w:val="none"/>
                <w:lang w:val="en-US" w:eastAsia="zh-CN" w:bidi="ar"/>
              </w:rPr>
              <w:t>日对修复区域土壤环境质量现状进行监测。</w:t>
            </w:r>
          </w:p>
          <w:p w14:paraId="39DBBBAF">
            <w:pPr>
              <w:numPr>
                <w:ilvl w:val="0"/>
                <w:numId w:val="0"/>
              </w:numPr>
              <w:ind w:firstLine="480"/>
              <w:rPr>
                <w:rFonts w:hint="eastAsia" w:ascii="Times New Roman" w:hAnsi="Times New Roman" w:eastAsia="宋体" w:cs="Times New Roman"/>
                <w:i w:val="0"/>
                <w:iCs w:val="0"/>
                <w:color w:val="auto"/>
                <w:kern w:val="0"/>
                <w:sz w:val="24"/>
                <w:szCs w:val="24"/>
                <w:highlight w:val="none"/>
                <w:lang w:val="en-US" w:eastAsia="zh-CN" w:bidi="ar"/>
              </w:rPr>
            </w:pPr>
            <w:r>
              <w:rPr>
                <w:rFonts w:hint="eastAsia" w:ascii="Times New Roman" w:hAnsi="Times New Roman" w:eastAsia="宋体" w:cs="Times New Roman"/>
                <w:i w:val="0"/>
                <w:iCs w:val="0"/>
                <w:color w:val="auto"/>
                <w:kern w:val="0"/>
                <w:sz w:val="24"/>
                <w:szCs w:val="24"/>
                <w:lang w:val="en-US" w:eastAsia="zh-CN" w:bidi="ar"/>
              </w:rPr>
              <w:t>1）</w:t>
            </w:r>
            <w:r>
              <w:rPr>
                <w:rFonts w:hint="eastAsia" w:ascii="Times New Roman" w:hAnsi="Times New Roman" w:eastAsia="宋体" w:cs="Times New Roman"/>
                <w:i w:val="0"/>
                <w:iCs w:val="0"/>
                <w:color w:val="auto"/>
                <w:kern w:val="0"/>
                <w:sz w:val="24"/>
                <w:szCs w:val="24"/>
                <w:highlight w:val="none"/>
                <w:lang w:val="en-US" w:eastAsia="zh-CN" w:bidi="ar"/>
              </w:rPr>
              <w:t>柱状样监测点位（项目占地范围内）：项目内北侧（S1）、项目内中部（S2）、项目内西南侧（S3）共</w:t>
            </w:r>
            <w:r>
              <w:rPr>
                <w:rFonts w:hint="eastAsia" w:cs="Times New Roman"/>
                <w:i w:val="0"/>
                <w:iCs w:val="0"/>
                <w:color w:val="auto"/>
                <w:kern w:val="0"/>
                <w:sz w:val="24"/>
                <w:szCs w:val="24"/>
                <w:highlight w:val="none"/>
                <w:lang w:val="en-US" w:eastAsia="zh-CN" w:bidi="ar"/>
              </w:rPr>
              <w:t>3</w:t>
            </w:r>
            <w:r>
              <w:rPr>
                <w:rFonts w:hint="eastAsia" w:ascii="Times New Roman" w:hAnsi="Times New Roman" w:eastAsia="宋体" w:cs="Times New Roman"/>
                <w:i w:val="0"/>
                <w:iCs w:val="0"/>
                <w:color w:val="auto"/>
                <w:kern w:val="0"/>
                <w:sz w:val="24"/>
                <w:szCs w:val="24"/>
                <w:highlight w:val="none"/>
                <w:lang w:val="en-US" w:eastAsia="zh-CN" w:bidi="ar"/>
              </w:rPr>
              <w:t>个点位；</w:t>
            </w:r>
          </w:p>
          <w:p w14:paraId="520C3A4D">
            <w:pPr>
              <w:numPr>
                <w:ilvl w:val="0"/>
                <w:numId w:val="0"/>
              </w:numPr>
              <w:ind w:firstLine="480"/>
              <w:rPr>
                <w:rFonts w:hint="eastAsia" w:ascii="Times New Roman" w:hAnsi="Times New Roman" w:eastAsia="宋体" w:cs="Times New Roman"/>
                <w:i w:val="0"/>
                <w:iCs w:val="0"/>
                <w:color w:val="auto"/>
                <w:kern w:val="0"/>
                <w:sz w:val="24"/>
                <w:szCs w:val="24"/>
                <w:highlight w:val="none"/>
                <w:lang w:val="en-US" w:eastAsia="zh-CN" w:bidi="ar"/>
              </w:rPr>
            </w:pPr>
            <w:r>
              <w:rPr>
                <w:rFonts w:hint="eastAsia" w:ascii="Times New Roman" w:hAnsi="Times New Roman" w:eastAsia="宋体" w:cs="Times New Roman"/>
                <w:i w:val="0"/>
                <w:iCs w:val="0"/>
                <w:color w:val="auto"/>
                <w:kern w:val="0"/>
                <w:sz w:val="24"/>
                <w:szCs w:val="24"/>
                <w:lang w:val="en-US" w:eastAsia="zh-CN" w:bidi="ar"/>
              </w:rPr>
              <w:t>2）</w:t>
            </w:r>
            <w:r>
              <w:rPr>
                <w:rFonts w:hint="eastAsia" w:ascii="Times New Roman" w:hAnsi="Times New Roman" w:eastAsia="宋体" w:cs="Times New Roman"/>
                <w:i w:val="0"/>
                <w:iCs w:val="0"/>
                <w:color w:val="auto"/>
                <w:kern w:val="0"/>
                <w:sz w:val="24"/>
                <w:szCs w:val="24"/>
                <w:highlight w:val="none"/>
                <w:lang w:val="en-US" w:eastAsia="zh-CN" w:bidi="ar"/>
              </w:rPr>
              <w:t>表层样监测点位（项目占地范围外）：项目外上风向</w:t>
            </w:r>
            <w:r>
              <w:rPr>
                <w:rFonts w:hint="eastAsia" w:cs="Times New Roman"/>
                <w:i w:val="0"/>
                <w:iCs w:val="0"/>
                <w:color w:val="auto"/>
                <w:kern w:val="0"/>
                <w:sz w:val="24"/>
                <w:szCs w:val="24"/>
                <w:highlight w:val="none"/>
                <w:lang w:val="en-US" w:eastAsia="zh-CN" w:bidi="ar"/>
              </w:rPr>
              <w:t>（S4）、项目外下风向农用地</w:t>
            </w:r>
            <w:r>
              <w:rPr>
                <w:rFonts w:hint="eastAsia" w:ascii="Times New Roman" w:hAnsi="Times New Roman" w:eastAsia="宋体" w:cs="Times New Roman"/>
                <w:i w:val="0"/>
                <w:iCs w:val="0"/>
                <w:color w:val="auto"/>
                <w:kern w:val="0"/>
                <w:sz w:val="24"/>
                <w:szCs w:val="24"/>
                <w:highlight w:val="none"/>
                <w:lang w:val="en-US" w:eastAsia="zh-CN" w:bidi="ar"/>
              </w:rPr>
              <w:t>（S5）、项目外下风向石头山村（S6）、项目外上游农用地（S7）、项目外下游农用地（S8）共</w:t>
            </w:r>
            <w:r>
              <w:rPr>
                <w:rFonts w:hint="eastAsia" w:cs="Times New Roman"/>
                <w:i w:val="0"/>
                <w:iCs w:val="0"/>
                <w:color w:val="auto"/>
                <w:kern w:val="0"/>
                <w:sz w:val="24"/>
                <w:szCs w:val="24"/>
                <w:highlight w:val="none"/>
                <w:lang w:val="en-US" w:eastAsia="zh-CN" w:bidi="ar"/>
              </w:rPr>
              <w:t>5</w:t>
            </w:r>
            <w:r>
              <w:rPr>
                <w:rFonts w:hint="eastAsia" w:ascii="Times New Roman" w:hAnsi="Times New Roman" w:eastAsia="宋体" w:cs="Times New Roman"/>
                <w:i w:val="0"/>
                <w:iCs w:val="0"/>
                <w:color w:val="auto"/>
                <w:kern w:val="0"/>
                <w:sz w:val="24"/>
                <w:szCs w:val="24"/>
                <w:highlight w:val="none"/>
                <w:lang w:val="en-US" w:eastAsia="zh-CN" w:bidi="ar"/>
              </w:rPr>
              <w:t>个点位。</w:t>
            </w:r>
          </w:p>
          <w:p w14:paraId="4D56A77D">
            <w:pPr>
              <w:ind w:firstLine="480"/>
              <w:rPr>
                <w:rFonts w:hint="default" w:ascii="Times New Roman" w:hAnsi="Times New Roman" w:eastAsia="宋体" w:cs="Times New Roman"/>
                <w:i w:val="0"/>
                <w:iCs w:val="0"/>
                <w:color w:val="auto"/>
                <w:kern w:val="0"/>
                <w:sz w:val="24"/>
                <w:szCs w:val="24"/>
                <w:highlight w:val="none"/>
                <w:lang w:val="en-US" w:eastAsia="zh-CN" w:bidi="ar"/>
              </w:rPr>
            </w:pPr>
            <w:r>
              <w:rPr>
                <w:rFonts w:hint="eastAsia" w:ascii="Times New Roman" w:hAnsi="Times New Roman" w:eastAsia="宋体" w:cs="Times New Roman"/>
                <w:i w:val="0"/>
                <w:iCs w:val="0"/>
                <w:color w:val="auto"/>
                <w:kern w:val="0"/>
                <w:sz w:val="24"/>
                <w:szCs w:val="24"/>
                <w:highlight w:val="none"/>
                <w:lang w:val="en-US" w:eastAsia="zh-CN" w:bidi="ar"/>
              </w:rPr>
              <w:t>3）监测因子：①占地范围内：《土壤环境质量建设用地土壤污染风险管控标准（试行）（GB36600—2018)》基本45项</w:t>
            </w:r>
            <w:r>
              <w:rPr>
                <w:rFonts w:hint="eastAsia"/>
                <w:color w:val="auto"/>
                <w:sz w:val="24"/>
                <w:szCs w:val="24"/>
                <w:highlight w:val="none"/>
                <w:lang w:val="en-US" w:eastAsia="zh-CN"/>
              </w:rPr>
              <w:t>以及</w:t>
            </w:r>
            <w:r>
              <w:rPr>
                <w:rFonts w:hint="eastAsia" w:ascii="Times New Roman" w:hAnsi="Times New Roman" w:eastAsia="宋体" w:cs="Times New Roman"/>
                <w:color w:val="auto"/>
                <w:sz w:val="24"/>
                <w:szCs w:val="24"/>
                <w:lang w:val="en-US" w:eastAsia="zh-CN"/>
              </w:rPr>
              <w:t>pH、氟化物</w:t>
            </w:r>
            <w:r>
              <w:rPr>
                <w:rFonts w:hint="eastAsia" w:cs="Times New Roman"/>
                <w:color w:val="auto"/>
                <w:sz w:val="24"/>
                <w:szCs w:val="24"/>
                <w:lang w:val="en-US" w:eastAsia="zh-CN"/>
              </w:rPr>
              <w:t>、锌、铬</w:t>
            </w:r>
            <w:r>
              <w:rPr>
                <w:rFonts w:hint="eastAsia" w:ascii="Times New Roman" w:hAnsi="Times New Roman" w:eastAsia="宋体" w:cs="Times New Roman"/>
                <w:i w:val="0"/>
                <w:iCs w:val="0"/>
                <w:color w:val="auto"/>
                <w:kern w:val="0"/>
                <w:sz w:val="24"/>
                <w:szCs w:val="24"/>
                <w:highlight w:val="none"/>
                <w:lang w:val="en-US" w:eastAsia="zh-CN" w:bidi="ar"/>
              </w:rPr>
              <w:t>；②占地范围外</w:t>
            </w:r>
            <w:r>
              <w:rPr>
                <w:rFonts w:hint="eastAsia" w:cs="Times New Roman"/>
                <w:i w:val="0"/>
                <w:iCs w:val="0"/>
                <w:color w:val="auto"/>
                <w:kern w:val="0"/>
                <w:sz w:val="24"/>
                <w:szCs w:val="24"/>
                <w:highlight w:val="none"/>
                <w:lang w:val="en-US" w:eastAsia="zh-CN" w:bidi="ar"/>
              </w:rPr>
              <w:t>（除S6）</w:t>
            </w:r>
            <w:r>
              <w:rPr>
                <w:rFonts w:hint="eastAsia" w:ascii="Times New Roman" w:hAnsi="Times New Roman" w:eastAsia="宋体" w:cs="Times New Roman"/>
                <w:i w:val="0"/>
                <w:iCs w:val="0"/>
                <w:color w:val="auto"/>
                <w:kern w:val="0"/>
                <w:sz w:val="24"/>
                <w:szCs w:val="24"/>
                <w:highlight w:val="none"/>
                <w:lang w:val="en-US" w:eastAsia="zh-CN" w:bidi="ar"/>
              </w:rPr>
              <w:t>：《土壤环境质量农用地土壤污染风险管控标准（试行）》（GB15618—2018）基本8项</w:t>
            </w:r>
            <w:r>
              <w:rPr>
                <w:rFonts w:hint="eastAsia"/>
                <w:color w:val="auto"/>
                <w:sz w:val="24"/>
                <w:szCs w:val="24"/>
                <w:highlight w:val="none"/>
                <w:lang w:val="en-US" w:eastAsia="zh-CN"/>
              </w:rPr>
              <w:t>以及</w:t>
            </w:r>
            <w:r>
              <w:rPr>
                <w:rFonts w:hint="eastAsia"/>
                <w:color w:val="auto"/>
                <w:sz w:val="24"/>
                <w:szCs w:val="24"/>
                <w:highlight w:val="none"/>
              </w:rPr>
              <w:t>pH、</w:t>
            </w:r>
            <w:r>
              <w:rPr>
                <w:rFonts w:hint="eastAsia" w:ascii="Times New Roman" w:hAnsi="Times New Roman" w:eastAsia="宋体" w:cs="Times New Roman"/>
                <w:color w:val="auto"/>
                <w:sz w:val="24"/>
                <w:szCs w:val="24"/>
                <w:lang w:val="en-US" w:eastAsia="zh-CN"/>
              </w:rPr>
              <w:t>铬（六价）</w:t>
            </w:r>
            <w:r>
              <w:rPr>
                <w:rFonts w:hint="eastAsia" w:cs="Times New Roman"/>
                <w:color w:val="auto"/>
                <w:sz w:val="24"/>
                <w:szCs w:val="24"/>
                <w:lang w:val="en-US" w:eastAsia="zh-CN"/>
              </w:rPr>
              <w:t>、</w:t>
            </w:r>
            <w:r>
              <w:rPr>
                <w:rFonts w:hint="eastAsia"/>
                <w:color w:val="auto"/>
                <w:sz w:val="24"/>
                <w:szCs w:val="24"/>
                <w:highlight w:val="none"/>
              </w:rPr>
              <w:t>氟化物</w:t>
            </w:r>
            <w:r>
              <w:rPr>
                <w:rFonts w:hint="eastAsia"/>
                <w:color w:val="auto"/>
                <w:sz w:val="24"/>
                <w:szCs w:val="24"/>
                <w:highlight w:val="none"/>
                <w:lang w:eastAsia="zh-CN"/>
              </w:rPr>
              <w:t>；</w:t>
            </w:r>
            <w:r>
              <w:rPr>
                <w:rFonts w:hint="eastAsia" w:asciiTheme="minorEastAsia" w:hAnsiTheme="minorEastAsia" w:eastAsiaTheme="minorEastAsia" w:cstheme="minorEastAsia"/>
                <w:color w:val="auto"/>
                <w:sz w:val="24"/>
                <w:szCs w:val="24"/>
                <w:highlight w:val="none"/>
                <w:lang w:eastAsia="zh-CN"/>
              </w:rPr>
              <w:t>③</w:t>
            </w:r>
            <w:r>
              <w:rPr>
                <w:rFonts w:hint="eastAsia" w:ascii="Times New Roman" w:hAnsi="Times New Roman" w:eastAsia="宋体" w:cs="Times New Roman"/>
                <w:i w:val="0"/>
                <w:iCs w:val="0"/>
                <w:color w:val="auto"/>
                <w:kern w:val="0"/>
                <w:sz w:val="24"/>
                <w:szCs w:val="24"/>
                <w:highlight w:val="none"/>
                <w:lang w:val="en-US" w:eastAsia="zh-CN" w:bidi="ar"/>
              </w:rPr>
              <w:t>项目外下风向石头山村（S6）由于地处村庄，故而监测因子：《土壤环境质量建设用地土壤污染风险管控标准（试行）（GB36600—2018)》基本45项</w:t>
            </w:r>
            <w:r>
              <w:rPr>
                <w:rFonts w:hint="eastAsia"/>
                <w:color w:val="auto"/>
                <w:sz w:val="24"/>
                <w:szCs w:val="24"/>
                <w:highlight w:val="none"/>
                <w:lang w:val="en-US" w:eastAsia="zh-CN"/>
              </w:rPr>
              <w:t>以及</w:t>
            </w:r>
            <w:r>
              <w:rPr>
                <w:rFonts w:hint="eastAsia" w:ascii="Times New Roman" w:hAnsi="Times New Roman" w:eastAsia="宋体" w:cs="Times New Roman"/>
                <w:color w:val="auto"/>
                <w:sz w:val="24"/>
                <w:szCs w:val="24"/>
                <w:lang w:val="en-US" w:eastAsia="zh-CN"/>
              </w:rPr>
              <w:t>pH、氟化物</w:t>
            </w:r>
            <w:r>
              <w:rPr>
                <w:rFonts w:hint="eastAsia" w:cs="Times New Roman"/>
                <w:color w:val="auto"/>
                <w:sz w:val="24"/>
                <w:szCs w:val="24"/>
                <w:lang w:val="en-US" w:eastAsia="zh-CN"/>
              </w:rPr>
              <w:t>、锌、铬。</w:t>
            </w:r>
          </w:p>
          <w:p w14:paraId="4A3C4770">
            <w:pPr>
              <w:ind w:firstLine="480"/>
              <w:rPr>
                <w:rFonts w:hint="eastAsia" w:ascii="Times New Roman" w:hAnsi="Times New Roman" w:eastAsia="宋体" w:cs="Times New Roman"/>
                <w:i w:val="0"/>
                <w:iCs w:val="0"/>
                <w:color w:val="auto"/>
                <w:kern w:val="0"/>
                <w:sz w:val="24"/>
                <w:szCs w:val="24"/>
                <w:highlight w:val="none"/>
                <w:lang w:val="en-US" w:eastAsia="zh-CN" w:bidi="ar"/>
              </w:rPr>
            </w:pPr>
            <w:r>
              <w:rPr>
                <w:rFonts w:hint="eastAsia" w:ascii="Times New Roman" w:hAnsi="Times New Roman" w:eastAsia="宋体" w:cs="Times New Roman"/>
                <w:i w:val="0"/>
                <w:iCs w:val="0"/>
                <w:color w:val="auto"/>
                <w:kern w:val="0"/>
                <w:sz w:val="24"/>
                <w:szCs w:val="24"/>
                <w:highlight w:val="none"/>
                <w:lang w:val="en-US" w:eastAsia="zh-CN" w:bidi="ar"/>
              </w:rPr>
              <w:t>4）检测频次：检测</w:t>
            </w:r>
            <w:r>
              <w:rPr>
                <w:rFonts w:hint="eastAsia" w:ascii="Times New Roman" w:hAnsi="Times New Roman" w:eastAsia="宋体" w:cs="Times New Roman"/>
                <w:b w:val="0"/>
                <w:bCs w:val="0"/>
                <w:i w:val="0"/>
                <w:iCs w:val="0"/>
                <w:color w:val="auto"/>
                <w:kern w:val="0"/>
                <w:sz w:val="24"/>
                <w:szCs w:val="24"/>
                <w:highlight w:val="none"/>
                <w:lang w:val="en-US" w:eastAsia="zh-CN" w:bidi="ar"/>
              </w:rPr>
              <w:t>1天，检测1次。</w:t>
            </w:r>
          </w:p>
          <w:p w14:paraId="437ECA35">
            <w:pPr>
              <w:ind w:firstLine="48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5）监测结果</w:t>
            </w:r>
          </w:p>
          <w:p w14:paraId="5E2455C4">
            <w:pPr>
              <w:pStyle w:val="24"/>
              <w:adjustRightInd w:val="0"/>
              <w:spacing w:before="0" w:after="0" w:line="240" w:lineRule="auto"/>
              <w:ind w:right="0" w:firstLine="0" w:firstLineChars="0"/>
              <w:jc w:val="center"/>
              <w:rPr>
                <w:rFonts w:hint="default" w:ascii="Times New Roman" w:hAnsi="Times New Roman" w:eastAsia="宋体" w:cs="Times New Roman"/>
                <w:b/>
                <w:bCs/>
                <w:iCs w:val="0"/>
                <w:color w:val="auto"/>
                <w:kern w:val="0"/>
                <w:sz w:val="24"/>
                <w:szCs w:val="24"/>
                <w:highlight w:val="none"/>
                <w:lang w:val="en-US" w:eastAsia="zh-CN" w:bidi="ar"/>
              </w:rPr>
            </w:pPr>
            <w:r>
              <w:rPr>
                <w:rFonts w:hint="eastAsia" w:ascii="Times New Roman" w:hAnsi="Times New Roman" w:eastAsia="宋体" w:cs="Times New Roman"/>
                <w:b/>
                <w:bCs/>
                <w:iCs w:val="0"/>
                <w:color w:val="auto"/>
                <w:kern w:val="0"/>
                <w:sz w:val="24"/>
                <w:szCs w:val="24"/>
                <w:highlight w:val="none"/>
                <w:lang w:val="en-US" w:eastAsia="zh-CN" w:bidi="ar"/>
              </w:rPr>
              <w:t>表3-</w:t>
            </w:r>
            <w:r>
              <w:rPr>
                <w:rFonts w:hint="eastAsia" w:cs="Times New Roman"/>
                <w:b/>
                <w:bCs/>
                <w:iCs w:val="0"/>
                <w:color w:val="auto"/>
                <w:kern w:val="0"/>
                <w:sz w:val="24"/>
                <w:szCs w:val="24"/>
                <w:highlight w:val="none"/>
                <w:lang w:val="en-US" w:eastAsia="zh-CN" w:bidi="ar"/>
              </w:rPr>
              <w:t xml:space="preserve">5  </w:t>
            </w:r>
            <w:r>
              <w:rPr>
                <w:rFonts w:hint="eastAsia" w:ascii="Times New Roman" w:hAnsi="Times New Roman" w:eastAsia="宋体" w:cs="Times New Roman"/>
                <w:b/>
                <w:bCs/>
                <w:iCs w:val="0"/>
                <w:color w:val="auto"/>
                <w:kern w:val="0"/>
                <w:sz w:val="24"/>
                <w:szCs w:val="24"/>
                <w:highlight w:val="none"/>
                <w:lang w:val="en-US" w:eastAsia="zh-CN" w:bidi="ar"/>
              </w:rPr>
              <w:t>项目占地范围内土壤理化性质表</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1"/>
              <w:gridCol w:w="1237"/>
              <w:gridCol w:w="710"/>
              <w:gridCol w:w="710"/>
              <w:gridCol w:w="714"/>
              <w:gridCol w:w="706"/>
              <w:gridCol w:w="710"/>
              <w:gridCol w:w="718"/>
              <w:gridCol w:w="702"/>
              <w:gridCol w:w="710"/>
              <w:gridCol w:w="718"/>
            </w:tblGrid>
            <w:tr w14:paraId="750EC9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8" w:type="pct"/>
                  <w:gridSpan w:val="2"/>
                  <w:tcBorders>
                    <w:bottom w:val="single" w:color="auto" w:sz="4" w:space="0"/>
                  </w:tcBorders>
                  <w:noWrap w:val="0"/>
                  <w:vAlign w:val="center"/>
                </w:tcPr>
                <w:p w14:paraId="1A6C7260">
                  <w:pPr>
                    <w:widowControl/>
                    <w:adjustRightInd w:val="0"/>
                    <w:snapToGrid w:val="0"/>
                    <w:spacing w:line="240" w:lineRule="auto"/>
                    <w:ind w:firstLine="0" w:firstLineChars="0"/>
                    <w:jc w:val="center"/>
                    <w:rPr>
                      <w:rFonts w:hint="default" w:ascii="Times New Roman" w:hAnsi="Times New Roman" w:eastAsia="宋体" w:cs="Times New Roman"/>
                      <w:b/>
                      <w:bCs/>
                      <w:color w:val="auto"/>
                      <w:spacing w:val="-5"/>
                      <w:sz w:val="21"/>
                      <w:szCs w:val="21"/>
                      <w:highlight w:val="none"/>
                      <w:vertAlign w:val="baseline"/>
                      <w:lang w:val="en-US" w:eastAsia="zh-CN" w:bidi="he-IL"/>
                    </w:rPr>
                  </w:pPr>
                  <w:r>
                    <w:rPr>
                      <w:rFonts w:hint="default" w:ascii="Times New Roman" w:hAnsi="Times New Roman" w:eastAsia="宋体" w:cs="Times New Roman"/>
                      <w:b/>
                      <w:bCs/>
                      <w:color w:val="auto"/>
                      <w:spacing w:val="-5"/>
                      <w:sz w:val="21"/>
                      <w:szCs w:val="21"/>
                      <w:highlight w:val="none"/>
                      <w:vertAlign w:val="baseline"/>
                      <w:lang w:val="en-US" w:eastAsia="zh-CN" w:bidi="he-IL"/>
                    </w:rPr>
                    <w:t>采样日期</w:t>
                  </w:r>
                </w:p>
              </w:tc>
              <w:tc>
                <w:tcPr>
                  <w:tcW w:w="3961" w:type="pct"/>
                  <w:gridSpan w:val="9"/>
                  <w:noWrap w:val="0"/>
                  <w:vAlign w:val="center"/>
                </w:tcPr>
                <w:p w14:paraId="55D840DB">
                  <w:pPr>
                    <w:widowControl/>
                    <w:adjustRightInd w:val="0"/>
                    <w:snapToGrid w:val="0"/>
                    <w:spacing w:line="240" w:lineRule="auto"/>
                    <w:ind w:firstLine="0" w:firstLineChars="0"/>
                    <w:jc w:val="center"/>
                    <w:rPr>
                      <w:rFonts w:hint="default" w:ascii="Times New Roman" w:hAnsi="Times New Roman" w:eastAsia="宋体" w:cs="Times New Roman"/>
                      <w:b/>
                      <w:bCs/>
                      <w:color w:val="auto"/>
                      <w:spacing w:val="-5"/>
                      <w:sz w:val="21"/>
                      <w:szCs w:val="21"/>
                      <w:highlight w:val="none"/>
                      <w:vertAlign w:val="baseline"/>
                      <w:lang w:val="en-US" w:eastAsia="zh-CN" w:bidi="he-IL"/>
                    </w:rPr>
                  </w:pPr>
                  <w:r>
                    <w:rPr>
                      <w:rFonts w:hint="default" w:ascii="Times New Roman" w:hAnsi="Times New Roman" w:eastAsia="宋体" w:cs="Times New Roman"/>
                      <w:b/>
                      <w:bCs/>
                      <w:sz w:val="21"/>
                      <w:szCs w:val="21"/>
                      <w:lang w:val="en-US" w:eastAsia="zh-CN"/>
                    </w:rPr>
                    <w:t>2025-07-19</w:t>
                  </w:r>
                </w:p>
              </w:tc>
            </w:tr>
            <w:tr w14:paraId="16D4FA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038" w:type="pct"/>
                  <w:gridSpan w:val="2"/>
                  <w:noWrap w:val="0"/>
                  <w:vAlign w:val="center"/>
                </w:tcPr>
                <w:p w14:paraId="322068D5">
                  <w:pPr>
                    <w:widowControl/>
                    <w:adjustRightInd w:val="0"/>
                    <w:snapToGrid w:val="0"/>
                    <w:spacing w:line="240" w:lineRule="auto"/>
                    <w:ind w:firstLine="0" w:firstLineChars="0"/>
                    <w:jc w:val="center"/>
                    <w:rPr>
                      <w:rFonts w:hint="default" w:ascii="Times New Roman" w:hAnsi="Times New Roman" w:eastAsia="宋体" w:cs="Times New Roman"/>
                      <w:b/>
                      <w:bCs/>
                      <w:color w:val="auto"/>
                      <w:spacing w:val="-5"/>
                      <w:sz w:val="21"/>
                      <w:szCs w:val="21"/>
                      <w:highlight w:val="none"/>
                      <w:vertAlign w:val="baseline"/>
                      <w:lang w:val="en-US" w:eastAsia="zh-CN" w:bidi="he-IL"/>
                    </w:rPr>
                  </w:pPr>
                  <w:r>
                    <w:rPr>
                      <w:rFonts w:hint="default" w:ascii="Times New Roman" w:hAnsi="Times New Roman" w:eastAsia="宋体" w:cs="Times New Roman"/>
                      <w:b/>
                      <w:bCs/>
                      <w:color w:val="auto"/>
                      <w:spacing w:val="-5"/>
                      <w:sz w:val="21"/>
                      <w:szCs w:val="21"/>
                      <w:highlight w:val="none"/>
                      <w:vertAlign w:val="baseline"/>
                      <w:lang w:val="en-US" w:eastAsia="zh-CN" w:bidi="he-IL"/>
                    </w:rPr>
                    <w:t>采样点位</w:t>
                  </w:r>
                </w:p>
              </w:tc>
              <w:tc>
                <w:tcPr>
                  <w:tcW w:w="1321" w:type="pct"/>
                  <w:gridSpan w:val="3"/>
                  <w:noWrap w:val="0"/>
                  <w:vAlign w:val="center"/>
                </w:tcPr>
                <w:p w14:paraId="15884211">
                  <w:pPr>
                    <w:widowControl/>
                    <w:adjustRightInd w:val="0"/>
                    <w:snapToGrid w:val="0"/>
                    <w:spacing w:line="240" w:lineRule="auto"/>
                    <w:ind w:firstLine="0" w:firstLineChars="0"/>
                    <w:jc w:val="center"/>
                    <w:rPr>
                      <w:rFonts w:hint="default" w:ascii="Times New Roman" w:hAnsi="Times New Roman" w:eastAsia="宋体" w:cs="Times New Roman"/>
                      <w:b/>
                      <w:bCs/>
                      <w:color w:val="auto"/>
                      <w:spacing w:val="-5"/>
                      <w:sz w:val="21"/>
                      <w:szCs w:val="21"/>
                      <w:highlight w:val="none"/>
                      <w:vertAlign w:val="baseline"/>
                      <w:lang w:val="en-US" w:eastAsia="zh-CN" w:bidi="he-IL"/>
                    </w:rPr>
                  </w:pPr>
                  <w:r>
                    <w:rPr>
                      <w:rFonts w:hint="default" w:ascii="Times New Roman" w:hAnsi="Times New Roman" w:eastAsia="宋体" w:cs="Times New Roman"/>
                      <w:b/>
                      <w:bCs/>
                      <w:sz w:val="21"/>
                      <w:szCs w:val="21"/>
                      <w:lang w:val="en-US" w:eastAsia="zh-CN"/>
                    </w:rPr>
                    <w:t>S1</w:t>
                  </w:r>
                  <w:r>
                    <w:rPr>
                      <w:rFonts w:hint="default" w:ascii="Times New Roman" w:hAnsi="Times New Roman" w:eastAsia="宋体" w:cs="Times New Roman"/>
                      <w:b/>
                      <w:bCs/>
                      <w:color w:val="auto"/>
                      <w:sz w:val="21"/>
                      <w:szCs w:val="21"/>
                      <w:highlight w:val="none"/>
                      <w:lang w:val="en-US" w:eastAsia="zh-CN"/>
                    </w:rPr>
                    <w:t>项目</w:t>
                  </w:r>
                  <w:r>
                    <w:rPr>
                      <w:rFonts w:hint="default" w:ascii="Times New Roman" w:hAnsi="Times New Roman" w:eastAsia="宋体" w:cs="Times New Roman"/>
                      <w:b/>
                      <w:bCs/>
                      <w:color w:val="auto"/>
                      <w:sz w:val="21"/>
                      <w:szCs w:val="21"/>
                      <w:highlight w:val="none"/>
                    </w:rPr>
                    <w:t>内</w:t>
                  </w:r>
                  <w:r>
                    <w:rPr>
                      <w:rFonts w:hint="default" w:ascii="Times New Roman" w:hAnsi="Times New Roman" w:eastAsia="宋体" w:cs="Times New Roman"/>
                      <w:b/>
                      <w:bCs/>
                      <w:color w:val="auto"/>
                      <w:sz w:val="21"/>
                      <w:szCs w:val="21"/>
                      <w:highlight w:val="none"/>
                      <w:lang w:val="en-US" w:eastAsia="zh-CN"/>
                    </w:rPr>
                    <w:t>北侧</w:t>
                  </w:r>
                </w:p>
              </w:tc>
              <w:tc>
                <w:tcPr>
                  <w:tcW w:w="1321" w:type="pct"/>
                  <w:gridSpan w:val="3"/>
                  <w:noWrap w:val="0"/>
                  <w:vAlign w:val="center"/>
                </w:tcPr>
                <w:p w14:paraId="5E534924">
                  <w:pPr>
                    <w:widowControl/>
                    <w:adjustRightInd w:val="0"/>
                    <w:snapToGrid w:val="0"/>
                    <w:spacing w:line="240" w:lineRule="auto"/>
                    <w:ind w:firstLine="0" w:firstLineChars="0"/>
                    <w:jc w:val="center"/>
                    <w:rPr>
                      <w:rFonts w:hint="default" w:ascii="Times New Roman" w:hAnsi="Times New Roman" w:eastAsia="宋体" w:cs="Times New Roman"/>
                      <w:b/>
                      <w:bCs/>
                      <w:color w:val="auto"/>
                      <w:spacing w:val="-5"/>
                      <w:sz w:val="21"/>
                      <w:szCs w:val="21"/>
                      <w:highlight w:val="none"/>
                      <w:vertAlign w:val="baseline"/>
                      <w:lang w:val="en-US" w:eastAsia="zh-CN" w:bidi="he-IL"/>
                    </w:rPr>
                  </w:pPr>
                  <w:r>
                    <w:rPr>
                      <w:rFonts w:hint="default" w:ascii="Times New Roman" w:hAnsi="Times New Roman" w:eastAsia="宋体" w:cs="Times New Roman"/>
                      <w:b/>
                      <w:bCs/>
                      <w:sz w:val="21"/>
                      <w:szCs w:val="21"/>
                      <w:lang w:val="en-US" w:eastAsia="zh-CN"/>
                    </w:rPr>
                    <w:t>S2</w:t>
                  </w:r>
                  <w:r>
                    <w:rPr>
                      <w:rFonts w:hint="default" w:ascii="Times New Roman" w:hAnsi="Times New Roman" w:eastAsia="宋体" w:cs="Times New Roman"/>
                      <w:b/>
                      <w:bCs/>
                      <w:color w:val="auto"/>
                      <w:sz w:val="21"/>
                      <w:szCs w:val="21"/>
                      <w:highlight w:val="none"/>
                      <w:lang w:val="en-US" w:eastAsia="zh-CN"/>
                    </w:rPr>
                    <w:t>项目</w:t>
                  </w:r>
                  <w:r>
                    <w:rPr>
                      <w:rFonts w:hint="default" w:ascii="Times New Roman" w:hAnsi="Times New Roman" w:eastAsia="宋体" w:cs="Times New Roman"/>
                      <w:b/>
                      <w:bCs/>
                      <w:color w:val="auto"/>
                      <w:sz w:val="21"/>
                      <w:szCs w:val="21"/>
                      <w:highlight w:val="none"/>
                    </w:rPr>
                    <w:t>内</w:t>
                  </w:r>
                  <w:r>
                    <w:rPr>
                      <w:rFonts w:hint="default" w:ascii="Times New Roman" w:hAnsi="Times New Roman" w:eastAsia="宋体" w:cs="Times New Roman"/>
                      <w:b/>
                      <w:bCs/>
                      <w:color w:val="auto"/>
                      <w:sz w:val="21"/>
                      <w:szCs w:val="21"/>
                      <w:highlight w:val="none"/>
                      <w:lang w:val="en-US" w:eastAsia="zh-CN"/>
                    </w:rPr>
                    <w:t>中部</w:t>
                  </w:r>
                </w:p>
              </w:tc>
              <w:tc>
                <w:tcPr>
                  <w:tcW w:w="1318" w:type="pct"/>
                  <w:gridSpan w:val="3"/>
                  <w:noWrap w:val="0"/>
                  <w:vAlign w:val="center"/>
                </w:tcPr>
                <w:p w14:paraId="5E43C198">
                  <w:pPr>
                    <w:widowControl/>
                    <w:adjustRightInd w:val="0"/>
                    <w:snapToGrid w:val="0"/>
                    <w:spacing w:line="240" w:lineRule="auto"/>
                    <w:ind w:firstLine="0" w:firstLineChars="0"/>
                    <w:jc w:val="center"/>
                    <w:rPr>
                      <w:rFonts w:hint="default" w:ascii="Times New Roman" w:hAnsi="Times New Roman" w:eastAsia="宋体" w:cs="Times New Roman"/>
                      <w:b/>
                      <w:bCs/>
                      <w:color w:val="auto"/>
                      <w:spacing w:val="-5"/>
                      <w:sz w:val="21"/>
                      <w:szCs w:val="21"/>
                      <w:highlight w:val="none"/>
                      <w:vertAlign w:val="baseline"/>
                      <w:lang w:val="en-US" w:eastAsia="zh-CN" w:bidi="he-IL"/>
                    </w:rPr>
                  </w:pPr>
                  <w:r>
                    <w:rPr>
                      <w:rFonts w:hint="default" w:ascii="Times New Roman" w:hAnsi="Times New Roman" w:eastAsia="宋体" w:cs="Times New Roman"/>
                      <w:b/>
                      <w:bCs/>
                      <w:sz w:val="21"/>
                      <w:szCs w:val="21"/>
                      <w:lang w:val="en-US" w:eastAsia="zh-CN"/>
                    </w:rPr>
                    <w:t>S3</w:t>
                  </w:r>
                  <w:r>
                    <w:rPr>
                      <w:rFonts w:hint="default" w:ascii="Times New Roman" w:hAnsi="Times New Roman" w:eastAsia="宋体" w:cs="Times New Roman"/>
                      <w:b/>
                      <w:bCs/>
                      <w:color w:val="auto"/>
                      <w:sz w:val="21"/>
                      <w:szCs w:val="21"/>
                      <w:highlight w:val="none"/>
                      <w:lang w:val="en-US" w:eastAsia="zh-CN"/>
                    </w:rPr>
                    <w:t>项目</w:t>
                  </w:r>
                  <w:r>
                    <w:rPr>
                      <w:rFonts w:hint="default" w:ascii="Times New Roman" w:hAnsi="Times New Roman" w:eastAsia="宋体" w:cs="Times New Roman"/>
                      <w:b/>
                      <w:bCs/>
                      <w:color w:val="auto"/>
                      <w:sz w:val="21"/>
                      <w:szCs w:val="21"/>
                      <w:highlight w:val="none"/>
                    </w:rPr>
                    <w:t>内</w:t>
                  </w:r>
                  <w:r>
                    <w:rPr>
                      <w:rFonts w:hint="default" w:ascii="Times New Roman" w:hAnsi="Times New Roman" w:eastAsia="宋体" w:cs="Times New Roman"/>
                      <w:b/>
                      <w:bCs/>
                      <w:color w:val="auto"/>
                      <w:sz w:val="21"/>
                      <w:szCs w:val="21"/>
                      <w:highlight w:val="none"/>
                      <w:lang w:val="en-US" w:eastAsia="zh-CN"/>
                    </w:rPr>
                    <w:t>西南侧</w:t>
                  </w:r>
                </w:p>
              </w:tc>
            </w:tr>
            <w:tr w14:paraId="71EAC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1038" w:type="pct"/>
                  <w:gridSpan w:val="2"/>
                  <w:tcBorders>
                    <w:tl2br w:val="single" w:color="auto" w:sz="4" w:space="0"/>
                  </w:tcBorders>
                  <w:noWrap w:val="0"/>
                  <w:vAlign w:val="center"/>
                </w:tcPr>
                <w:p w14:paraId="2FA8E133">
                  <w:pPr>
                    <w:widowControl/>
                    <w:adjustRightInd w:val="0"/>
                    <w:snapToGrid w:val="0"/>
                    <w:spacing w:line="240" w:lineRule="auto"/>
                    <w:ind w:firstLine="0" w:firstLineChars="0"/>
                    <w:jc w:val="right"/>
                    <w:rPr>
                      <w:rFonts w:hint="default" w:ascii="Times New Roman" w:hAnsi="Times New Roman" w:eastAsia="宋体" w:cs="Times New Roman"/>
                      <w:b/>
                      <w:bCs/>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 xml:space="preserve">      </w:t>
                  </w:r>
                  <w:r>
                    <w:rPr>
                      <w:rFonts w:hint="default" w:ascii="Times New Roman" w:hAnsi="Times New Roman" w:eastAsia="宋体" w:cs="Times New Roman"/>
                      <w:b/>
                      <w:bCs/>
                      <w:color w:val="auto"/>
                      <w:spacing w:val="-5"/>
                      <w:sz w:val="21"/>
                      <w:szCs w:val="21"/>
                      <w:highlight w:val="none"/>
                      <w:vertAlign w:val="baseline"/>
                      <w:lang w:val="en-US" w:eastAsia="zh-CN" w:bidi="he-IL"/>
                    </w:rPr>
                    <w:t>样品编号</w:t>
                  </w:r>
                </w:p>
                <w:p w14:paraId="43C5DDA7">
                  <w:pPr>
                    <w:widowControl/>
                    <w:adjustRightInd w:val="0"/>
                    <w:snapToGrid w:val="0"/>
                    <w:spacing w:line="240" w:lineRule="auto"/>
                    <w:ind w:firstLine="0" w:firstLineChars="0"/>
                    <w:jc w:val="left"/>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b/>
                      <w:bCs/>
                      <w:color w:val="auto"/>
                      <w:spacing w:val="-5"/>
                      <w:sz w:val="21"/>
                      <w:szCs w:val="21"/>
                      <w:highlight w:val="none"/>
                      <w:vertAlign w:val="baseline"/>
                      <w:lang w:val="en-US" w:eastAsia="zh-CN" w:bidi="he-IL"/>
                    </w:rPr>
                    <w:t>检测项目</w:t>
                  </w:r>
                </w:p>
              </w:tc>
              <w:tc>
                <w:tcPr>
                  <w:tcW w:w="873" w:type="dxa"/>
                  <w:noWrap w:val="0"/>
                  <w:vAlign w:val="center"/>
                </w:tcPr>
                <w:p w14:paraId="365323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b w:val="0"/>
                      <w:bCs w:val="0"/>
                      <w:color w:val="auto"/>
                      <w:sz w:val="21"/>
                      <w:szCs w:val="21"/>
                      <w:highlight w:val="none"/>
                      <w:lang w:val="en-US" w:eastAsia="zh-CN"/>
                    </w:rPr>
                    <w:t>W25071707TR-5-1-1</w:t>
                  </w:r>
                </w:p>
              </w:tc>
              <w:tc>
                <w:tcPr>
                  <w:tcW w:w="873" w:type="dxa"/>
                  <w:noWrap w:val="0"/>
                  <w:vAlign w:val="center"/>
                </w:tcPr>
                <w:p w14:paraId="221139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b w:val="0"/>
                      <w:bCs w:val="0"/>
                      <w:color w:val="auto"/>
                      <w:sz w:val="21"/>
                      <w:szCs w:val="21"/>
                      <w:highlight w:val="none"/>
                      <w:lang w:val="en-US" w:eastAsia="zh-CN"/>
                    </w:rPr>
                    <w:t>W25071707TR-9-1-1</w:t>
                  </w:r>
                </w:p>
              </w:tc>
              <w:tc>
                <w:tcPr>
                  <w:tcW w:w="878" w:type="dxa"/>
                  <w:noWrap w:val="0"/>
                  <w:vAlign w:val="center"/>
                </w:tcPr>
                <w:p w14:paraId="0D476D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b w:val="0"/>
                      <w:bCs w:val="0"/>
                      <w:color w:val="auto"/>
                      <w:sz w:val="21"/>
                      <w:szCs w:val="21"/>
                      <w:highlight w:val="none"/>
                      <w:lang w:val="en-US" w:eastAsia="zh-CN"/>
                    </w:rPr>
                    <w:t>W25071707TR10-1-1</w:t>
                  </w:r>
                </w:p>
              </w:tc>
              <w:tc>
                <w:tcPr>
                  <w:tcW w:w="868" w:type="dxa"/>
                  <w:noWrap w:val="0"/>
                  <w:vAlign w:val="center"/>
                </w:tcPr>
                <w:p w14:paraId="4F0D34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b w:val="0"/>
                      <w:bCs w:val="0"/>
                      <w:color w:val="auto"/>
                      <w:sz w:val="21"/>
                      <w:szCs w:val="21"/>
                      <w:highlight w:val="none"/>
                      <w:lang w:val="en-US" w:eastAsia="zh-CN"/>
                    </w:rPr>
                    <w:t>W25071707TR-4-1-1</w:t>
                  </w:r>
                </w:p>
              </w:tc>
              <w:tc>
                <w:tcPr>
                  <w:tcW w:w="873" w:type="dxa"/>
                  <w:noWrap w:val="0"/>
                  <w:vAlign w:val="center"/>
                </w:tcPr>
                <w:p w14:paraId="349E92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b w:val="0"/>
                      <w:bCs w:val="0"/>
                      <w:color w:val="auto"/>
                      <w:sz w:val="21"/>
                      <w:szCs w:val="21"/>
                      <w:highlight w:val="none"/>
                      <w:lang w:val="en-US" w:eastAsia="zh-CN"/>
                    </w:rPr>
                    <w:t>W25071707TR-11-1-1</w:t>
                  </w:r>
                </w:p>
              </w:tc>
              <w:tc>
                <w:tcPr>
                  <w:tcW w:w="883" w:type="dxa"/>
                  <w:noWrap w:val="0"/>
                  <w:vAlign w:val="center"/>
                </w:tcPr>
                <w:p w14:paraId="324619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b w:val="0"/>
                      <w:bCs w:val="0"/>
                      <w:color w:val="auto"/>
                      <w:sz w:val="21"/>
                      <w:szCs w:val="21"/>
                      <w:highlight w:val="none"/>
                      <w:lang w:val="en-US" w:eastAsia="zh-CN"/>
                    </w:rPr>
                    <w:t>W25071707TR-12-1-1</w:t>
                  </w:r>
                </w:p>
              </w:tc>
              <w:tc>
                <w:tcPr>
                  <w:tcW w:w="863" w:type="dxa"/>
                  <w:noWrap w:val="0"/>
                  <w:vAlign w:val="center"/>
                </w:tcPr>
                <w:p w14:paraId="7C908E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b w:val="0"/>
                      <w:bCs w:val="0"/>
                      <w:color w:val="auto"/>
                      <w:sz w:val="21"/>
                      <w:szCs w:val="21"/>
                      <w:highlight w:val="none"/>
                      <w:lang w:val="en-US" w:eastAsia="zh-CN"/>
                    </w:rPr>
                    <w:t>W25071707TR-2-1-1</w:t>
                  </w:r>
                </w:p>
              </w:tc>
              <w:tc>
                <w:tcPr>
                  <w:tcW w:w="873" w:type="dxa"/>
                  <w:noWrap w:val="0"/>
                  <w:vAlign w:val="center"/>
                </w:tcPr>
                <w:p w14:paraId="1FA6F9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b w:val="0"/>
                      <w:bCs w:val="0"/>
                      <w:color w:val="auto"/>
                      <w:sz w:val="21"/>
                      <w:szCs w:val="21"/>
                      <w:highlight w:val="none"/>
                      <w:lang w:val="en-US" w:eastAsia="zh-CN"/>
                    </w:rPr>
                    <w:t>W25071707TR-13-1-1</w:t>
                  </w:r>
                </w:p>
              </w:tc>
              <w:tc>
                <w:tcPr>
                  <w:tcW w:w="883" w:type="dxa"/>
                  <w:noWrap w:val="0"/>
                  <w:vAlign w:val="center"/>
                </w:tcPr>
                <w:p w14:paraId="0A525C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b w:val="0"/>
                      <w:bCs w:val="0"/>
                      <w:color w:val="auto"/>
                      <w:sz w:val="21"/>
                      <w:szCs w:val="21"/>
                      <w:highlight w:val="none"/>
                      <w:lang w:val="en-US" w:eastAsia="zh-CN"/>
                    </w:rPr>
                    <w:t>W25071707TR-14-1-1</w:t>
                  </w:r>
                </w:p>
              </w:tc>
            </w:tr>
            <w:tr w14:paraId="482CB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 w:type="pct"/>
                  <w:vMerge w:val="restart"/>
                  <w:noWrap w:val="0"/>
                  <w:vAlign w:val="center"/>
                </w:tcPr>
                <w:p w14:paraId="41FBACE1">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现场记录</w:t>
                  </w:r>
                </w:p>
              </w:tc>
              <w:tc>
                <w:tcPr>
                  <w:tcW w:w="765" w:type="pct"/>
                  <w:noWrap w:val="0"/>
                  <w:vAlign w:val="center"/>
                </w:tcPr>
                <w:p w14:paraId="72CC0FF4">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颜色</w:t>
                  </w:r>
                </w:p>
              </w:tc>
              <w:tc>
                <w:tcPr>
                  <w:tcW w:w="439" w:type="pct"/>
                  <w:noWrap w:val="0"/>
                  <w:vAlign w:val="center"/>
                </w:tcPr>
                <w:p w14:paraId="73FEBFE9">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kern w:val="2"/>
                      <w:sz w:val="21"/>
                      <w:szCs w:val="21"/>
                      <w:lang w:val="en-US" w:eastAsia="zh-CN" w:bidi="ar-SA"/>
                    </w:rPr>
                    <w:t>黄棕</w:t>
                  </w:r>
                </w:p>
              </w:tc>
              <w:tc>
                <w:tcPr>
                  <w:tcW w:w="439" w:type="pct"/>
                  <w:noWrap w:val="0"/>
                  <w:vAlign w:val="center"/>
                </w:tcPr>
                <w:p w14:paraId="6DB70E77">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kern w:val="2"/>
                      <w:sz w:val="21"/>
                      <w:szCs w:val="21"/>
                      <w:lang w:val="en-US" w:eastAsia="zh-CN" w:bidi="ar-SA"/>
                    </w:rPr>
                    <w:t>黄棕</w:t>
                  </w:r>
                </w:p>
              </w:tc>
              <w:tc>
                <w:tcPr>
                  <w:tcW w:w="442" w:type="pct"/>
                  <w:noWrap w:val="0"/>
                  <w:vAlign w:val="center"/>
                </w:tcPr>
                <w:p w14:paraId="4FDC73AF">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kern w:val="2"/>
                      <w:sz w:val="21"/>
                      <w:szCs w:val="21"/>
                      <w:lang w:val="en-US" w:eastAsia="zh-CN" w:bidi="ar-SA"/>
                    </w:rPr>
                    <w:t>黄棕</w:t>
                  </w:r>
                </w:p>
              </w:tc>
              <w:tc>
                <w:tcPr>
                  <w:tcW w:w="868" w:type="dxa"/>
                  <w:noWrap w:val="0"/>
                  <w:vAlign w:val="center"/>
                </w:tcPr>
                <w:p w14:paraId="59356F88">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kern w:val="2"/>
                      <w:sz w:val="21"/>
                      <w:szCs w:val="21"/>
                      <w:lang w:val="en-US" w:eastAsia="zh-CN" w:bidi="ar-SA"/>
                    </w:rPr>
                    <w:t>黄棕</w:t>
                  </w:r>
                </w:p>
              </w:tc>
              <w:tc>
                <w:tcPr>
                  <w:tcW w:w="873" w:type="dxa"/>
                  <w:noWrap w:val="0"/>
                  <w:vAlign w:val="center"/>
                </w:tcPr>
                <w:p w14:paraId="1DF99067">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kern w:val="2"/>
                      <w:sz w:val="21"/>
                      <w:szCs w:val="21"/>
                      <w:lang w:val="en-US" w:eastAsia="zh-CN" w:bidi="ar-SA"/>
                    </w:rPr>
                    <w:t>黄棕</w:t>
                  </w:r>
                </w:p>
              </w:tc>
              <w:tc>
                <w:tcPr>
                  <w:tcW w:w="883" w:type="dxa"/>
                  <w:noWrap w:val="0"/>
                  <w:vAlign w:val="center"/>
                </w:tcPr>
                <w:p w14:paraId="437739CA">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kern w:val="2"/>
                      <w:sz w:val="21"/>
                      <w:szCs w:val="21"/>
                      <w:lang w:val="en-US" w:eastAsia="zh-CN" w:bidi="ar-SA"/>
                    </w:rPr>
                    <w:t>黄棕</w:t>
                  </w:r>
                </w:p>
              </w:tc>
              <w:tc>
                <w:tcPr>
                  <w:tcW w:w="863" w:type="dxa"/>
                  <w:noWrap w:val="0"/>
                  <w:vAlign w:val="center"/>
                </w:tcPr>
                <w:p w14:paraId="153838F2">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kern w:val="2"/>
                      <w:sz w:val="21"/>
                      <w:szCs w:val="21"/>
                      <w:lang w:val="en-US" w:eastAsia="zh-CN" w:bidi="ar-SA"/>
                    </w:rPr>
                    <w:t>黄棕</w:t>
                  </w:r>
                </w:p>
              </w:tc>
              <w:tc>
                <w:tcPr>
                  <w:tcW w:w="873" w:type="dxa"/>
                  <w:noWrap w:val="0"/>
                  <w:vAlign w:val="center"/>
                </w:tcPr>
                <w:p w14:paraId="7C1C3265">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kern w:val="2"/>
                      <w:sz w:val="21"/>
                      <w:szCs w:val="21"/>
                      <w:lang w:val="en-US" w:eastAsia="zh-CN" w:bidi="ar-SA"/>
                    </w:rPr>
                    <w:t>黄棕</w:t>
                  </w:r>
                </w:p>
              </w:tc>
              <w:tc>
                <w:tcPr>
                  <w:tcW w:w="883" w:type="dxa"/>
                  <w:noWrap w:val="0"/>
                  <w:vAlign w:val="center"/>
                </w:tcPr>
                <w:p w14:paraId="597191CD">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kern w:val="2"/>
                      <w:sz w:val="21"/>
                      <w:szCs w:val="21"/>
                      <w:lang w:val="en-US" w:eastAsia="zh-CN" w:bidi="ar-SA"/>
                    </w:rPr>
                    <w:t>黄棕</w:t>
                  </w:r>
                </w:p>
              </w:tc>
            </w:tr>
            <w:tr w14:paraId="49B197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 w:type="pct"/>
                  <w:vMerge w:val="continue"/>
                  <w:noWrap w:val="0"/>
                  <w:vAlign w:val="center"/>
                </w:tcPr>
                <w:p w14:paraId="26C6F98D">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p>
              </w:tc>
              <w:tc>
                <w:tcPr>
                  <w:tcW w:w="765" w:type="pct"/>
                  <w:noWrap w:val="0"/>
                  <w:vAlign w:val="center"/>
                </w:tcPr>
                <w:p w14:paraId="7FBA7785">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结构</w:t>
                  </w:r>
                </w:p>
              </w:tc>
              <w:tc>
                <w:tcPr>
                  <w:tcW w:w="439" w:type="pct"/>
                  <w:noWrap w:val="0"/>
                  <w:vAlign w:val="center"/>
                </w:tcPr>
                <w:p w14:paraId="4F7288AC">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团粒</w:t>
                  </w:r>
                </w:p>
              </w:tc>
              <w:tc>
                <w:tcPr>
                  <w:tcW w:w="439" w:type="pct"/>
                  <w:noWrap w:val="0"/>
                  <w:vAlign w:val="center"/>
                </w:tcPr>
                <w:p w14:paraId="00547DFB">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团粒</w:t>
                  </w:r>
                </w:p>
              </w:tc>
              <w:tc>
                <w:tcPr>
                  <w:tcW w:w="442" w:type="pct"/>
                  <w:noWrap w:val="0"/>
                  <w:vAlign w:val="center"/>
                </w:tcPr>
                <w:p w14:paraId="11F5B20E">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团粒</w:t>
                  </w:r>
                </w:p>
              </w:tc>
              <w:tc>
                <w:tcPr>
                  <w:tcW w:w="868" w:type="dxa"/>
                  <w:noWrap w:val="0"/>
                  <w:vAlign w:val="center"/>
                </w:tcPr>
                <w:p w14:paraId="4A273627">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团粒</w:t>
                  </w:r>
                </w:p>
              </w:tc>
              <w:tc>
                <w:tcPr>
                  <w:tcW w:w="873" w:type="dxa"/>
                  <w:noWrap w:val="0"/>
                  <w:vAlign w:val="center"/>
                </w:tcPr>
                <w:p w14:paraId="5FA1004D">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团粒</w:t>
                  </w:r>
                </w:p>
              </w:tc>
              <w:tc>
                <w:tcPr>
                  <w:tcW w:w="883" w:type="dxa"/>
                  <w:noWrap w:val="0"/>
                  <w:vAlign w:val="center"/>
                </w:tcPr>
                <w:p w14:paraId="127240D4">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团粒</w:t>
                  </w:r>
                </w:p>
              </w:tc>
              <w:tc>
                <w:tcPr>
                  <w:tcW w:w="863" w:type="dxa"/>
                  <w:noWrap w:val="0"/>
                  <w:vAlign w:val="center"/>
                </w:tcPr>
                <w:p w14:paraId="369DA967">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团粒</w:t>
                  </w:r>
                </w:p>
              </w:tc>
              <w:tc>
                <w:tcPr>
                  <w:tcW w:w="873" w:type="dxa"/>
                  <w:noWrap w:val="0"/>
                  <w:vAlign w:val="center"/>
                </w:tcPr>
                <w:p w14:paraId="0AFDE3ED">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团粒</w:t>
                  </w:r>
                </w:p>
              </w:tc>
              <w:tc>
                <w:tcPr>
                  <w:tcW w:w="883" w:type="dxa"/>
                  <w:noWrap w:val="0"/>
                  <w:vAlign w:val="center"/>
                </w:tcPr>
                <w:p w14:paraId="394FAB8F">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团粒</w:t>
                  </w:r>
                </w:p>
              </w:tc>
            </w:tr>
            <w:tr w14:paraId="0CE174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 w:type="pct"/>
                  <w:vMerge w:val="continue"/>
                  <w:noWrap w:val="0"/>
                  <w:vAlign w:val="center"/>
                </w:tcPr>
                <w:p w14:paraId="57B0E00D">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p>
              </w:tc>
              <w:tc>
                <w:tcPr>
                  <w:tcW w:w="765" w:type="pct"/>
                  <w:noWrap w:val="0"/>
                  <w:vAlign w:val="center"/>
                </w:tcPr>
                <w:p w14:paraId="7C39563A">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质地</w:t>
                  </w:r>
                </w:p>
              </w:tc>
              <w:tc>
                <w:tcPr>
                  <w:tcW w:w="439" w:type="pct"/>
                  <w:noWrap w:val="0"/>
                  <w:vAlign w:val="center"/>
                </w:tcPr>
                <w:p w14:paraId="3CE6D27E">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kern w:val="2"/>
                      <w:sz w:val="21"/>
                      <w:szCs w:val="21"/>
                      <w:lang w:val="en-US" w:eastAsia="zh-CN" w:bidi="ar-SA"/>
                    </w:rPr>
                    <w:t>中壤土</w:t>
                  </w:r>
                </w:p>
              </w:tc>
              <w:tc>
                <w:tcPr>
                  <w:tcW w:w="439" w:type="pct"/>
                  <w:noWrap w:val="0"/>
                  <w:vAlign w:val="center"/>
                </w:tcPr>
                <w:p w14:paraId="7C965110">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kern w:val="2"/>
                      <w:sz w:val="21"/>
                      <w:szCs w:val="21"/>
                      <w:lang w:val="en-US" w:eastAsia="zh-CN" w:bidi="ar-SA"/>
                    </w:rPr>
                    <w:t>中壤土</w:t>
                  </w:r>
                </w:p>
              </w:tc>
              <w:tc>
                <w:tcPr>
                  <w:tcW w:w="442" w:type="pct"/>
                  <w:noWrap w:val="0"/>
                  <w:vAlign w:val="center"/>
                </w:tcPr>
                <w:p w14:paraId="6AF07FAB">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kern w:val="2"/>
                      <w:sz w:val="21"/>
                      <w:szCs w:val="21"/>
                      <w:lang w:val="en-US" w:eastAsia="zh-CN" w:bidi="ar-SA"/>
                    </w:rPr>
                    <w:t>中壤土</w:t>
                  </w:r>
                </w:p>
              </w:tc>
              <w:tc>
                <w:tcPr>
                  <w:tcW w:w="868" w:type="dxa"/>
                  <w:noWrap w:val="0"/>
                  <w:vAlign w:val="center"/>
                </w:tcPr>
                <w:p w14:paraId="4645821A">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kern w:val="2"/>
                      <w:sz w:val="21"/>
                      <w:szCs w:val="21"/>
                      <w:lang w:val="en-US" w:eastAsia="zh-CN" w:bidi="ar-SA"/>
                    </w:rPr>
                    <w:t>中壤土</w:t>
                  </w:r>
                </w:p>
              </w:tc>
              <w:tc>
                <w:tcPr>
                  <w:tcW w:w="873" w:type="dxa"/>
                  <w:noWrap w:val="0"/>
                  <w:vAlign w:val="center"/>
                </w:tcPr>
                <w:p w14:paraId="4583DA7F">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kern w:val="2"/>
                      <w:sz w:val="21"/>
                      <w:szCs w:val="21"/>
                      <w:lang w:val="en-US" w:eastAsia="zh-CN" w:bidi="ar-SA"/>
                    </w:rPr>
                    <w:t>中壤土</w:t>
                  </w:r>
                </w:p>
              </w:tc>
              <w:tc>
                <w:tcPr>
                  <w:tcW w:w="883" w:type="dxa"/>
                  <w:noWrap w:val="0"/>
                  <w:vAlign w:val="center"/>
                </w:tcPr>
                <w:p w14:paraId="07FC6E0B">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kern w:val="2"/>
                      <w:sz w:val="21"/>
                      <w:szCs w:val="21"/>
                      <w:lang w:val="en-US" w:eastAsia="zh-CN" w:bidi="ar-SA"/>
                    </w:rPr>
                    <w:t>中壤土</w:t>
                  </w:r>
                </w:p>
              </w:tc>
              <w:tc>
                <w:tcPr>
                  <w:tcW w:w="863" w:type="dxa"/>
                  <w:noWrap w:val="0"/>
                  <w:vAlign w:val="center"/>
                </w:tcPr>
                <w:p w14:paraId="52943494">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kern w:val="2"/>
                      <w:sz w:val="21"/>
                      <w:szCs w:val="21"/>
                      <w:lang w:val="en-US" w:eastAsia="zh-CN" w:bidi="ar-SA"/>
                    </w:rPr>
                    <w:t>中壤土</w:t>
                  </w:r>
                </w:p>
              </w:tc>
              <w:tc>
                <w:tcPr>
                  <w:tcW w:w="873" w:type="dxa"/>
                  <w:noWrap w:val="0"/>
                  <w:vAlign w:val="center"/>
                </w:tcPr>
                <w:p w14:paraId="62981992">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kern w:val="2"/>
                      <w:sz w:val="21"/>
                      <w:szCs w:val="21"/>
                      <w:lang w:val="en-US" w:eastAsia="zh-CN" w:bidi="ar-SA"/>
                    </w:rPr>
                    <w:t>中壤土</w:t>
                  </w:r>
                </w:p>
              </w:tc>
              <w:tc>
                <w:tcPr>
                  <w:tcW w:w="883" w:type="dxa"/>
                  <w:noWrap w:val="0"/>
                  <w:vAlign w:val="center"/>
                </w:tcPr>
                <w:p w14:paraId="510BD26B">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kern w:val="2"/>
                      <w:sz w:val="21"/>
                      <w:szCs w:val="21"/>
                      <w:lang w:val="en-US" w:eastAsia="zh-CN" w:bidi="ar-SA"/>
                    </w:rPr>
                    <w:t>中壤土</w:t>
                  </w:r>
                </w:p>
              </w:tc>
            </w:tr>
            <w:tr w14:paraId="5A86D8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 w:type="pct"/>
                  <w:vMerge w:val="continue"/>
                  <w:noWrap w:val="0"/>
                  <w:vAlign w:val="center"/>
                </w:tcPr>
                <w:p w14:paraId="7BD003E0">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p>
              </w:tc>
              <w:tc>
                <w:tcPr>
                  <w:tcW w:w="765" w:type="pct"/>
                  <w:noWrap w:val="0"/>
                  <w:vAlign w:val="center"/>
                </w:tcPr>
                <w:p w14:paraId="5ED4EFFD">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砂砾含量</w:t>
                  </w:r>
                </w:p>
              </w:tc>
              <w:tc>
                <w:tcPr>
                  <w:tcW w:w="439" w:type="pct"/>
                  <w:noWrap w:val="0"/>
                  <w:vAlign w:val="center"/>
                </w:tcPr>
                <w:p w14:paraId="4985232C">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少量</w:t>
                  </w:r>
                </w:p>
              </w:tc>
              <w:tc>
                <w:tcPr>
                  <w:tcW w:w="439" w:type="pct"/>
                  <w:noWrap w:val="0"/>
                  <w:vAlign w:val="center"/>
                </w:tcPr>
                <w:p w14:paraId="25868A3D">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少量</w:t>
                  </w:r>
                </w:p>
              </w:tc>
              <w:tc>
                <w:tcPr>
                  <w:tcW w:w="442" w:type="pct"/>
                  <w:noWrap w:val="0"/>
                  <w:vAlign w:val="center"/>
                </w:tcPr>
                <w:p w14:paraId="16C9CAA3">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少量</w:t>
                  </w:r>
                </w:p>
              </w:tc>
              <w:tc>
                <w:tcPr>
                  <w:tcW w:w="868" w:type="dxa"/>
                  <w:noWrap w:val="0"/>
                  <w:vAlign w:val="center"/>
                </w:tcPr>
                <w:p w14:paraId="38E3143A">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少量</w:t>
                  </w:r>
                </w:p>
              </w:tc>
              <w:tc>
                <w:tcPr>
                  <w:tcW w:w="873" w:type="dxa"/>
                  <w:noWrap w:val="0"/>
                  <w:vAlign w:val="center"/>
                </w:tcPr>
                <w:p w14:paraId="6E3FD552">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少量</w:t>
                  </w:r>
                </w:p>
              </w:tc>
              <w:tc>
                <w:tcPr>
                  <w:tcW w:w="883" w:type="dxa"/>
                  <w:noWrap w:val="0"/>
                  <w:vAlign w:val="center"/>
                </w:tcPr>
                <w:p w14:paraId="45469158">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少量</w:t>
                  </w:r>
                </w:p>
              </w:tc>
              <w:tc>
                <w:tcPr>
                  <w:tcW w:w="863" w:type="dxa"/>
                  <w:noWrap w:val="0"/>
                  <w:vAlign w:val="center"/>
                </w:tcPr>
                <w:p w14:paraId="50EB889E">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少量</w:t>
                  </w:r>
                </w:p>
              </w:tc>
              <w:tc>
                <w:tcPr>
                  <w:tcW w:w="873" w:type="dxa"/>
                  <w:noWrap w:val="0"/>
                  <w:vAlign w:val="center"/>
                </w:tcPr>
                <w:p w14:paraId="6E782109">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少量</w:t>
                  </w:r>
                </w:p>
              </w:tc>
              <w:tc>
                <w:tcPr>
                  <w:tcW w:w="883" w:type="dxa"/>
                  <w:noWrap w:val="0"/>
                  <w:vAlign w:val="center"/>
                </w:tcPr>
                <w:p w14:paraId="0F2B35E1">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少量</w:t>
                  </w:r>
                </w:p>
              </w:tc>
            </w:tr>
            <w:tr w14:paraId="3A86CA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 w:type="pct"/>
                  <w:vMerge w:val="continue"/>
                  <w:noWrap w:val="0"/>
                  <w:vAlign w:val="center"/>
                </w:tcPr>
                <w:p w14:paraId="38E1E842">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p>
              </w:tc>
              <w:tc>
                <w:tcPr>
                  <w:tcW w:w="765" w:type="pct"/>
                  <w:noWrap w:val="0"/>
                  <w:vAlign w:val="center"/>
                </w:tcPr>
                <w:p w14:paraId="59DEE52B">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有无异物</w:t>
                  </w:r>
                </w:p>
              </w:tc>
              <w:tc>
                <w:tcPr>
                  <w:tcW w:w="439" w:type="pct"/>
                  <w:noWrap w:val="0"/>
                  <w:vAlign w:val="center"/>
                </w:tcPr>
                <w:p w14:paraId="0E7317D7">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无</w:t>
                  </w:r>
                </w:p>
              </w:tc>
              <w:tc>
                <w:tcPr>
                  <w:tcW w:w="439" w:type="pct"/>
                  <w:noWrap w:val="0"/>
                  <w:vAlign w:val="center"/>
                </w:tcPr>
                <w:p w14:paraId="5AB3B292">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无</w:t>
                  </w:r>
                </w:p>
              </w:tc>
              <w:tc>
                <w:tcPr>
                  <w:tcW w:w="442" w:type="pct"/>
                  <w:noWrap w:val="0"/>
                  <w:vAlign w:val="center"/>
                </w:tcPr>
                <w:p w14:paraId="344AFBD3">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无</w:t>
                  </w:r>
                </w:p>
              </w:tc>
              <w:tc>
                <w:tcPr>
                  <w:tcW w:w="868" w:type="dxa"/>
                  <w:noWrap w:val="0"/>
                  <w:vAlign w:val="center"/>
                </w:tcPr>
                <w:p w14:paraId="7DCAAF46">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无</w:t>
                  </w:r>
                </w:p>
              </w:tc>
              <w:tc>
                <w:tcPr>
                  <w:tcW w:w="873" w:type="dxa"/>
                  <w:noWrap w:val="0"/>
                  <w:vAlign w:val="center"/>
                </w:tcPr>
                <w:p w14:paraId="7B3A8BB9">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无</w:t>
                  </w:r>
                </w:p>
              </w:tc>
              <w:tc>
                <w:tcPr>
                  <w:tcW w:w="883" w:type="dxa"/>
                  <w:noWrap w:val="0"/>
                  <w:vAlign w:val="center"/>
                </w:tcPr>
                <w:p w14:paraId="5664746B">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无</w:t>
                  </w:r>
                </w:p>
              </w:tc>
              <w:tc>
                <w:tcPr>
                  <w:tcW w:w="863" w:type="dxa"/>
                  <w:noWrap w:val="0"/>
                  <w:vAlign w:val="center"/>
                </w:tcPr>
                <w:p w14:paraId="092537D4">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无</w:t>
                  </w:r>
                </w:p>
              </w:tc>
              <w:tc>
                <w:tcPr>
                  <w:tcW w:w="873" w:type="dxa"/>
                  <w:noWrap w:val="0"/>
                  <w:vAlign w:val="center"/>
                </w:tcPr>
                <w:p w14:paraId="7BD12BC6">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无</w:t>
                  </w:r>
                </w:p>
              </w:tc>
              <w:tc>
                <w:tcPr>
                  <w:tcW w:w="883" w:type="dxa"/>
                  <w:noWrap w:val="0"/>
                  <w:vAlign w:val="center"/>
                </w:tcPr>
                <w:p w14:paraId="5EDC028F">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无</w:t>
                  </w:r>
                </w:p>
              </w:tc>
            </w:tr>
            <w:tr w14:paraId="27881E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 w:type="pct"/>
                  <w:vMerge w:val="continue"/>
                  <w:noWrap w:val="0"/>
                  <w:vAlign w:val="center"/>
                </w:tcPr>
                <w:p w14:paraId="51909F78">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p>
              </w:tc>
              <w:tc>
                <w:tcPr>
                  <w:tcW w:w="765" w:type="pct"/>
                  <w:noWrap w:val="0"/>
                  <w:vAlign w:val="center"/>
                </w:tcPr>
                <w:p w14:paraId="65709196">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z w:val="21"/>
                      <w:szCs w:val="21"/>
                    </w:rPr>
                    <w:t>饱和导水率</w:t>
                  </w:r>
                  <w:r>
                    <w:rPr>
                      <w:rFonts w:hint="default" w:ascii="Times New Roman" w:hAnsi="Times New Roman" w:eastAsia="宋体" w:cs="Times New Roman"/>
                      <w:b w:val="0"/>
                      <w:bCs w:val="0"/>
                      <w:color w:val="auto"/>
                      <w:sz w:val="21"/>
                      <w:szCs w:val="21"/>
                      <w:highlight w:val="none"/>
                    </w:rPr>
                    <w:t>（mm/min）</w:t>
                  </w:r>
                </w:p>
              </w:tc>
              <w:tc>
                <w:tcPr>
                  <w:tcW w:w="439" w:type="pct"/>
                  <w:noWrap w:val="0"/>
                  <w:vAlign w:val="center"/>
                </w:tcPr>
                <w:p w14:paraId="462941E2">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1.30</w:t>
                  </w:r>
                </w:p>
              </w:tc>
              <w:tc>
                <w:tcPr>
                  <w:tcW w:w="439" w:type="pct"/>
                  <w:noWrap w:val="0"/>
                  <w:vAlign w:val="center"/>
                </w:tcPr>
                <w:p w14:paraId="46E7C80E">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1.48</w:t>
                  </w:r>
                </w:p>
              </w:tc>
              <w:tc>
                <w:tcPr>
                  <w:tcW w:w="442" w:type="pct"/>
                  <w:noWrap w:val="0"/>
                  <w:vAlign w:val="center"/>
                </w:tcPr>
                <w:p w14:paraId="7717ECA1">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1.53</w:t>
                  </w:r>
                </w:p>
              </w:tc>
              <w:tc>
                <w:tcPr>
                  <w:tcW w:w="437" w:type="pct"/>
                  <w:noWrap w:val="0"/>
                  <w:vAlign w:val="center"/>
                </w:tcPr>
                <w:p w14:paraId="04AF14DF">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1.45</w:t>
                  </w:r>
                </w:p>
              </w:tc>
              <w:tc>
                <w:tcPr>
                  <w:tcW w:w="439" w:type="pct"/>
                  <w:noWrap w:val="0"/>
                  <w:vAlign w:val="center"/>
                </w:tcPr>
                <w:p w14:paraId="577038D5">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1.45</w:t>
                  </w:r>
                </w:p>
              </w:tc>
              <w:tc>
                <w:tcPr>
                  <w:tcW w:w="444" w:type="pct"/>
                  <w:noWrap w:val="0"/>
                  <w:vAlign w:val="center"/>
                </w:tcPr>
                <w:p w14:paraId="0EB58864">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1.29</w:t>
                  </w:r>
                </w:p>
              </w:tc>
              <w:tc>
                <w:tcPr>
                  <w:tcW w:w="434" w:type="pct"/>
                  <w:noWrap w:val="0"/>
                  <w:vAlign w:val="center"/>
                </w:tcPr>
                <w:p w14:paraId="10977F82">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1.40</w:t>
                  </w:r>
                </w:p>
              </w:tc>
              <w:tc>
                <w:tcPr>
                  <w:tcW w:w="439" w:type="pct"/>
                  <w:noWrap w:val="0"/>
                  <w:vAlign w:val="center"/>
                </w:tcPr>
                <w:p w14:paraId="6B2026D4">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1.40</w:t>
                  </w:r>
                </w:p>
              </w:tc>
              <w:tc>
                <w:tcPr>
                  <w:tcW w:w="444" w:type="pct"/>
                  <w:noWrap w:val="0"/>
                  <w:vAlign w:val="center"/>
                </w:tcPr>
                <w:p w14:paraId="71CF3E1A">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1.45</w:t>
                  </w:r>
                </w:p>
              </w:tc>
            </w:tr>
            <w:tr w14:paraId="52CC1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273" w:type="pct"/>
                  <w:vMerge w:val="continue"/>
                  <w:noWrap w:val="0"/>
                  <w:vAlign w:val="center"/>
                </w:tcPr>
                <w:p w14:paraId="3C9121A1">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p>
              </w:tc>
              <w:tc>
                <w:tcPr>
                  <w:tcW w:w="765" w:type="pct"/>
                  <w:noWrap w:val="0"/>
                  <w:vAlign w:val="center"/>
                </w:tcPr>
                <w:p w14:paraId="57CAA82E">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z w:val="21"/>
                      <w:szCs w:val="21"/>
                    </w:rPr>
                    <w:t>孔隙度</w:t>
                  </w:r>
                  <w:r>
                    <w:rPr>
                      <w:rFonts w:hint="default" w:ascii="Times New Roman" w:hAnsi="Times New Roman" w:eastAsia="宋体" w:cs="Times New Roman"/>
                      <w:sz w:val="21"/>
                      <w:szCs w:val="21"/>
                    </w:rPr>
                    <w:t>（%）</w:t>
                  </w:r>
                </w:p>
              </w:tc>
              <w:tc>
                <w:tcPr>
                  <w:tcW w:w="439" w:type="pct"/>
                  <w:noWrap w:val="0"/>
                  <w:vAlign w:val="center"/>
                </w:tcPr>
                <w:p w14:paraId="799D2D12">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48</w:t>
                  </w:r>
                </w:p>
              </w:tc>
              <w:tc>
                <w:tcPr>
                  <w:tcW w:w="439" w:type="pct"/>
                  <w:noWrap w:val="0"/>
                  <w:vAlign w:val="center"/>
                </w:tcPr>
                <w:p w14:paraId="2F7F6A82">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53</w:t>
                  </w:r>
                </w:p>
              </w:tc>
              <w:tc>
                <w:tcPr>
                  <w:tcW w:w="442" w:type="pct"/>
                  <w:noWrap w:val="0"/>
                  <w:vAlign w:val="center"/>
                </w:tcPr>
                <w:p w14:paraId="384AED5E">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51</w:t>
                  </w:r>
                </w:p>
              </w:tc>
              <w:tc>
                <w:tcPr>
                  <w:tcW w:w="437" w:type="pct"/>
                  <w:noWrap w:val="0"/>
                  <w:vAlign w:val="center"/>
                </w:tcPr>
                <w:p w14:paraId="688BE41C">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43</w:t>
                  </w:r>
                </w:p>
              </w:tc>
              <w:tc>
                <w:tcPr>
                  <w:tcW w:w="439" w:type="pct"/>
                  <w:noWrap w:val="0"/>
                  <w:vAlign w:val="center"/>
                </w:tcPr>
                <w:p w14:paraId="3A19114A">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45</w:t>
                  </w:r>
                </w:p>
              </w:tc>
              <w:tc>
                <w:tcPr>
                  <w:tcW w:w="444" w:type="pct"/>
                  <w:noWrap w:val="0"/>
                  <w:vAlign w:val="center"/>
                </w:tcPr>
                <w:p w14:paraId="04B5FDC5">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50</w:t>
                  </w:r>
                </w:p>
              </w:tc>
              <w:tc>
                <w:tcPr>
                  <w:tcW w:w="434" w:type="pct"/>
                  <w:noWrap w:val="0"/>
                  <w:vAlign w:val="center"/>
                </w:tcPr>
                <w:p w14:paraId="75757BC2">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42</w:t>
                  </w:r>
                </w:p>
              </w:tc>
              <w:tc>
                <w:tcPr>
                  <w:tcW w:w="439" w:type="pct"/>
                  <w:noWrap w:val="0"/>
                  <w:vAlign w:val="center"/>
                </w:tcPr>
                <w:p w14:paraId="19DC0D0A">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51</w:t>
                  </w:r>
                </w:p>
              </w:tc>
              <w:tc>
                <w:tcPr>
                  <w:tcW w:w="444" w:type="pct"/>
                  <w:noWrap w:val="0"/>
                  <w:vAlign w:val="center"/>
                </w:tcPr>
                <w:p w14:paraId="419813E5">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54</w:t>
                  </w:r>
                </w:p>
              </w:tc>
            </w:tr>
            <w:tr w14:paraId="5F67E4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038" w:type="pct"/>
                  <w:gridSpan w:val="2"/>
                  <w:noWrap w:val="0"/>
                  <w:vAlign w:val="center"/>
                </w:tcPr>
                <w:p w14:paraId="5D7FECEB">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备注</w:t>
                  </w:r>
                </w:p>
              </w:tc>
              <w:tc>
                <w:tcPr>
                  <w:tcW w:w="3961" w:type="pct"/>
                  <w:gridSpan w:val="9"/>
                  <w:noWrap w:val="0"/>
                  <w:vAlign w:val="center"/>
                </w:tcPr>
                <w:p w14:paraId="78A2F8DE">
                  <w:pPr>
                    <w:widowControl/>
                    <w:adjustRightInd w:val="0"/>
                    <w:snapToGrid w:val="0"/>
                    <w:spacing w:line="240" w:lineRule="auto"/>
                    <w:ind w:firstLine="0" w:firstLineChars="0"/>
                    <w:jc w:val="center"/>
                    <w:rPr>
                      <w:rFonts w:hint="default" w:ascii="Times New Roman" w:hAnsi="Times New Roman" w:eastAsia="宋体" w:cs="Times New Roman"/>
                      <w:color w:val="auto"/>
                      <w:spacing w:val="-5"/>
                      <w:sz w:val="21"/>
                      <w:szCs w:val="21"/>
                      <w:highlight w:val="none"/>
                      <w:vertAlign w:val="baseline"/>
                      <w:lang w:val="en-US" w:eastAsia="zh-CN" w:bidi="he-IL"/>
                    </w:rPr>
                  </w:pPr>
                  <w:r>
                    <w:rPr>
                      <w:rFonts w:hint="default" w:ascii="Times New Roman" w:hAnsi="Times New Roman" w:eastAsia="宋体" w:cs="Times New Roman"/>
                      <w:color w:val="auto"/>
                      <w:spacing w:val="-5"/>
                      <w:sz w:val="21"/>
                      <w:szCs w:val="21"/>
                      <w:highlight w:val="none"/>
                      <w:vertAlign w:val="baseline"/>
                      <w:lang w:val="en-US" w:eastAsia="zh-CN" w:bidi="he-IL"/>
                    </w:rPr>
                    <w:t>---</w:t>
                  </w:r>
                </w:p>
              </w:tc>
            </w:tr>
          </w:tbl>
          <w:p w14:paraId="56FDE1E2">
            <w:pPr>
              <w:pStyle w:val="24"/>
              <w:adjustRightInd w:val="0"/>
              <w:spacing w:before="0" w:after="0" w:line="240" w:lineRule="auto"/>
              <w:ind w:right="0" w:firstLine="0" w:firstLineChars="0"/>
              <w:jc w:val="center"/>
              <w:rPr>
                <w:rFonts w:hint="default" w:ascii="Times New Roman" w:hAnsi="Times New Roman" w:eastAsia="宋体" w:cs="Times New Roman"/>
                <w:b/>
                <w:bCs/>
                <w:iCs w:val="0"/>
                <w:color w:val="auto"/>
                <w:kern w:val="0"/>
                <w:sz w:val="24"/>
                <w:szCs w:val="24"/>
                <w:highlight w:val="none"/>
                <w:lang w:val="en-US" w:eastAsia="zh-CN" w:bidi="ar"/>
              </w:rPr>
            </w:pPr>
            <w:r>
              <w:rPr>
                <w:rFonts w:hint="eastAsia" w:ascii="Times New Roman" w:hAnsi="Times New Roman" w:eastAsia="宋体" w:cs="Times New Roman"/>
                <w:b/>
                <w:bCs/>
                <w:iCs w:val="0"/>
                <w:color w:val="auto"/>
                <w:kern w:val="0"/>
                <w:sz w:val="24"/>
                <w:szCs w:val="24"/>
                <w:highlight w:val="none"/>
                <w:lang w:val="en-US" w:eastAsia="zh-CN" w:bidi="ar"/>
              </w:rPr>
              <w:t>表3-</w:t>
            </w:r>
            <w:r>
              <w:rPr>
                <w:rFonts w:hint="eastAsia" w:cs="Times New Roman"/>
                <w:b/>
                <w:bCs/>
                <w:iCs w:val="0"/>
                <w:color w:val="auto"/>
                <w:kern w:val="0"/>
                <w:sz w:val="24"/>
                <w:szCs w:val="24"/>
                <w:highlight w:val="none"/>
                <w:lang w:val="en-US" w:eastAsia="zh-CN" w:bidi="ar"/>
              </w:rPr>
              <w:t xml:space="preserve">6  </w:t>
            </w:r>
            <w:r>
              <w:rPr>
                <w:rFonts w:hint="eastAsia" w:ascii="Times New Roman" w:hAnsi="Times New Roman" w:eastAsia="宋体" w:cs="Times New Roman"/>
                <w:b/>
                <w:bCs/>
                <w:iCs w:val="0"/>
                <w:color w:val="auto"/>
                <w:kern w:val="0"/>
                <w:sz w:val="24"/>
                <w:szCs w:val="24"/>
                <w:highlight w:val="none"/>
                <w:lang w:val="en-US" w:eastAsia="zh-CN" w:bidi="ar"/>
              </w:rPr>
              <w:t>项目占地范围外土壤理化性质表</w:t>
            </w:r>
          </w:p>
          <w:tbl>
            <w:tblPr>
              <w:tblStyle w:val="40"/>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47"/>
              <w:gridCol w:w="1183"/>
              <w:gridCol w:w="1288"/>
              <w:gridCol w:w="1288"/>
              <w:gridCol w:w="1288"/>
              <w:gridCol w:w="1288"/>
              <w:gridCol w:w="1289"/>
            </w:tblGrid>
            <w:tr w14:paraId="276821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9" w:type="pct"/>
                  <w:gridSpan w:val="2"/>
                  <w:tcBorders>
                    <w:bottom w:val="single" w:color="auto" w:sz="4" w:space="0"/>
                  </w:tcBorders>
                  <w:noWrap w:val="0"/>
                  <w:vAlign w:val="center"/>
                </w:tcPr>
                <w:p w14:paraId="4167AAA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pacing w:val="-5"/>
                      <w:sz w:val="21"/>
                      <w:szCs w:val="21"/>
                      <w:highlight w:val="none"/>
                      <w:vertAlign w:val="baseline"/>
                      <w:lang w:val="en-US" w:eastAsia="zh-CN" w:bidi="he-IL"/>
                    </w:rPr>
                  </w:pPr>
                  <w:r>
                    <w:rPr>
                      <w:rFonts w:hint="default" w:ascii="Times New Roman" w:hAnsi="Times New Roman" w:cs="Times New Roman" w:eastAsiaTheme="minorEastAsia"/>
                      <w:b/>
                      <w:bCs/>
                      <w:color w:val="auto"/>
                      <w:spacing w:val="-5"/>
                      <w:sz w:val="21"/>
                      <w:szCs w:val="21"/>
                      <w:highlight w:val="none"/>
                      <w:vertAlign w:val="baseline"/>
                      <w:lang w:val="en-US" w:eastAsia="zh-CN" w:bidi="he-IL"/>
                    </w:rPr>
                    <w:t>采样日期</w:t>
                  </w:r>
                </w:p>
              </w:tc>
              <w:tc>
                <w:tcPr>
                  <w:tcW w:w="3990" w:type="pct"/>
                  <w:gridSpan w:val="5"/>
                  <w:noWrap w:val="0"/>
                  <w:vAlign w:val="center"/>
                </w:tcPr>
                <w:p w14:paraId="28FF500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pacing w:val="-5"/>
                      <w:sz w:val="21"/>
                      <w:szCs w:val="21"/>
                      <w:highlight w:val="none"/>
                      <w:vertAlign w:val="baseline"/>
                      <w:lang w:val="en-US" w:eastAsia="zh-CN" w:bidi="he-IL"/>
                    </w:rPr>
                  </w:pPr>
                  <w:r>
                    <w:rPr>
                      <w:rFonts w:hint="default" w:ascii="Times New Roman" w:hAnsi="Times New Roman" w:cs="Times New Roman" w:eastAsiaTheme="minorEastAsia"/>
                      <w:b/>
                      <w:bCs/>
                      <w:sz w:val="21"/>
                      <w:szCs w:val="21"/>
                      <w:lang w:val="en-US" w:eastAsia="zh-CN"/>
                    </w:rPr>
                    <w:t>2025-07-19</w:t>
                  </w:r>
                </w:p>
              </w:tc>
            </w:tr>
            <w:tr w14:paraId="66B583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009" w:type="pct"/>
                  <w:gridSpan w:val="2"/>
                  <w:noWrap w:val="0"/>
                  <w:vAlign w:val="center"/>
                </w:tcPr>
                <w:p w14:paraId="3E4DAEB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pacing w:val="-5"/>
                      <w:sz w:val="21"/>
                      <w:szCs w:val="21"/>
                      <w:highlight w:val="none"/>
                      <w:vertAlign w:val="baseline"/>
                      <w:lang w:val="en-US" w:eastAsia="zh-CN" w:bidi="he-IL"/>
                    </w:rPr>
                  </w:pPr>
                  <w:r>
                    <w:rPr>
                      <w:rFonts w:hint="default" w:ascii="Times New Roman" w:hAnsi="Times New Roman" w:cs="Times New Roman" w:eastAsiaTheme="minorEastAsia"/>
                      <w:b/>
                      <w:bCs/>
                      <w:color w:val="auto"/>
                      <w:spacing w:val="-5"/>
                      <w:sz w:val="21"/>
                      <w:szCs w:val="21"/>
                      <w:highlight w:val="none"/>
                      <w:vertAlign w:val="baseline"/>
                      <w:lang w:val="en-US" w:eastAsia="zh-CN" w:bidi="he-IL"/>
                    </w:rPr>
                    <w:t>采样点位</w:t>
                  </w:r>
                </w:p>
              </w:tc>
              <w:tc>
                <w:tcPr>
                  <w:tcW w:w="797" w:type="pct"/>
                  <w:noWrap w:val="0"/>
                  <w:vAlign w:val="center"/>
                </w:tcPr>
                <w:p w14:paraId="3F4C098F">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pacing w:val="-5"/>
                      <w:sz w:val="21"/>
                      <w:szCs w:val="21"/>
                      <w:highlight w:val="none"/>
                      <w:vertAlign w:val="baseline"/>
                      <w:lang w:val="en-US" w:eastAsia="zh-CN" w:bidi="he-IL"/>
                    </w:rPr>
                  </w:pPr>
                  <w:r>
                    <w:rPr>
                      <w:rFonts w:hint="default" w:ascii="Times New Roman" w:hAnsi="Times New Roman" w:cs="Times New Roman" w:eastAsiaTheme="minorEastAsia"/>
                      <w:b/>
                      <w:bCs/>
                      <w:sz w:val="21"/>
                      <w:szCs w:val="21"/>
                      <w:lang w:val="en-US" w:eastAsia="zh-CN"/>
                    </w:rPr>
                    <w:t>S4</w:t>
                  </w:r>
                  <w:r>
                    <w:rPr>
                      <w:rFonts w:hint="default" w:ascii="Times New Roman" w:hAnsi="Times New Roman" w:cs="Times New Roman" w:eastAsiaTheme="minorEastAsia"/>
                      <w:b/>
                      <w:bCs/>
                      <w:color w:val="auto"/>
                      <w:sz w:val="21"/>
                      <w:szCs w:val="21"/>
                      <w:highlight w:val="none"/>
                      <w:lang w:val="en-US" w:eastAsia="zh-CN"/>
                    </w:rPr>
                    <w:t>项目外上风向</w:t>
                  </w:r>
                </w:p>
              </w:tc>
              <w:tc>
                <w:tcPr>
                  <w:tcW w:w="797" w:type="pct"/>
                  <w:noWrap w:val="0"/>
                  <w:vAlign w:val="center"/>
                </w:tcPr>
                <w:p w14:paraId="5D564C27">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pacing w:val="-5"/>
                      <w:sz w:val="21"/>
                      <w:szCs w:val="21"/>
                      <w:highlight w:val="none"/>
                      <w:vertAlign w:val="baseline"/>
                      <w:lang w:val="en-US" w:eastAsia="zh-CN" w:bidi="he-IL"/>
                    </w:rPr>
                  </w:pPr>
                  <w:r>
                    <w:rPr>
                      <w:rFonts w:hint="default" w:ascii="Times New Roman" w:hAnsi="Times New Roman" w:cs="Times New Roman" w:eastAsiaTheme="minorEastAsia"/>
                      <w:b/>
                      <w:bCs/>
                      <w:color w:val="auto"/>
                      <w:sz w:val="21"/>
                      <w:szCs w:val="21"/>
                      <w:highlight w:val="none"/>
                      <w:lang w:val="en-US" w:eastAsia="zh-CN"/>
                    </w:rPr>
                    <w:t>S5项目外下风向农用地</w:t>
                  </w:r>
                </w:p>
              </w:tc>
              <w:tc>
                <w:tcPr>
                  <w:tcW w:w="797" w:type="pct"/>
                  <w:noWrap w:val="0"/>
                  <w:vAlign w:val="center"/>
                </w:tcPr>
                <w:p w14:paraId="0D640D7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pacing w:val="-5"/>
                      <w:sz w:val="21"/>
                      <w:szCs w:val="21"/>
                      <w:highlight w:val="none"/>
                      <w:vertAlign w:val="baseline"/>
                      <w:lang w:val="en-US" w:eastAsia="zh-CN" w:bidi="he-IL"/>
                    </w:rPr>
                  </w:pPr>
                  <w:r>
                    <w:rPr>
                      <w:rFonts w:hint="default" w:ascii="Times New Roman" w:hAnsi="Times New Roman" w:cs="Times New Roman" w:eastAsiaTheme="minorEastAsia"/>
                      <w:b/>
                      <w:bCs/>
                      <w:color w:val="auto"/>
                      <w:sz w:val="21"/>
                      <w:szCs w:val="21"/>
                      <w:highlight w:val="none"/>
                      <w:lang w:val="en-US" w:eastAsia="zh-CN"/>
                    </w:rPr>
                    <w:t>S6项目外下风向石头山村</w:t>
                  </w:r>
                </w:p>
              </w:tc>
              <w:tc>
                <w:tcPr>
                  <w:tcW w:w="797" w:type="pct"/>
                  <w:noWrap w:val="0"/>
                  <w:vAlign w:val="center"/>
                </w:tcPr>
                <w:p w14:paraId="6647128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pacing w:val="-5"/>
                      <w:sz w:val="21"/>
                      <w:szCs w:val="21"/>
                      <w:highlight w:val="none"/>
                      <w:vertAlign w:val="baseline"/>
                      <w:lang w:val="en-US" w:eastAsia="zh-CN" w:bidi="he-IL"/>
                    </w:rPr>
                  </w:pPr>
                  <w:r>
                    <w:rPr>
                      <w:rFonts w:hint="default" w:ascii="Times New Roman" w:hAnsi="Times New Roman" w:cs="Times New Roman" w:eastAsiaTheme="minorEastAsia"/>
                      <w:b/>
                      <w:bCs/>
                      <w:color w:val="auto"/>
                      <w:sz w:val="21"/>
                      <w:szCs w:val="21"/>
                      <w:highlight w:val="none"/>
                      <w:lang w:val="en-US" w:eastAsia="zh-CN"/>
                    </w:rPr>
                    <w:t>S7项目</w:t>
                  </w:r>
                  <w:r>
                    <w:rPr>
                      <w:rFonts w:hint="default" w:ascii="Times New Roman" w:hAnsi="Times New Roman" w:cs="Times New Roman" w:eastAsiaTheme="minorEastAsia"/>
                      <w:b/>
                      <w:bCs/>
                      <w:color w:val="auto"/>
                      <w:sz w:val="21"/>
                      <w:szCs w:val="21"/>
                      <w:highlight w:val="none"/>
                    </w:rPr>
                    <w:t>外上游</w:t>
                  </w:r>
                  <w:r>
                    <w:rPr>
                      <w:rFonts w:hint="default" w:ascii="Times New Roman" w:hAnsi="Times New Roman" w:cs="Times New Roman" w:eastAsiaTheme="minorEastAsia"/>
                      <w:b/>
                      <w:bCs/>
                      <w:color w:val="auto"/>
                      <w:sz w:val="21"/>
                      <w:szCs w:val="21"/>
                      <w:highlight w:val="none"/>
                      <w:lang w:val="en-US" w:eastAsia="zh-CN"/>
                    </w:rPr>
                    <w:t>农用地</w:t>
                  </w:r>
                </w:p>
              </w:tc>
              <w:tc>
                <w:tcPr>
                  <w:tcW w:w="798" w:type="pct"/>
                  <w:noWrap w:val="0"/>
                  <w:vAlign w:val="center"/>
                </w:tcPr>
                <w:p w14:paraId="14617BE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pacing w:val="-5"/>
                      <w:sz w:val="21"/>
                      <w:szCs w:val="21"/>
                      <w:highlight w:val="none"/>
                      <w:vertAlign w:val="baseline"/>
                      <w:lang w:val="en-US" w:eastAsia="zh-CN" w:bidi="he-IL"/>
                    </w:rPr>
                  </w:pPr>
                  <w:r>
                    <w:rPr>
                      <w:rFonts w:hint="default" w:ascii="Times New Roman" w:hAnsi="Times New Roman" w:cs="Times New Roman" w:eastAsiaTheme="minorEastAsia"/>
                      <w:b/>
                      <w:bCs/>
                      <w:color w:val="auto"/>
                      <w:sz w:val="21"/>
                      <w:szCs w:val="21"/>
                      <w:highlight w:val="none"/>
                      <w:lang w:val="en-US" w:eastAsia="zh-CN"/>
                    </w:rPr>
                    <w:t>S8项目外下</w:t>
                  </w:r>
                  <w:r>
                    <w:rPr>
                      <w:rFonts w:hint="default" w:ascii="Times New Roman" w:hAnsi="Times New Roman" w:cs="Times New Roman" w:eastAsiaTheme="minorEastAsia"/>
                      <w:b/>
                      <w:bCs/>
                      <w:color w:val="auto"/>
                      <w:sz w:val="21"/>
                      <w:szCs w:val="21"/>
                      <w:highlight w:val="none"/>
                    </w:rPr>
                    <w:t>游</w:t>
                  </w:r>
                  <w:r>
                    <w:rPr>
                      <w:rFonts w:hint="default" w:ascii="Times New Roman" w:hAnsi="Times New Roman" w:cs="Times New Roman" w:eastAsiaTheme="minorEastAsia"/>
                      <w:b/>
                      <w:bCs/>
                      <w:color w:val="auto"/>
                      <w:sz w:val="21"/>
                      <w:szCs w:val="21"/>
                      <w:highlight w:val="none"/>
                      <w:lang w:val="en-US" w:eastAsia="zh-CN"/>
                    </w:rPr>
                    <w:t>农用地</w:t>
                  </w:r>
                </w:p>
              </w:tc>
            </w:tr>
            <w:tr w14:paraId="6F8C8C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9" w:type="pct"/>
                  <w:gridSpan w:val="2"/>
                  <w:tcBorders>
                    <w:tl2br w:val="single" w:color="auto" w:sz="4" w:space="0"/>
                  </w:tcBorders>
                  <w:noWrap w:val="0"/>
                  <w:vAlign w:val="center"/>
                </w:tcPr>
                <w:p w14:paraId="222D119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b/>
                      <w:bCs/>
                      <w:color w:val="auto"/>
                      <w:spacing w:val="-5"/>
                      <w:sz w:val="21"/>
                      <w:szCs w:val="21"/>
                      <w:highlight w:val="none"/>
                      <w:vertAlign w:val="baseline"/>
                      <w:lang w:val="en-US" w:eastAsia="zh-CN" w:bidi="he-IL"/>
                    </w:rPr>
                  </w:pPr>
                  <w:r>
                    <w:rPr>
                      <w:rFonts w:hint="default" w:ascii="Times New Roman" w:hAnsi="Times New Roman" w:cs="Times New Roman" w:eastAsiaTheme="minorEastAsia"/>
                      <w:color w:val="auto"/>
                      <w:spacing w:val="-5"/>
                      <w:sz w:val="21"/>
                      <w:szCs w:val="21"/>
                      <w:highlight w:val="none"/>
                      <w:vertAlign w:val="baseline"/>
                      <w:lang w:val="en-US" w:eastAsia="zh-CN" w:bidi="he-IL"/>
                    </w:rPr>
                    <w:t xml:space="preserve">         </w:t>
                  </w:r>
                  <w:r>
                    <w:rPr>
                      <w:rFonts w:hint="default" w:ascii="Times New Roman" w:hAnsi="Times New Roman" w:cs="Times New Roman" w:eastAsiaTheme="minorEastAsia"/>
                      <w:b/>
                      <w:bCs/>
                      <w:color w:val="auto"/>
                      <w:spacing w:val="-5"/>
                      <w:sz w:val="21"/>
                      <w:szCs w:val="21"/>
                      <w:highlight w:val="none"/>
                      <w:vertAlign w:val="baseline"/>
                      <w:lang w:val="en-US" w:eastAsia="zh-CN" w:bidi="he-IL"/>
                    </w:rPr>
                    <w:t>样品编号</w:t>
                  </w:r>
                </w:p>
                <w:p w14:paraId="22E95BC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both"/>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b/>
                      <w:bCs/>
                      <w:color w:val="auto"/>
                      <w:spacing w:val="-5"/>
                      <w:sz w:val="21"/>
                      <w:szCs w:val="21"/>
                      <w:highlight w:val="none"/>
                      <w:vertAlign w:val="baseline"/>
                      <w:lang w:val="en-US" w:eastAsia="zh-CN" w:bidi="he-IL"/>
                    </w:rPr>
                    <w:t>检测项目</w:t>
                  </w:r>
                </w:p>
              </w:tc>
              <w:tc>
                <w:tcPr>
                  <w:tcW w:w="797" w:type="pct"/>
                  <w:noWrap w:val="0"/>
                  <w:vAlign w:val="center"/>
                </w:tcPr>
                <w:p w14:paraId="518FB1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b w:val="0"/>
                      <w:bCs w:val="0"/>
                      <w:color w:val="auto"/>
                      <w:sz w:val="21"/>
                      <w:szCs w:val="21"/>
                      <w:highlight w:val="none"/>
                      <w:lang w:val="en-US" w:eastAsia="zh-CN"/>
                    </w:rPr>
                    <w:t>W25071707TR-6-1-1</w:t>
                  </w:r>
                </w:p>
              </w:tc>
              <w:tc>
                <w:tcPr>
                  <w:tcW w:w="797" w:type="pct"/>
                  <w:noWrap w:val="0"/>
                  <w:vAlign w:val="center"/>
                </w:tcPr>
                <w:p w14:paraId="6862B94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b w:val="0"/>
                      <w:bCs w:val="0"/>
                      <w:color w:val="auto"/>
                      <w:sz w:val="21"/>
                      <w:szCs w:val="21"/>
                      <w:highlight w:val="none"/>
                      <w:lang w:val="en-US" w:eastAsia="zh-CN"/>
                    </w:rPr>
                    <w:t>W25071707TR-8-1-1</w:t>
                  </w:r>
                </w:p>
              </w:tc>
              <w:tc>
                <w:tcPr>
                  <w:tcW w:w="797" w:type="pct"/>
                  <w:noWrap w:val="0"/>
                  <w:vAlign w:val="center"/>
                </w:tcPr>
                <w:p w14:paraId="57A4E4B4">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b w:val="0"/>
                      <w:bCs w:val="0"/>
                      <w:color w:val="auto"/>
                      <w:sz w:val="21"/>
                      <w:szCs w:val="21"/>
                      <w:highlight w:val="none"/>
                      <w:lang w:val="en-US" w:eastAsia="zh-CN"/>
                    </w:rPr>
                    <w:t>W25071707TR-7-1-1</w:t>
                  </w:r>
                </w:p>
              </w:tc>
              <w:tc>
                <w:tcPr>
                  <w:tcW w:w="797" w:type="pct"/>
                  <w:noWrap w:val="0"/>
                  <w:vAlign w:val="center"/>
                </w:tcPr>
                <w:p w14:paraId="497AF0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b w:val="0"/>
                      <w:bCs w:val="0"/>
                      <w:color w:val="auto"/>
                      <w:sz w:val="21"/>
                      <w:szCs w:val="21"/>
                      <w:highlight w:val="none"/>
                      <w:lang w:val="en-US" w:eastAsia="zh-CN"/>
                    </w:rPr>
                    <w:t>W25071707TR-6-1-1</w:t>
                  </w:r>
                </w:p>
              </w:tc>
              <w:tc>
                <w:tcPr>
                  <w:tcW w:w="798" w:type="pct"/>
                  <w:noWrap w:val="0"/>
                  <w:vAlign w:val="center"/>
                </w:tcPr>
                <w:p w14:paraId="697743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b w:val="0"/>
                      <w:bCs w:val="0"/>
                      <w:color w:val="auto"/>
                      <w:sz w:val="21"/>
                      <w:szCs w:val="21"/>
                      <w:highlight w:val="none"/>
                      <w:lang w:val="en-US" w:eastAsia="zh-CN"/>
                    </w:rPr>
                    <w:t>W25071707TR-8-1-1</w:t>
                  </w:r>
                </w:p>
              </w:tc>
            </w:tr>
            <w:tr w14:paraId="374DD4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2" w:hRule="atLeast"/>
                <w:jc w:val="center"/>
              </w:trPr>
              <w:tc>
                <w:tcPr>
                  <w:tcW w:w="276" w:type="pct"/>
                  <w:vMerge w:val="restart"/>
                  <w:noWrap w:val="0"/>
                  <w:vAlign w:val="center"/>
                </w:tcPr>
                <w:p w14:paraId="71ABFC5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color w:val="auto"/>
                      <w:spacing w:val="-5"/>
                      <w:sz w:val="21"/>
                      <w:szCs w:val="21"/>
                      <w:highlight w:val="none"/>
                      <w:vertAlign w:val="baseline"/>
                      <w:lang w:val="en-US" w:eastAsia="zh-CN" w:bidi="he-IL"/>
                    </w:rPr>
                    <w:t>现场记录</w:t>
                  </w:r>
                </w:p>
              </w:tc>
              <w:tc>
                <w:tcPr>
                  <w:tcW w:w="732" w:type="pct"/>
                  <w:noWrap w:val="0"/>
                  <w:vAlign w:val="center"/>
                </w:tcPr>
                <w:p w14:paraId="1AB4F43E">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color w:val="auto"/>
                      <w:spacing w:val="-5"/>
                      <w:sz w:val="21"/>
                      <w:szCs w:val="21"/>
                      <w:highlight w:val="none"/>
                      <w:vertAlign w:val="baseline"/>
                      <w:lang w:val="en-US" w:eastAsia="zh-CN" w:bidi="he-IL"/>
                    </w:rPr>
                    <w:t>颜色</w:t>
                  </w:r>
                </w:p>
              </w:tc>
              <w:tc>
                <w:tcPr>
                  <w:tcW w:w="797" w:type="pct"/>
                  <w:noWrap w:val="0"/>
                  <w:vAlign w:val="center"/>
                </w:tcPr>
                <w:p w14:paraId="252308F2">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黄棕</w:t>
                  </w:r>
                </w:p>
              </w:tc>
              <w:tc>
                <w:tcPr>
                  <w:tcW w:w="797" w:type="pct"/>
                  <w:noWrap w:val="0"/>
                  <w:vAlign w:val="center"/>
                </w:tcPr>
                <w:p w14:paraId="64FED2E7">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黄棕</w:t>
                  </w:r>
                </w:p>
              </w:tc>
              <w:tc>
                <w:tcPr>
                  <w:tcW w:w="797" w:type="pct"/>
                  <w:noWrap w:val="0"/>
                  <w:vAlign w:val="center"/>
                </w:tcPr>
                <w:p w14:paraId="3FE18903">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黄棕</w:t>
                  </w:r>
                </w:p>
              </w:tc>
              <w:tc>
                <w:tcPr>
                  <w:tcW w:w="797" w:type="pct"/>
                  <w:noWrap w:val="0"/>
                  <w:vAlign w:val="center"/>
                </w:tcPr>
                <w:p w14:paraId="18141798">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黄棕</w:t>
                  </w:r>
                </w:p>
              </w:tc>
              <w:tc>
                <w:tcPr>
                  <w:tcW w:w="798" w:type="pct"/>
                  <w:noWrap w:val="0"/>
                  <w:vAlign w:val="center"/>
                </w:tcPr>
                <w:p w14:paraId="34999FB4">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黄棕</w:t>
                  </w:r>
                </w:p>
              </w:tc>
            </w:tr>
            <w:tr w14:paraId="7AF490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vMerge w:val="continue"/>
                  <w:noWrap w:val="0"/>
                  <w:vAlign w:val="center"/>
                </w:tcPr>
                <w:p w14:paraId="1EF38F12">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p>
              </w:tc>
              <w:tc>
                <w:tcPr>
                  <w:tcW w:w="732" w:type="pct"/>
                  <w:noWrap w:val="0"/>
                  <w:vAlign w:val="center"/>
                </w:tcPr>
                <w:p w14:paraId="7CE9F85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color w:val="auto"/>
                      <w:spacing w:val="-5"/>
                      <w:sz w:val="21"/>
                      <w:szCs w:val="21"/>
                      <w:highlight w:val="none"/>
                      <w:vertAlign w:val="baseline"/>
                      <w:lang w:val="en-US" w:eastAsia="zh-CN" w:bidi="he-IL"/>
                    </w:rPr>
                    <w:t>结构</w:t>
                  </w:r>
                </w:p>
              </w:tc>
              <w:tc>
                <w:tcPr>
                  <w:tcW w:w="797" w:type="pct"/>
                  <w:noWrap w:val="0"/>
                  <w:vAlign w:val="center"/>
                </w:tcPr>
                <w:p w14:paraId="6CF035CE">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团粒状</w:t>
                  </w:r>
                </w:p>
              </w:tc>
              <w:tc>
                <w:tcPr>
                  <w:tcW w:w="797" w:type="pct"/>
                  <w:noWrap w:val="0"/>
                  <w:vAlign w:val="center"/>
                </w:tcPr>
                <w:p w14:paraId="109E5BBB">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团粒状</w:t>
                  </w:r>
                </w:p>
              </w:tc>
              <w:tc>
                <w:tcPr>
                  <w:tcW w:w="797" w:type="pct"/>
                  <w:noWrap w:val="0"/>
                  <w:vAlign w:val="center"/>
                </w:tcPr>
                <w:p w14:paraId="24D287AF">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团粒状</w:t>
                  </w:r>
                </w:p>
              </w:tc>
              <w:tc>
                <w:tcPr>
                  <w:tcW w:w="797" w:type="pct"/>
                  <w:noWrap w:val="0"/>
                  <w:vAlign w:val="center"/>
                </w:tcPr>
                <w:p w14:paraId="79ECC174">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团粒状</w:t>
                  </w:r>
                </w:p>
              </w:tc>
              <w:tc>
                <w:tcPr>
                  <w:tcW w:w="798" w:type="pct"/>
                  <w:noWrap w:val="0"/>
                  <w:vAlign w:val="center"/>
                </w:tcPr>
                <w:p w14:paraId="3A292482">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团粒状</w:t>
                  </w:r>
                </w:p>
              </w:tc>
            </w:tr>
            <w:tr w14:paraId="2FEFDA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vMerge w:val="continue"/>
                  <w:noWrap w:val="0"/>
                  <w:vAlign w:val="center"/>
                </w:tcPr>
                <w:p w14:paraId="6FF5B66B">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p>
              </w:tc>
              <w:tc>
                <w:tcPr>
                  <w:tcW w:w="732" w:type="pct"/>
                  <w:noWrap w:val="0"/>
                  <w:vAlign w:val="center"/>
                </w:tcPr>
                <w:p w14:paraId="34D1E5A5">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color w:val="auto"/>
                      <w:spacing w:val="-5"/>
                      <w:sz w:val="21"/>
                      <w:szCs w:val="21"/>
                      <w:highlight w:val="none"/>
                      <w:vertAlign w:val="baseline"/>
                      <w:lang w:val="en-US" w:eastAsia="zh-CN" w:bidi="he-IL"/>
                    </w:rPr>
                    <w:t>质地</w:t>
                  </w:r>
                </w:p>
              </w:tc>
              <w:tc>
                <w:tcPr>
                  <w:tcW w:w="797" w:type="pct"/>
                  <w:noWrap w:val="0"/>
                  <w:vAlign w:val="center"/>
                </w:tcPr>
                <w:p w14:paraId="5FBE4BB4">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中壤土</w:t>
                  </w:r>
                </w:p>
              </w:tc>
              <w:tc>
                <w:tcPr>
                  <w:tcW w:w="797" w:type="pct"/>
                  <w:noWrap w:val="0"/>
                  <w:vAlign w:val="center"/>
                </w:tcPr>
                <w:p w14:paraId="259616D2">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中壤土</w:t>
                  </w:r>
                </w:p>
              </w:tc>
              <w:tc>
                <w:tcPr>
                  <w:tcW w:w="797" w:type="pct"/>
                  <w:noWrap w:val="0"/>
                  <w:vAlign w:val="center"/>
                </w:tcPr>
                <w:p w14:paraId="7CA2AD3F">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中壤土</w:t>
                  </w:r>
                </w:p>
              </w:tc>
              <w:tc>
                <w:tcPr>
                  <w:tcW w:w="797" w:type="pct"/>
                  <w:noWrap w:val="0"/>
                  <w:vAlign w:val="center"/>
                </w:tcPr>
                <w:p w14:paraId="193DAA40">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中壤土</w:t>
                  </w:r>
                </w:p>
              </w:tc>
              <w:tc>
                <w:tcPr>
                  <w:tcW w:w="798" w:type="pct"/>
                  <w:noWrap w:val="0"/>
                  <w:vAlign w:val="center"/>
                </w:tcPr>
                <w:p w14:paraId="150A7BD3">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中壤土</w:t>
                  </w:r>
                </w:p>
              </w:tc>
            </w:tr>
            <w:tr w14:paraId="422304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vMerge w:val="continue"/>
                  <w:noWrap w:val="0"/>
                  <w:vAlign w:val="center"/>
                </w:tcPr>
                <w:p w14:paraId="1F91B97A">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p>
              </w:tc>
              <w:tc>
                <w:tcPr>
                  <w:tcW w:w="732" w:type="pct"/>
                  <w:noWrap w:val="0"/>
                  <w:vAlign w:val="center"/>
                </w:tcPr>
                <w:p w14:paraId="14945AE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color w:val="auto"/>
                      <w:spacing w:val="-5"/>
                      <w:sz w:val="21"/>
                      <w:szCs w:val="21"/>
                      <w:highlight w:val="none"/>
                      <w:vertAlign w:val="baseline"/>
                      <w:lang w:val="en-US" w:eastAsia="zh-CN" w:bidi="he-IL"/>
                    </w:rPr>
                    <w:t>砂砾含量（%）</w:t>
                  </w:r>
                </w:p>
              </w:tc>
              <w:tc>
                <w:tcPr>
                  <w:tcW w:w="797" w:type="pct"/>
                  <w:noWrap w:val="0"/>
                  <w:vAlign w:val="center"/>
                </w:tcPr>
                <w:p w14:paraId="042FB4A9">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少量</w:t>
                  </w:r>
                </w:p>
              </w:tc>
              <w:tc>
                <w:tcPr>
                  <w:tcW w:w="797" w:type="pct"/>
                  <w:noWrap w:val="0"/>
                  <w:vAlign w:val="center"/>
                </w:tcPr>
                <w:p w14:paraId="7A189E07">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少量</w:t>
                  </w:r>
                </w:p>
              </w:tc>
              <w:tc>
                <w:tcPr>
                  <w:tcW w:w="797" w:type="pct"/>
                  <w:noWrap w:val="0"/>
                  <w:vAlign w:val="center"/>
                </w:tcPr>
                <w:p w14:paraId="5D4C6223">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少量</w:t>
                  </w:r>
                </w:p>
              </w:tc>
              <w:tc>
                <w:tcPr>
                  <w:tcW w:w="797" w:type="pct"/>
                  <w:noWrap w:val="0"/>
                  <w:vAlign w:val="center"/>
                </w:tcPr>
                <w:p w14:paraId="2F414927">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少量</w:t>
                  </w:r>
                </w:p>
              </w:tc>
              <w:tc>
                <w:tcPr>
                  <w:tcW w:w="798" w:type="pct"/>
                  <w:noWrap w:val="0"/>
                  <w:vAlign w:val="center"/>
                </w:tcPr>
                <w:p w14:paraId="28DB2291">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少量</w:t>
                  </w:r>
                </w:p>
              </w:tc>
            </w:tr>
            <w:tr w14:paraId="0AD434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vMerge w:val="continue"/>
                  <w:noWrap w:val="0"/>
                  <w:vAlign w:val="center"/>
                </w:tcPr>
                <w:p w14:paraId="00D3A670">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p>
              </w:tc>
              <w:tc>
                <w:tcPr>
                  <w:tcW w:w="732" w:type="pct"/>
                  <w:noWrap w:val="0"/>
                  <w:vAlign w:val="center"/>
                </w:tcPr>
                <w:p w14:paraId="11574EE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color w:val="auto"/>
                      <w:spacing w:val="-5"/>
                      <w:sz w:val="21"/>
                      <w:szCs w:val="21"/>
                      <w:highlight w:val="none"/>
                      <w:vertAlign w:val="baseline"/>
                      <w:lang w:val="en-US" w:eastAsia="zh-CN" w:bidi="he-IL"/>
                    </w:rPr>
                    <w:t>有无异物</w:t>
                  </w:r>
                </w:p>
              </w:tc>
              <w:tc>
                <w:tcPr>
                  <w:tcW w:w="797" w:type="pct"/>
                  <w:noWrap w:val="0"/>
                  <w:vAlign w:val="center"/>
                </w:tcPr>
                <w:p w14:paraId="2F879219">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无</w:t>
                  </w:r>
                </w:p>
              </w:tc>
              <w:tc>
                <w:tcPr>
                  <w:tcW w:w="797" w:type="pct"/>
                  <w:noWrap w:val="0"/>
                  <w:vAlign w:val="center"/>
                </w:tcPr>
                <w:p w14:paraId="69ECFD7B">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无</w:t>
                  </w:r>
                </w:p>
              </w:tc>
              <w:tc>
                <w:tcPr>
                  <w:tcW w:w="797" w:type="pct"/>
                  <w:noWrap w:val="0"/>
                  <w:vAlign w:val="center"/>
                </w:tcPr>
                <w:p w14:paraId="125FDEF6">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无</w:t>
                  </w:r>
                </w:p>
              </w:tc>
              <w:tc>
                <w:tcPr>
                  <w:tcW w:w="797" w:type="pct"/>
                  <w:noWrap w:val="0"/>
                  <w:vAlign w:val="center"/>
                </w:tcPr>
                <w:p w14:paraId="42BBEEC1">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无</w:t>
                  </w:r>
                </w:p>
              </w:tc>
              <w:tc>
                <w:tcPr>
                  <w:tcW w:w="798" w:type="pct"/>
                  <w:noWrap w:val="0"/>
                  <w:vAlign w:val="center"/>
                </w:tcPr>
                <w:p w14:paraId="26BE651D">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无</w:t>
                  </w:r>
                </w:p>
              </w:tc>
            </w:tr>
            <w:tr w14:paraId="45B947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vMerge w:val="continue"/>
                  <w:noWrap w:val="0"/>
                  <w:vAlign w:val="center"/>
                </w:tcPr>
                <w:p w14:paraId="27C2169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p>
              </w:tc>
              <w:tc>
                <w:tcPr>
                  <w:tcW w:w="732" w:type="pct"/>
                  <w:noWrap w:val="0"/>
                  <w:vAlign w:val="center"/>
                </w:tcPr>
                <w:p w14:paraId="185B1328">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color w:val="auto"/>
                      <w:sz w:val="21"/>
                      <w:szCs w:val="21"/>
                    </w:rPr>
                    <w:t>饱和导水率</w:t>
                  </w:r>
                  <w:r>
                    <w:rPr>
                      <w:rFonts w:hint="default" w:ascii="Times New Roman" w:hAnsi="Times New Roman" w:cs="Times New Roman" w:eastAsiaTheme="minorEastAsia"/>
                      <w:b w:val="0"/>
                      <w:bCs w:val="0"/>
                      <w:color w:val="auto"/>
                      <w:sz w:val="21"/>
                      <w:szCs w:val="21"/>
                      <w:highlight w:val="none"/>
                    </w:rPr>
                    <w:t>（mm/min）</w:t>
                  </w:r>
                </w:p>
              </w:tc>
              <w:tc>
                <w:tcPr>
                  <w:tcW w:w="797" w:type="pct"/>
                  <w:noWrap w:val="0"/>
                  <w:vAlign w:val="center"/>
                </w:tcPr>
                <w:p w14:paraId="4F6C2C0D">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1.39</w:t>
                  </w:r>
                </w:p>
              </w:tc>
              <w:tc>
                <w:tcPr>
                  <w:tcW w:w="797" w:type="pct"/>
                  <w:noWrap w:val="0"/>
                  <w:vAlign w:val="center"/>
                </w:tcPr>
                <w:p w14:paraId="092ABF26">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1.39</w:t>
                  </w:r>
                </w:p>
              </w:tc>
              <w:tc>
                <w:tcPr>
                  <w:tcW w:w="797" w:type="pct"/>
                  <w:noWrap w:val="0"/>
                  <w:vAlign w:val="center"/>
                </w:tcPr>
                <w:p w14:paraId="1C61FB36">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1.45</w:t>
                  </w:r>
                </w:p>
              </w:tc>
              <w:tc>
                <w:tcPr>
                  <w:tcW w:w="797" w:type="pct"/>
                  <w:noWrap w:val="0"/>
                  <w:vAlign w:val="center"/>
                </w:tcPr>
                <w:p w14:paraId="18A0EA44">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1.54</w:t>
                  </w:r>
                </w:p>
              </w:tc>
              <w:tc>
                <w:tcPr>
                  <w:tcW w:w="798" w:type="pct"/>
                  <w:noWrap w:val="0"/>
                  <w:vAlign w:val="center"/>
                </w:tcPr>
                <w:p w14:paraId="40902828">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1.47</w:t>
                  </w:r>
                </w:p>
              </w:tc>
            </w:tr>
            <w:tr w14:paraId="569F4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76" w:type="pct"/>
                  <w:vMerge w:val="continue"/>
                  <w:noWrap w:val="0"/>
                  <w:vAlign w:val="center"/>
                </w:tcPr>
                <w:p w14:paraId="4E818EA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p>
              </w:tc>
              <w:tc>
                <w:tcPr>
                  <w:tcW w:w="732" w:type="pct"/>
                  <w:noWrap w:val="0"/>
                  <w:vAlign w:val="center"/>
                </w:tcPr>
                <w:p w14:paraId="6D4CD3AD">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color w:val="auto"/>
                      <w:sz w:val="21"/>
                      <w:szCs w:val="21"/>
                    </w:rPr>
                    <w:t>孔隙度</w:t>
                  </w:r>
                  <w:r>
                    <w:rPr>
                      <w:rFonts w:hint="default" w:ascii="Times New Roman" w:hAnsi="Times New Roman" w:cs="Times New Roman" w:eastAsiaTheme="minorEastAsia"/>
                      <w:sz w:val="21"/>
                      <w:szCs w:val="21"/>
                    </w:rPr>
                    <w:t>（%）</w:t>
                  </w:r>
                </w:p>
              </w:tc>
              <w:tc>
                <w:tcPr>
                  <w:tcW w:w="797" w:type="pct"/>
                  <w:noWrap w:val="0"/>
                  <w:vAlign w:val="center"/>
                </w:tcPr>
                <w:p w14:paraId="5580F50B">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40</w:t>
                  </w:r>
                </w:p>
              </w:tc>
              <w:tc>
                <w:tcPr>
                  <w:tcW w:w="797" w:type="pct"/>
                  <w:noWrap w:val="0"/>
                  <w:vAlign w:val="center"/>
                </w:tcPr>
                <w:p w14:paraId="7C70E55C">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51</w:t>
                  </w:r>
                </w:p>
              </w:tc>
              <w:tc>
                <w:tcPr>
                  <w:tcW w:w="797" w:type="pct"/>
                  <w:noWrap w:val="0"/>
                  <w:vAlign w:val="center"/>
                </w:tcPr>
                <w:p w14:paraId="6854C467">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50</w:t>
                  </w:r>
                </w:p>
              </w:tc>
              <w:tc>
                <w:tcPr>
                  <w:tcW w:w="797" w:type="pct"/>
                  <w:noWrap w:val="0"/>
                  <w:vAlign w:val="center"/>
                </w:tcPr>
                <w:p w14:paraId="109D2FDD">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40</w:t>
                  </w:r>
                </w:p>
              </w:tc>
              <w:tc>
                <w:tcPr>
                  <w:tcW w:w="798" w:type="pct"/>
                  <w:noWrap w:val="0"/>
                  <w:vAlign w:val="center"/>
                </w:tcPr>
                <w:p w14:paraId="703CB155">
                  <w:pPr>
                    <w:keepNext w:val="0"/>
                    <w:keepLines w:val="0"/>
                    <w:pageBreakBefore w:val="0"/>
                    <w:widowControl w:val="0"/>
                    <w:kinsoku/>
                    <w:wordWrap/>
                    <w:overflowPunct/>
                    <w:topLinePunct w:val="0"/>
                    <w:autoSpaceDE/>
                    <w:autoSpaceDN/>
                    <w:bidi w:val="0"/>
                    <w:adjustRightInd w:val="0"/>
                    <w:snapToGrid w:val="0"/>
                    <w:spacing w:before="0"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kern w:val="2"/>
                      <w:sz w:val="21"/>
                      <w:szCs w:val="21"/>
                      <w:lang w:val="en-US" w:eastAsia="zh-CN" w:bidi="ar-SA"/>
                    </w:rPr>
                    <w:t>44</w:t>
                  </w:r>
                </w:p>
              </w:tc>
            </w:tr>
            <w:tr w14:paraId="22D686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09" w:type="pct"/>
                  <w:gridSpan w:val="2"/>
                  <w:noWrap w:val="0"/>
                  <w:vAlign w:val="center"/>
                </w:tcPr>
                <w:p w14:paraId="5413D4AC">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color w:val="auto"/>
                      <w:spacing w:val="-5"/>
                      <w:sz w:val="21"/>
                      <w:szCs w:val="21"/>
                      <w:highlight w:val="none"/>
                      <w:vertAlign w:val="baseline"/>
                      <w:lang w:val="en-US" w:eastAsia="zh-CN" w:bidi="he-IL"/>
                    </w:rPr>
                    <w:t>备注</w:t>
                  </w:r>
                </w:p>
              </w:tc>
              <w:tc>
                <w:tcPr>
                  <w:tcW w:w="3990" w:type="pct"/>
                  <w:gridSpan w:val="5"/>
                  <w:noWrap w:val="0"/>
                  <w:vAlign w:val="center"/>
                </w:tcPr>
                <w:p w14:paraId="5323E8C1">
                  <w:pPr>
                    <w:keepNext w:val="0"/>
                    <w:keepLines w:val="0"/>
                    <w:pageBreakBefore w:val="0"/>
                    <w:widowControl/>
                    <w:kinsoku/>
                    <w:wordWrap/>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cs="Times New Roman" w:eastAsiaTheme="minorEastAsia"/>
                      <w:color w:val="auto"/>
                      <w:spacing w:val="-5"/>
                      <w:sz w:val="21"/>
                      <w:szCs w:val="21"/>
                      <w:highlight w:val="none"/>
                      <w:vertAlign w:val="baseline"/>
                      <w:lang w:val="en-US" w:eastAsia="zh-CN" w:bidi="he-IL"/>
                    </w:rPr>
                  </w:pPr>
                  <w:r>
                    <w:rPr>
                      <w:rFonts w:hint="default" w:ascii="Times New Roman" w:hAnsi="Times New Roman" w:cs="Times New Roman" w:eastAsiaTheme="minorEastAsia"/>
                      <w:color w:val="auto"/>
                      <w:spacing w:val="-5"/>
                      <w:sz w:val="21"/>
                      <w:szCs w:val="21"/>
                      <w:highlight w:val="none"/>
                      <w:vertAlign w:val="baseline"/>
                      <w:lang w:val="en-US" w:eastAsia="zh-CN" w:bidi="he-IL"/>
                    </w:rPr>
                    <w:t>---</w:t>
                  </w:r>
                </w:p>
              </w:tc>
            </w:tr>
          </w:tbl>
          <w:p w14:paraId="64FB7E94">
            <w:pPr>
              <w:ind w:firstLine="480"/>
            </w:pPr>
          </w:p>
        </w:tc>
      </w:tr>
    </w:tbl>
    <w:p w14:paraId="027965EC">
      <w:pPr>
        <w:pStyle w:val="24"/>
        <w:adjustRightInd w:val="0"/>
        <w:spacing w:before="0" w:after="0" w:line="360" w:lineRule="auto"/>
        <w:ind w:right="0" w:firstLine="0" w:firstLineChars="0"/>
        <w:jc w:val="center"/>
        <w:outlineLvl w:val="0"/>
        <w:rPr>
          <w:snapToGrid w:val="0"/>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4"/>
      </w:tblGrid>
      <w:tr w14:paraId="1EFC6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174" w:type="dxa"/>
          </w:tcPr>
          <w:p w14:paraId="0186AD1E">
            <w:pPr>
              <w:keepNext/>
              <w:keepLines/>
              <w:tabs>
                <w:tab w:val="left" w:pos="420"/>
              </w:tabs>
              <w:adjustRightInd w:val="0"/>
              <w:snapToGrid w:val="0"/>
              <w:spacing w:line="240" w:lineRule="auto"/>
              <w:ind w:firstLine="0" w:firstLineChars="0"/>
              <w:jc w:val="center"/>
              <w:rPr>
                <w:rFonts w:hint="eastAsia"/>
                <w:b/>
                <w:bCs/>
                <w:sz w:val="24"/>
                <w:szCs w:val="24"/>
              </w:rPr>
            </w:pPr>
            <w:r>
              <w:rPr>
                <w:rFonts w:hint="eastAsia"/>
                <w:b/>
                <w:bCs/>
                <w:sz w:val="24"/>
                <w:szCs w:val="24"/>
              </w:rPr>
              <w:t>表3-</w:t>
            </w:r>
            <w:r>
              <w:rPr>
                <w:rFonts w:hint="eastAsia"/>
                <w:b/>
                <w:bCs/>
                <w:sz w:val="24"/>
                <w:szCs w:val="24"/>
                <w:lang w:val="en-US" w:eastAsia="zh-CN"/>
              </w:rPr>
              <w:t xml:space="preserve">7  </w:t>
            </w:r>
            <w:r>
              <w:rPr>
                <w:rFonts w:hint="eastAsia"/>
                <w:b/>
                <w:bCs/>
                <w:sz w:val="24"/>
                <w:szCs w:val="24"/>
              </w:rPr>
              <w:t>项目范围内土壤检测结果一览表  单位：mg/kg</w:t>
            </w:r>
          </w:p>
          <w:tbl>
            <w:tblPr>
              <w:tblStyle w:val="40"/>
              <w:tblpPr w:leftFromText="180" w:rightFromText="180" w:vertAnchor="text" w:horzAnchor="page" w:tblpX="1889" w:tblpY="249"/>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54"/>
              <w:gridCol w:w="1320"/>
              <w:gridCol w:w="1320"/>
              <w:gridCol w:w="1341"/>
              <w:gridCol w:w="1320"/>
              <w:gridCol w:w="1378"/>
              <w:gridCol w:w="1383"/>
              <w:gridCol w:w="1320"/>
              <w:gridCol w:w="1383"/>
              <w:gridCol w:w="1383"/>
              <w:gridCol w:w="503"/>
              <w:gridCol w:w="343"/>
            </w:tblGrid>
            <w:tr w14:paraId="3B126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74ACDB28">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采样时间</w:t>
                  </w:r>
                </w:p>
              </w:tc>
              <w:tc>
                <w:tcPr>
                  <w:tcW w:w="0" w:type="auto"/>
                  <w:gridSpan w:val="11"/>
                  <w:tcBorders>
                    <w:top w:val="single" w:color="000000" w:sz="4" w:space="0"/>
                    <w:left w:val="single" w:color="000000" w:sz="4" w:space="0"/>
                    <w:bottom w:val="single" w:color="000000" w:sz="4" w:space="0"/>
                    <w:right w:val="single" w:color="000000" w:sz="4" w:space="0"/>
                  </w:tcBorders>
                  <w:noWrap w:val="0"/>
                  <w:vAlign w:val="center"/>
                </w:tcPr>
                <w:p w14:paraId="643606E5">
                  <w:pPr>
                    <w:pStyle w:val="64"/>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2025-07-19</w:t>
                  </w:r>
                </w:p>
              </w:tc>
            </w:tr>
            <w:tr w14:paraId="6E145E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7B41EE88">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采样点位</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985F82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S1项目内北侧</w:t>
                  </w:r>
                </w:p>
                <w:p w14:paraId="334AA672">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(柱状样0-0.5m）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A68DD9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S1项目内北侧</w:t>
                  </w:r>
                </w:p>
                <w:p w14:paraId="5A303E3D">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(柱状样0.5-1.5m）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E063B2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S1项目内北侧</w:t>
                  </w:r>
                </w:p>
                <w:p w14:paraId="72CCFBA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(柱状样1.5-3.0m）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DCE454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S2项目</w:t>
                  </w:r>
                  <w:r>
                    <w:rPr>
                      <w:rFonts w:hint="default" w:ascii="Times New Roman" w:hAnsi="Times New Roman" w:eastAsia="宋体" w:cs="Times New Roman"/>
                      <w:b/>
                      <w:bCs/>
                      <w:color w:val="auto"/>
                      <w:sz w:val="21"/>
                      <w:szCs w:val="21"/>
                      <w:highlight w:val="none"/>
                    </w:rPr>
                    <w:t>内</w:t>
                  </w:r>
                  <w:r>
                    <w:rPr>
                      <w:rFonts w:hint="default" w:ascii="Times New Roman" w:hAnsi="Times New Roman" w:eastAsia="宋体" w:cs="Times New Roman"/>
                      <w:b/>
                      <w:bCs/>
                      <w:color w:val="auto"/>
                      <w:sz w:val="21"/>
                      <w:szCs w:val="21"/>
                      <w:highlight w:val="none"/>
                      <w:lang w:val="en-US" w:eastAsia="zh-CN"/>
                    </w:rPr>
                    <w:t>中部</w:t>
                  </w:r>
                </w:p>
                <w:p w14:paraId="4026A02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(柱状样0-0.5m）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8224E1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S2项目</w:t>
                  </w:r>
                  <w:r>
                    <w:rPr>
                      <w:rFonts w:hint="default" w:ascii="Times New Roman" w:hAnsi="Times New Roman" w:eastAsia="宋体" w:cs="Times New Roman"/>
                      <w:b/>
                      <w:bCs/>
                      <w:color w:val="auto"/>
                      <w:sz w:val="21"/>
                      <w:szCs w:val="21"/>
                      <w:highlight w:val="none"/>
                    </w:rPr>
                    <w:t>内</w:t>
                  </w:r>
                  <w:r>
                    <w:rPr>
                      <w:rFonts w:hint="default" w:ascii="Times New Roman" w:hAnsi="Times New Roman" w:eastAsia="宋体" w:cs="Times New Roman"/>
                      <w:b/>
                      <w:bCs/>
                      <w:color w:val="auto"/>
                      <w:sz w:val="21"/>
                      <w:szCs w:val="21"/>
                      <w:highlight w:val="none"/>
                      <w:lang w:val="en-US" w:eastAsia="zh-CN"/>
                    </w:rPr>
                    <w:t>中部</w:t>
                  </w:r>
                </w:p>
                <w:p w14:paraId="2688411C">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(柱状样0.5-1.5m）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3CA28C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S2项目</w:t>
                  </w:r>
                  <w:r>
                    <w:rPr>
                      <w:rFonts w:hint="default" w:ascii="Times New Roman" w:hAnsi="Times New Roman" w:eastAsia="宋体" w:cs="Times New Roman"/>
                      <w:b/>
                      <w:bCs/>
                      <w:color w:val="auto"/>
                      <w:sz w:val="21"/>
                      <w:szCs w:val="21"/>
                      <w:highlight w:val="none"/>
                    </w:rPr>
                    <w:t>内</w:t>
                  </w:r>
                  <w:r>
                    <w:rPr>
                      <w:rFonts w:hint="default" w:ascii="Times New Roman" w:hAnsi="Times New Roman" w:eastAsia="宋体" w:cs="Times New Roman"/>
                      <w:b/>
                      <w:bCs/>
                      <w:color w:val="auto"/>
                      <w:sz w:val="21"/>
                      <w:szCs w:val="21"/>
                      <w:highlight w:val="none"/>
                      <w:lang w:val="en-US" w:eastAsia="zh-CN"/>
                    </w:rPr>
                    <w:t>中部</w:t>
                  </w:r>
                </w:p>
                <w:p w14:paraId="43AF99E0">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(柱状样1.5-3.0m）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6063FE3">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S3项目</w:t>
                  </w:r>
                  <w:r>
                    <w:rPr>
                      <w:rFonts w:hint="default" w:ascii="Times New Roman" w:hAnsi="Times New Roman" w:eastAsia="宋体" w:cs="Times New Roman"/>
                      <w:b/>
                      <w:bCs/>
                      <w:color w:val="auto"/>
                      <w:sz w:val="21"/>
                      <w:szCs w:val="21"/>
                      <w:highlight w:val="none"/>
                    </w:rPr>
                    <w:t>内</w:t>
                  </w:r>
                  <w:r>
                    <w:rPr>
                      <w:rFonts w:hint="default" w:ascii="Times New Roman" w:hAnsi="Times New Roman" w:eastAsia="宋体" w:cs="Times New Roman"/>
                      <w:b/>
                      <w:bCs/>
                      <w:color w:val="auto"/>
                      <w:sz w:val="21"/>
                      <w:szCs w:val="21"/>
                      <w:highlight w:val="none"/>
                      <w:lang w:val="en-US" w:eastAsia="zh-CN"/>
                    </w:rPr>
                    <w:t>西南侧</w:t>
                  </w:r>
                </w:p>
                <w:p w14:paraId="5DE6560A">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(柱状样0-0.5m）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EEE4976">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S3项目</w:t>
                  </w:r>
                  <w:r>
                    <w:rPr>
                      <w:rFonts w:hint="default" w:ascii="Times New Roman" w:hAnsi="Times New Roman" w:eastAsia="宋体" w:cs="Times New Roman"/>
                      <w:b/>
                      <w:bCs/>
                      <w:color w:val="auto"/>
                      <w:sz w:val="21"/>
                      <w:szCs w:val="21"/>
                      <w:highlight w:val="none"/>
                    </w:rPr>
                    <w:t>内</w:t>
                  </w:r>
                  <w:r>
                    <w:rPr>
                      <w:rFonts w:hint="default" w:ascii="Times New Roman" w:hAnsi="Times New Roman" w:eastAsia="宋体" w:cs="Times New Roman"/>
                      <w:b/>
                      <w:bCs/>
                      <w:color w:val="auto"/>
                      <w:sz w:val="21"/>
                      <w:szCs w:val="21"/>
                      <w:highlight w:val="none"/>
                      <w:lang w:val="en-US" w:eastAsia="zh-CN"/>
                    </w:rPr>
                    <w:t>西南侧</w:t>
                  </w:r>
                </w:p>
                <w:p w14:paraId="7E8D3889">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(柱状样0.5-1.5m）</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A481EF5">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S3项目</w:t>
                  </w:r>
                  <w:r>
                    <w:rPr>
                      <w:rFonts w:hint="default" w:ascii="Times New Roman" w:hAnsi="Times New Roman" w:eastAsia="宋体" w:cs="Times New Roman"/>
                      <w:b/>
                      <w:bCs/>
                      <w:color w:val="auto"/>
                      <w:sz w:val="21"/>
                      <w:szCs w:val="21"/>
                      <w:highlight w:val="none"/>
                    </w:rPr>
                    <w:t>内</w:t>
                  </w:r>
                  <w:r>
                    <w:rPr>
                      <w:rFonts w:hint="default" w:ascii="Times New Roman" w:hAnsi="Times New Roman" w:eastAsia="宋体" w:cs="Times New Roman"/>
                      <w:b/>
                      <w:bCs/>
                      <w:color w:val="auto"/>
                      <w:sz w:val="21"/>
                      <w:szCs w:val="21"/>
                      <w:highlight w:val="none"/>
                      <w:lang w:val="en-US" w:eastAsia="zh-CN"/>
                    </w:rPr>
                    <w:t>西南侧</w:t>
                  </w:r>
                </w:p>
                <w:p w14:paraId="096C191E">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(柱状样1.5-3.0m）</w:t>
                  </w:r>
                </w:p>
              </w:tc>
              <w:tc>
                <w:tcPr>
                  <w:tcW w:w="0" w:type="auto"/>
                  <w:vMerge w:val="restart"/>
                  <w:tcBorders>
                    <w:left w:val="single" w:color="000000" w:sz="4" w:space="0"/>
                    <w:right w:val="single" w:color="000000" w:sz="4" w:space="0"/>
                  </w:tcBorders>
                  <w:noWrap w:val="0"/>
                  <w:vAlign w:val="center"/>
                </w:tcPr>
                <w:p w14:paraId="11D299FD">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（GB36600-2018Ⅱ）筛选值</w:t>
                  </w:r>
                </w:p>
              </w:tc>
              <w:tc>
                <w:tcPr>
                  <w:tcW w:w="0" w:type="auto"/>
                  <w:vMerge w:val="restart"/>
                  <w:tcBorders>
                    <w:left w:val="single" w:color="000000" w:sz="4" w:space="0"/>
                    <w:right w:val="single" w:color="000000" w:sz="4" w:space="0"/>
                  </w:tcBorders>
                  <w:noWrap w:val="0"/>
                  <w:vAlign w:val="center"/>
                </w:tcPr>
                <w:p w14:paraId="266F452D">
                  <w:pPr>
                    <w:pStyle w:val="64"/>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是否符合筛选值要求</w:t>
                  </w:r>
                </w:p>
              </w:tc>
            </w:tr>
            <w:tr w14:paraId="055E9F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2" w:hRule="atLeast"/>
              </w:trPr>
              <w:tc>
                <w:tcPr>
                  <w:tcW w:w="0" w:type="auto"/>
                  <w:tcBorders>
                    <w:top w:val="single" w:color="000000" w:sz="4" w:space="0"/>
                    <w:left w:val="single" w:color="000000" w:sz="4" w:space="0"/>
                    <w:bottom w:val="single" w:color="000000" w:sz="4" w:space="0"/>
                    <w:right w:val="single" w:color="000000" w:sz="4" w:space="0"/>
                    <w:tl2br w:val="nil"/>
                  </w:tcBorders>
                  <w:noWrap w:val="0"/>
                  <w:vAlign w:val="center"/>
                  <mc:AlternateContent>
                    <mc:Choice Requires="wpsCustomData">
                      <wpsCustomData:diagonals>
                        <wpsCustomData:diagonal from="10000" to="30000">
                          <wpsCustomData:border w:val="single" w:color="000000" w:sz="4" w:space="0"/>
                        </wpsCustomData:diagonal>
                      </wpsCustomData:diagonals>
                    </mc:Choice>
                  </mc:AlternateContent>
                </w:tcPr>
                <w:p w14:paraId="6EEBC04E">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p>
                <w:p w14:paraId="4F1D394C">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mc:AlternateContent>
                      <mc:Choice Requires="wpsCustomData">
                        <wpsCustomData:diagonalParaType/>
                      </mc:Choice>
                    </mc:AlternateContent>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检测项目</w:t>
                  </w:r>
                </w:p>
                <w:p w14:paraId="190E4B20">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样品编号</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B0835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W25071707TR-5-1-1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DF241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W25071707TR-9-1-1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7D130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W25071707TR10-1-1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0FFA4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W25071707TR-4-1-1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48BB0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W25071707TR-11-1-1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0F299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W25071707TR-12-1-1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3165F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W25071707TR-2-1-1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14953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W25071707TR-13-1-1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DC28B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W25071707TR-14-1-1</w:t>
                  </w:r>
                </w:p>
              </w:tc>
              <w:tc>
                <w:tcPr>
                  <w:tcW w:w="0" w:type="auto"/>
                  <w:vMerge w:val="continue"/>
                  <w:tcBorders>
                    <w:left w:val="single" w:color="000000" w:sz="4" w:space="0"/>
                    <w:bottom w:val="single" w:color="000000" w:sz="4" w:space="0"/>
                    <w:right w:val="single" w:color="000000" w:sz="4" w:space="0"/>
                  </w:tcBorders>
                  <w:noWrap w:val="0"/>
                  <w:vAlign w:val="center"/>
                </w:tcPr>
                <w:p w14:paraId="2F6752F7">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0" w:type="auto"/>
                  <w:vMerge w:val="continue"/>
                  <w:tcBorders>
                    <w:left w:val="single" w:color="000000" w:sz="4" w:space="0"/>
                    <w:bottom w:val="single" w:color="000000" w:sz="4" w:space="0"/>
                    <w:right w:val="single" w:color="000000" w:sz="4" w:space="0"/>
                  </w:tcBorders>
                  <w:noWrap w:val="0"/>
                  <w:vAlign w:val="center"/>
                </w:tcPr>
                <w:p w14:paraId="48583244">
                  <w:pPr>
                    <w:pStyle w:val="64"/>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5DAB1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l2br w:val="nil"/>
                  </w:tcBorders>
                  <w:noWrap w:val="0"/>
                  <w:vAlign w:val="center"/>
                </w:tcPr>
                <w:p w14:paraId="2067D43D">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pH（无量纲）</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C72D8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6.89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1BED8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6.78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DDE48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6.69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0FD86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7.22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E036C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6.90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80848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7.08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55375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7.05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F2B18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6.88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47077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6.85</w:t>
                  </w:r>
                </w:p>
              </w:tc>
              <w:tc>
                <w:tcPr>
                  <w:tcW w:w="0" w:type="auto"/>
                  <w:tcBorders>
                    <w:left w:val="single" w:color="000000" w:sz="4" w:space="0"/>
                    <w:bottom w:val="single" w:color="000000" w:sz="4" w:space="0"/>
                    <w:right w:val="single" w:color="000000" w:sz="4" w:space="0"/>
                  </w:tcBorders>
                  <w:noWrap w:val="0"/>
                  <w:vAlign w:val="center"/>
                </w:tcPr>
                <w:p w14:paraId="285973FD">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0" w:type="auto"/>
                  <w:tcBorders>
                    <w:left w:val="single" w:color="000000" w:sz="4" w:space="0"/>
                    <w:bottom w:val="single" w:color="000000" w:sz="4" w:space="0"/>
                    <w:right w:val="single" w:color="000000" w:sz="4" w:space="0"/>
                  </w:tcBorders>
                  <w:noWrap w:val="0"/>
                  <w:vAlign w:val="center"/>
                </w:tcPr>
                <w:p w14:paraId="0F12B875">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6AE120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73DBA60D">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砷</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EBB9F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28.1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C6B3C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31.2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C435A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6FA8D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9.28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0D649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4.68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A3109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3.87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F45A3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3.38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D4BA3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3.82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D98A8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3.44</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8A538F6">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278034B">
                  <w:pPr>
                    <w:pStyle w:val="64"/>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776832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57006A8D">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镉</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81BA7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EB422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0.37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BFB9E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60448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EBFE8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0.46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6F429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0FE04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0.005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6FF7B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E3DDD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8DB029F">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0D03034">
                  <w:pPr>
                    <w:pStyle w:val="64"/>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4C50A3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4FF1E8A1">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六价铬</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904F0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0.25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7EEFE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0.25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26DE5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0.25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511BD5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0.25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5031B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0.25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291A5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0.25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33658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0.25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57A3D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0.25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5FDEC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0.25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6050DE0">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5B32429">
                  <w:pPr>
                    <w:pStyle w:val="64"/>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000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0B77802B">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铜</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6C905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7D4DB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D1D2E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D704A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E2767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299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399A3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6491B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359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CBCB5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361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E9953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339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6248F14">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18000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9AFA7A1">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BBD34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665EC531">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铅</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75223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37.7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15CD2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38.7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00C6D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39.4</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437C0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28.3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2D1A1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16.8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CAB48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15.8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FB731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15.9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35EE5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20.7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CECCE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25EE0B5">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44F57BC">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2A616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3A309657">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汞</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52D6F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0.152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0BCAD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0.152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A8F12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0.140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6B35C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0.122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6B74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0.0913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82245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0.0871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D953C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0.107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6F204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0.0830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75496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0.0942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074806C">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FEC6494">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1EF7D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57F9A5E7">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氟化物</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46322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1205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9ADC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1317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E2DE6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1190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14D71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719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5D55B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15E8A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373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EA77C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389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2A5F9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368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97DD3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370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6147FD7">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9FFCA0D">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235B0E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7A9FF860">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总磷</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DF7ED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359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E9AE1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401</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664D5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395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00DA8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369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7EA2E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1060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8C9DE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942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21748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1405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370D9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1894</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52A54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1996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73B7633">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7C9B704">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337A24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23540C48">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阳离子交换量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000000"/>
                      <w:kern w:val="0"/>
                      <w:sz w:val="21"/>
                      <w:szCs w:val="21"/>
                      <w:lang w:val="en-US" w:eastAsia="zh-CN" w:bidi="ar"/>
                    </w:rPr>
                    <w:t>cmol+/kg）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A796E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09DA6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A0262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10.4</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2DA47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4CBE2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4C783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741F7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968F3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61780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E8930F5">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BD051A3">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DE5E9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0F7FDAD2">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氧化还原电位</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7833F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425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7E277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408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C2450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370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EDAA3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413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5B935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369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3E23F4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347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59156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A4A37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324</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63E3D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118EE8E">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16DDF8F">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5E410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2EA529A4">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土壤容重</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3CD33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CB0F0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72447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1.32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F29C7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A9D7D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89A99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01B28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9BCFA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026FF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1.22</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3CBCCBD">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31310DD">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37B7F2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139E7EA2">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四氯化碳（μg/kg）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2C00C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62CA6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05563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5AD40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5F998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38764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6932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1D8C1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9346F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828EF73">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684658C">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9F87F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1C575F9B">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氯仿</w:t>
                  </w:r>
                  <w:r>
                    <w:rPr>
                      <w:rFonts w:hint="default" w:ascii="Times New Roman" w:hAnsi="Times New Roman" w:eastAsia="宋体" w:cs="Times New Roman"/>
                      <w:b/>
                      <w:bCs/>
                      <w:color w:val="auto"/>
                      <w:kern w:val="2"/>
                      <w:sz w:val="21"/>
                      <w:szCs w:val="21"/>
                      <w:highlight w:val="none"/>
                      <w:lang w:val="en-US" w:eastAsia="zh-CN" w:bidi="ar-SA"/>
                    </w:rPr>
                    <w:t>（μg/kg）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C2BE3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BB6EB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4A0DC5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20D2B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EAD7B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4D81B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99903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6E53E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395E5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06B2DB8">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A820D6A">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10603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4EF8B497">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氯甲烷（μg/kg）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DA52D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EB852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95363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1C6C5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E76F2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A2F5E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FA737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0EA0B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6766D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8046FEF">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37</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93E1862">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CA7F5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564C15D4">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1,1-二氯乙烷（μg/kg）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F1920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92B16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CA589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54172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25FAF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7A397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B61DF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28438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005C1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3BB94E3">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E7885DC">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B156D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121DA290">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1,2-二氯乙烷（μg/kg）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28865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D450D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6134F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09350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2198A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D0D43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06FE1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45ED6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74C09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43C721A">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ECC4C81">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BD031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68AB7C3F">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1,1-二氯乙烯（μg/kg）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C0FBF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17F42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F8B48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08BBE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CBCB6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3D409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0CE27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BF5D6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10B4B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2BE850B">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3F4B669">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710B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1FF0C84B">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顺-1,2-二氯乙烯（μg/kg）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CB6B6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A2331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85604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58EA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E708D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472AB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FCC01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219ED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78942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6875AF5">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596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E7B0242">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B9B46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0F8EB672">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反-1,2-二氯乙烯（μg/kg）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D53E0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29BA6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1122F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3D4C4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A4D62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82168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097A2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99500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9F615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62FA80D">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54</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A45BB92">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7E5DE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5300C3DF">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二氯甲烷（μg/kg）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F584D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9725C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EB67A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3CBA0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810A9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F4E9A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FFBBA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008E4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F0E41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5F57CB7">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616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730F6F3">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36933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0E5FCB60">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1,2-二氯丙烷（μg/kg）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14F60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83D9D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EF9CD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40E83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CBFA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5F9F5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4E68E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EB481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70A07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243D2DA">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D540AA0">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0D3F3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36975090">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1,1,1,2-四氯乙烷（μg/kg）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4BEBE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1A63A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27481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6D067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CD971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5704A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9B04B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0B32D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5957E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060043B">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9239B28">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ACD04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1D746644">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1,1,2,2-四氯乙烷（μg/kg）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6C64A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33771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412EB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94232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3B5DD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B7A22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14F09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04ED8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BE7EE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6584FD2">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DD4DA56">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BBDD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3C749A8A">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四氯乙烯（μg/kg）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698C3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D56EA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54C5C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F94FF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1A9E5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FD7C5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650B9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3CB7B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99902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38BFDE4">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F3F05ED">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B1529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504EBA1F">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1,1,1-三氯乙烷（μg/kg）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07421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9F624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BCA03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C6735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C4CE9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3D32F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ABF4C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1DD51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2CA31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5F409BB">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840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FE2A03F">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5ABC9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7FF2C288">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1,1,2-三氯乙烷（μg/kg）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2B27E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952B3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7F64D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D8AFB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952B4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78DED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B523D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169A9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08018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D5A6F21">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D35F8DA">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26DF7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1CFAAFEC">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三氯乙烯（μg/kg）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7C793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C3EDD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08D09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460DF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5101A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A23A9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96E5B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258F1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3B896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F36D167">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1CB7143">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2167F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6C8ABD19">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1,2,3-三氯丙烷（μg/kg）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6E529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ADA23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929F2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121B8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7F11A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800EC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D50C3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E4DD0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7EB4A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F6C9462">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6C0DF7E">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5DD83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47687BCB">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氯乙烯（μg/kg）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5B286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6EF19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43AD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55E27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FA140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D0F895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BD769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1D231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56191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97632ED">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0.43</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E3B5B45">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46527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631B4A49">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苯（μg/kg）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F2138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55D30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75A18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115A6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4DCA8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B6572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7939E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ED634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C0CD1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E7E9965">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D7831AC">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931CE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173BF028">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氯苯（μg/kg）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8FFA7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721C3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E8F54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DBB0C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DB787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24472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D4B8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B41D9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641EC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1114D40">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270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0A1E43A">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E806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765AA9A3">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1,2-二氯苯（μg/kg）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2A2F0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C5857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DE4BF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7BAA1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032A5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8E6D8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ED5DD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7CF97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C8A59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1ACBA7F">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56CAE12">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205FA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58154369">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1,4-二氯苯（μg/kg）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0A8E8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C4695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EE181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AD84B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C2567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B4DF3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2DA8C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861CC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709DE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2762A32">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C13F21D">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173BA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3E957295">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乙苯（μg/kg）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CA6FF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DBF72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78C33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3AF0C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FC06D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CFA04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69C4A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309B8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A832D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2189FF4">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28</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9FEA6F4">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0AA7A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6796BD78">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苯乙烯（μg/kg）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1BF8E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10B7D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520EE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59865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E8C8B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EA1B3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3A086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73C1F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63591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372B26D">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1290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6E82978">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584BE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1434D9D3">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甲苯（μg/kg）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2CF76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8B3F5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224F3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3F65B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36B4C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9BD7A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8D47F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2F559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6F6DA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E81D93A">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C8382D0">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A35A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2FCC9961">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间二甲苯+对二甲苯（μg/kg）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45197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8B3EB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2E58DF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2D64E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6DC16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2F052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DF2E3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6E1A8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D4E11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E1E7310">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570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55DCEDE5">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76608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noWrap w:val="0"/>
                  <w:vAlign w:val="center"/>
                </w:tcPr>
                <w:p w14:paraId="35C9D97F">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邻二甲苯（μg/kg）</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3B6BA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FE8B1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D69C8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1C727FE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36466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F6AB7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020F54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EA07C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41AECD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382D6387">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640</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3566310">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27520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78FE1B2">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硝基苯</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28C00C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436DA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F1F2E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DF63F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087FDF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2D82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41607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2A5B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2CF9B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626A76BC">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76</w:t>
                  </w:r>
                </w:p>
              </w:tc>
              <w:tc>
                <w:tcPr>
                  <w:tcW w:w="0" w:type="auto"/>
                  <w:tcBorders>
                    <w:top w:val="single" w:color="000000" w:sz="4" w:space="0"/>
                    <w:left w:val="single" w:color="000000" w:sz="4" w:space="0"/>
                    <w:bottom w:val="single" w:color="000000" w:sz="4" w:space="0"/>
                    <w:right w:val="single" w:color="000000" w:sz="4" w:space="0"/>
                  </w:tcBorders>
                  <w:noWrap w:val="0"/>
                  <w:vAlign w:val="center"/>
                </w:tcPr>
                <w:p w14:paraId="74BC0A7C">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3238C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shd w:val="clear" w:color="auto" w:fill="auto"/>
                  <w:vAlign w:val="center"/>
                </w:tcPr>
                <w:p w14:paraId="09583A96">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苯胺</w:t>
                  </w:r>
                </w:p>
              </w:tc>
              <w:tc>
                <w:tcPr>
                  <w:tcW w:w="0" w:type="auto"/>
                  <w:shd w:val="clear" w:color="auto" w:fill="auto"/>
                  <w:vAlign w:val="center"/>
                </w:tcPr>
                <w:p w14:paraId="776776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55EA59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0346C6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3AD8FC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02AE34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3B5EBA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3B39F2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6B1D9A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3EBC06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vAlign w:val="center"/>
                </w:tcPr>
                <w:p w14:paraId="2F66ECE5">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260</w:t>
                  </w:r>
                </w:p>
              </w:tc>
              <w:tc>
                <w:tcPr>
                  <w:tcW w:w="0" w:type="auto"/>
                  <w:vAlign w:val="center"/>
                </w:tcPr>
                <w:p w14:paraId="6FE42635">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4D019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shd w:val="clear" w:color="auto" w:fill="auto"/>
                  <w:vAlign w:val="center"/>
                </w:tcPr>
                <w:p w14:paraId="7939835F">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2-氯酚</w:t>
                  </w:r>
                </w:p>
              </w:tc>
              <w:tc>
                <w:tcPr>
                  <w:tcW w:w="0" w:type="auto"/>
                  <w:shd w:val="clear" w:color="auto" w:fill="auto"/>
                  <w:vAlign w:val="center"/>
                </w:tcPr>
                <w:p w14:paraId="11DBB3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53C84F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197965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4F9B90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53D29B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47E6DB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7119A6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45ADD5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1C3C97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vAlign w:val="center"/>
                </w:tcPr>
                <w:p w14:paraId="1062D8DF">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2256</w:t>
                  </w:r>
                </w:p>
              </w:tc>
              <w:tc>
                <w:tcPr>
                  <w:tcW w:w="0" w:type="auto"/>
                  <w:vAlign w:val="center"/>
                </w:tcPr>
                <w:p w14:paraId="223428ED">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9863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shd w:val="clear" w:color="auto" w:fill="auto"/>
                  <w:vAlign w:val="center"/>
                </w:tcPr>
                <w:p w14:paraId="075276C8">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苯并[a]蒽</w:t>
                  </w:r>
                </w:p>
              </w:tc>
              <w:tc>
                <w:tcPr>
                  <w:tcW w:w="0" w:type="auto"/>
                  <w:shd w:val="clear" w:color="auto" w:fill="auto"/>
                  <w:vAlign w:val="center"/>
                </w:tcPr>
                <w:p w14:paraId="27B1F8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41C906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3E100E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003E43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3900A8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115FAE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11DF7D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195D0A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5E3858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vAlign w:val="center"/>
                </w:tcPr>
                <w:p w14:paraId="15CC6296">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0" w:type="auto"/>
                  <w:vAlign w:val="center"/>
                </w:tcPr>
                <w:p w14:paraId="23A1F0E5">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666E0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shd w:val="clear" w:color="auto" w:fill="auto"/>
                  <w:vAlign w:val="center"/>
                </w:tcPr>
                <w:p w14:paraId="2F70A0FA">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苯并[a]芘</w:t>
                  </w:r>
                </w:p>
              </w:tc>
              <w:tc>
                <w:tcPr>
                  <w:tcW w:w="0" w:type="auto"/>
                  <w:shd w:val="clear" w:color="auto" w:fill="auto"/>
                  <w:vAlign w:val="center"/>
                </w:tcPr>
                <w:p w14:paraId="54A138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126A26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5460E7F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452878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40192E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46E312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5CFA3F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06FCBC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1A2DDA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vAlign w:val="center"/>
                </w:tcPr>
                <w:p w14:paraId="128FC2A3">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0" w:type="auto"/>
                  <w:vAlign w:val="center"/>
                </w:tcPr>
                <w:p w14:paraId="47D155C6">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78A05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shd w:val="clear" w:color="auto" w:fill="auto"/>
                  <w:vAlign w:val="center"/>
                </w:tcPr>
                <w:p w14:paraId="57442337">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苯并[b]荧蒽</w:t>
                  </w:r>
                </w:p>
              </w:tc>
              <w:tc>
                <w:tcPr>
                  <w:tcW w:w="0" w:type="auto"/>
                  <w:shd w:val="clear" w:color="auto" w:fill="auto"/>
                  <w:vAlign w:val="center"/>
                </w:tcPr>
                <w:p w14:paraId="25EBB4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77C870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5A523C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0A6136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0D3B48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582CB7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6B3C26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3E705B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0BC769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vAlign w:val="center"/>
                </w:tcPr>
                <w:p w14:paraId="21FA124F">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0" w:type="auto"/>
                  <w:vAlign w:val="center"/>
                </w:tcPr>
                <w:p w14:paraId="6F58FF37">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D1888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shd w:val="clear" w:color="auto" w:fill="auto"/>
                  <w:vAlign w:val="center"/>
                </w:tcPr>
                <w:p w14:paraId="6B97773B">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苯并[k]荧蒽</w:t>
                  </w:r>
                </w:p>
              </w:tc>
              <w:tc>
                <w:tcPr>
                  <w:tcW w:w="0" w:type="auto"/>
                  <w:shd w:val="clear" w:color="auto" w:fill="auto"/>
                  <w:vAlign w:val="center"/>
                </w:tcPr>
                <w:p w14:paraId="46AB5A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249477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6842E1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2A1785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562C4C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006A9C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4B9EE5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77BE31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6ED189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vAlign w:val="center"/>
                </w:tcPr>
                <w:p w14:paraId="15BE87DF">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151</w:t>
                  </w:r>
                </w:p>
              </w:tc>
              <w:tc>
                <w:tcPr>
                  <w:tcW w:w="0" w:type="auto"/>
                  <w:vAlign w:val="center"/>
                </w:tcPr>
                <w:p w14:paraId="602CDB53">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E4C95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shd w:val="clear" w:color="auto" w:fill="auto"/>
                  <w:vAlign w:val="center"/>
                </w:tcPr>
                <w:p w14:paraId="5365E292">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䓛</w:t>
                  </w:r>
                </w:p>
              </w:tc>
              <w:tc>
                <w:tcPr>
                  <w:tcW w:w="0" w:type="auto"/>
                  <w:shd w:val="clear" w:color="auto" w:fill="auto"/>
                  <w:vAlign w:val="center"/>
                </w:tcPr>
                <w:p w14:paraId="5D61596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6B994E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0482AD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581BE5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3070E15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5C2138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4EB8AC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09D9DA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1BB725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vAlign w:val="center"/>
                </w:tcPr>
                <w:p w14:paraId="7FD79A92">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1293</w:t>
                  </w:r>
                </w:p>
              </w:tc>
              <w:tc>
                <w:tcPr>
                  <w:tcW w:w="0" w:type="auto"/>
                  <w:vAlign w:val="center"/>
                </w:tcPr>
                <w:p w14:paraId="13EFD173">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16FF1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shd w:val="clear" w:color="auto" w:fill="auto"/>
                  <w:vAlign w:val="center"/>
                </w:tcPr>
                <w:p w14:paraId="3699B782">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二苯并[a,h]蒽</w:t>
                  </w:r>
                </w:p>
              </w:tc>
              <w:tc>
                <w:tcPr>
                  <w:tcW w:w="0" w:type="auto"/>
                  <w:shd w:val="clear" w:color="auto" w:fill="auto"/>
                  <w:vAlign w:val="center"/>
                </w:tcPr>
                <w:p w14:paraId="126483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391C44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6D8F41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011422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653D33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082D4D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0A997E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21C599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7A52E3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vAlign w:val="center"/>
                </w:tcPr>
                <w:p w14:paraId="5C189D40">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0" w:type="auto"/>
                  <w:vAlign w:val="center"/>
                </w:tcPr>
                <w:p w14:paraId="05B5BE7A">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62C2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shd w:val="clear" w:color="auto" w:fill="auto"/>
                  <w:vAlign w:val="center"/>
                </w:tcPr>
                <w:p w14:paraId="11B040B6">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茚并[1,2,3-cd]芘</w:t>
                  </w:r>
                </w:p>
              </w:tc>
              <w:tc>
                <w:tcPr>
                  <w:tcW w:w="0" w:type="auto"/>
                  <w:shd w:val="clear" w:color="auto" w:fill="auto"/>
                  <w:vAlign w:val="center"/>
                </w:tcPr>
                <w:p w14:paraId="6490B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34A9A7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68BCE2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0D7A5F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145B2B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67ACCE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48305C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01803D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205B7A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vAlign w:val="center"/>
                </w:tcPr>
                <w:p w14:paraId="36CD011C">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15</w:t>
                  </w:r>
                </w:p>
              </w:tc>
              <w:tc>
                <w:tcPr>
                  <w:tcW w:w="0" w:type="auto"/>
                  <w:vAlign w:val="center"/>
                </w:tcPr>
                <w:p w14:paraId="457C4AF8">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11F48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0" w:type="auto"/>
                  <w:shd w:val="clear" w:color="auto" w:fill="auto"/>
                  <w:vAlign w:val="center"/>
                </w:tcPr>
                <w:p w14:paraId="3480A0C9">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萘</w:t>
                  </w:r>
                </w:p>
              </w:tc>
              <w:tc>
                <w:tcPr>
                  <w:tcW w:w="0" w:type="auto"/>
                  <w:shd w:val="clear" w:color="auto" w:fill="auto"/>
                  <w:vAlign w:val="center"/>
                </w:tcPr>
                <w:p w14:paraId="608211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224C04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041900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4B4C45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07AFE4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1FB262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18846D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2A8686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shd w:val="clear" w:color="auto" w:fill="auto"/>
                  <w:vAlign w:val="center"/>
                </w:tcPr>
                <w:p w14:paraId="7BCE9E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0" w:type="auto"/>
                  <w:vAlign w:val="center"/>
                </w:tcPr>
                <w:p w14:paraId="1DC30B77">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w:t>
                  </w:r>
                </w:p>
              </w:tc>
              <w:tc>
                <w:tcPr>
                  <w:tcW w:w="0" w:type="auto"/>
                  <w:vAlign w:val="center"/>
                </w:tcPr>
                <w:p w14:paraId="157C0D9F">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14:paraId="73463E28">
            <w:pPr>
              <w:keepNext/>
              <w:keepLines/>
              <w:tabs>
                <w:tab w:val="left" w:pos="420"/>
              </w:tabs>
              <w:adjustRightInd w:val="0"/>
              <w:snapToGrid w:val="0"/>
              <w:spacing w:line="240" w:lineRule="auto"/>
              <w:jc w:val="center"/>
              <w:rPr>
                <w:rFonts w:hint="eastAsia"/>
                <w:b/>
                <w:bCs/>
                <w:sz w:val="21"/>
                <w:szCs w:val="21"/>
                <w:vertAlign w:val="baseline"/>
              </w:rPr>
            </w:pPr>
          </w:p>
          <w:p w14:paraId="55C176B9">
            <w:pPr>
              <w:keepNext/>
              <w:keepLines/>
              <w:tabs>
                <w:tab w:val="left" w:pos="420"/>
              </w:tabs>
              <w:adjustRightInd w:val="0"/>
              <w:snapToGrid w:val="0"/>
              <w:spacing w:line="240" w:lineRule="auto"/>
              <w:jc w:val="center"/>
              <w:rPr>
                <w:rFonts w:hint="eastAsia"/>
                <w:b/>
                <w:bCs/>
                <w:sz w:val="21"/>
                <w:szCs w:val="21"/>
                <w:vertAlign w:val="baseline"/>
              </w:rPr>
            </w:pPr>
          </w:p>
          <w:p w14:paraId="15CA01BC">
            <w:pPr>
              <w:keepNext/>
              <w:keepLines/>
              <w:tabs>
                <w:tab w:val="left" w:pos="420"/>
              </w:tabs>
              <w:adjustRightInd w:val="0"/>
              <w:snapToGrid w:val="0"/>
              <w:spacing w:line="240" w:lineRule="auto"/>
              <w:jc w:val="center"/>
              <w:rPr>
                <w:rFonts w:hint="eastAsia"/>
                <w:b/>
                <w:bCs/>
                <w:sz w:val="21"/>
                <w:szCs w:val="21"/>
                <w:vertAlign w:val="baseline"/>
              </w:rPr>
            </w:pPr>
          </w:p>
        </w:tc>
      </w:tr>
    </w:tbl>
    <w:p w14:paraId="1448FB13">
      <w:pPr>
        <w:pStyle w:val="59"/>
        <w:sectPr>
          <w:pgSz w:w="16838" w:h="11906" w:orient="landscape"/>
          <w:pgMar w:top="1800" w:right="1440" w:bottom="1800" w:left="1440" w:header="851" w:footer="1077" w:gutter="0"/>
          <w:pgBorders>
            <w:top w:val="none" w:sz="0" w:space="0"/>
            <w:left w:val="none" w:sz="0" w:space="0"/>
            <w:bottom w:val="none" w:sz="0" w:space="0"/>
            <w:right w:val="none" w:sz="0" w:space="0"/>
          </w:pgBorders>
          <w:cols w:space="720" w:num="1"/>
          <w:docGrid w:linePitch="312" w:charSpace="0"/>
        </w:sectPr>
      </w:pPr>
    </w:p>
    <w:p w14:paraId="4C68C724">
      <w:pPr>
        <w:keepNext/>
        <w:keepLines/>
        <w:tabs>
          <w:tab w:val="left" w:pos="420"/>
        </w:tabs>
        <w:adjustRightInd w:val="0"/>
        <w:snapToGrid w:val="0"/>
        <w:spacing w:line="240" w:lineRule="auto"/>
        <w:ind w:firstLine="0" w:firstLineChars="0"/>
        <w:jc w:val="center"/>
        <w:rPr>
          <w:b/>
          <w:bCs/>
          <w:sz w:val="24"/>
          <w:szCs w:val="24"/>
        </w:rPr>
      </w:pPr>
      <w:r>
        <w:rPr>
          <w:rFonts w:hint="eastAsia"/>
          <w:b/>
          <w:bCs/>
          <w:sz w:val="24"/>
          <w:szCs w:val="24"/>
        </w:rPr>
        <w:t>表3-</w:t>
      </w:r>
      <w:r>
        <w:rPr>
          <w:rFonts w:hint="eastAsia"/>
          <w:b/>
          <w:bCs/>
          <w:sz w:val="24"/>
          <w:szCs w:val="24"/>
          <w:lang w:val="en-US" w:eastAsia="zh-CN"/>
        </w:rPr>
        <w:t xml:space="preserve">8  </w:t>
      </w:r>
      <w:r>
        <w:rPr>
          <w:rFonts w:hint="eastAsia"/>
          <w:b/>
          <w:bCs/>
          <w:sz w:val="24"/>
          <w:szCs w:val="24"/>
        </w:rPr>
        <w:t>项目范围外土壤检测结果一览表单位：mg/kg</w:t>
      </w:r>
    </w:p>
    <w:tbl>
      <w:tblPr>
        <w:tblStyle w:val="40"/>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63"/>
        <w:gridCol w:w="2429"/>
        <w:gridCol w:w="2036"/>
        <w:gridCol w:w="1594"/>
      </w:tblGrid>
      <w:tr w14:paraId="0D40A1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1"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6EDF5AE5">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采样时间</w:t>
            </w:r>
          </w:p>
        </w:tc>
        <w:tc>
          <w:tcPr>
            <w:tcW w:w="3554" w:type="pct"/>
            <w:gridSpan w:val="3"/>
            <w:tcBorders>
              <w:top w:val="single" w:color="000000" w:sz="4" w:space="0"/>
              <w:left w:val="single" w:color="000000" w:sz="4" w:space="0"/>
              <w:bottom w:val="single" w:color="000000" w:sz="4" w:space="0"/>
              <w:right w:val="single" w:color="000000" w:sz="4" w:space="0"/>
            </w:tcBorders>
            <w:noWrap w:val="0"/>
            <w:vAlign w:val="center"/>
          </w:tcPr>
          <w:p w14:paraId="027739F9">
            <w:pPr>
              <w:pStyle w:val="64"/>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2025-07-19</w:t>
            </w:r>
          </w:p>
        </w:tc>
      </w:tr>
      <w:tr w14:paraId="41106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01"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2CD95378">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采样点位</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6525A1F4">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S6项目外下风向石头山村</w:t>
            </w:r>
          </w:p>
          <w:p w14:paraId="28BCC151">
            <w:pPr>
              <w:keepNext w:val="0"/>
              <w:keepLines w:val="0"/>
              <w:pageBreakBefore w:val="0"/>
              <w:widowControl w:val="0"/>
              <w:kinsoku/>
              <w:wordWrap w:val="0"/>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（表层样0~0.2m）</w:t>
            </w:r>
          </w:p>
        </w:tc>
        <w:tc>
          <w:tcPr>
            <w:tcW w:w="1194" w:type="pct"/>
            <w:vMerge w:val="restart"/>
            <w:tcBorders>
              <w:left w:val="single" w:color="000000" w:sz="4" w:space="0"/>
              <w:right w:val="single" w:color="000000" w:sz="4" w:space="0"/>
            </w:tcBorders>
            <w:noWrap w:val="0"/>
            <w:vAlign w:val="center"/>
          </w:tcPr>
          <w:p w14:paraId="6047D8D8">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（GB36600-2018Ⅰ）筛选值</w:t>
            </w:r>
          </w:p>
        </w:tc>
        <w:tc>
          <w:tcPr>
            <w:tcW w:w="935" w:type="pct"/>
            <w:vMerge w:val="restart"/>
            <w:tcBorders>
              <w:left w:val="single" w:color="000000" w:sz="4" w:space="0"/>
              <w:right w:val="single" w:color="000000" w:sz="4" w:space="0"/>
            </w:tcBorders>
            <w:noWrap w:val="0"/>
            <w:vAlign w:val="center"/>
          </w:tcPr>
          <w:p w14:paraId="40454D50">
            <w:pPr>
              <w:pStyle w:val="64"/>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是否符合筛选值要求</w:t>
            </w:r>
          </w:p>
        </w:tc>
      </w:tr>
      <w:tr w14:paraId="2A51A4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2" w:hRule="atLeast"/>
          <w:jc w:val="center"/>
        </w:trPr>
        <w:tc>
          <w:tcPr>
            <w:tcW w:w="1445" w:type="pct"/>
            <w:tcBorders>
              <w:top w:val="single" w:color="000000" w:sz="4" w:space="0"/>
              <w:left w:val="single" w:color="000000" w:sz="4" w:space="0"/>
              <w:bottom w:val="single" w:color="000000" w:sz="4" w:space="0"/>
              <w:right w:val="single" w:color="000000" w:sz="4" w:space="0"/>
              <w:tl2br w:val="nil"/>
            </w:tcBorders>
            <w:noWrap w:val="0"/>
            <w:vAlign w:val="center"/>
            <mc:AlternateContent>
              <mc:Choice Requires="wpsCustomData">
                <wpsCustomData:diagonals>
                  <wpsCustomData:diagonal from="10000" to="30000">
                    <wpsCustomData:border w:val="single" w:color="000000" w:sz="4" w:space="0"/>
                  </wpsCustomData:diagonal>
                </wpsCustomData:diagonals>
              </mc:Choice>
            </mc:AlternateContent>
          </w:tcPr>
          <w:p w14:paraId="22747D4A">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p>
          <w:p w14:paraId="295B04D5">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mc:AlternateContent>
                <mc:Choice Requires="wpsCustomData">
                  <wpsCustomData:diagonalParaType/>
                </mc:Choice>
              </mc:AlternateContent>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检测项目</w:t>
            </w:r>
          </w:p>
          <w:p w14:paraId="0A629E20">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样品编号</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5452FE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W25071707TR-7-1-1</w:t>
            </w:r>
          </w:p>
        </w:tc>
        <w:tc>
          <w:tcPr>
            <w:tcW w:w="1194" w:type="pct"/>
            <w:vMerge w:val="continue"/>
            <w:tcBorders>
              <w:left w:val="single" w:color="000000" w:sz="4" w:space="0"/>
              <w:bottom w:val="single" w:color="000000" w:sz="4" w:space="0"/>
              <w:right w:val="single" w:color="000000" w:sz="4" w:space="0"/>
            </w:tcBorders>
            <w:noWrap w:val="0"/>
            <w:vAlign w:val="center"/>
          </w:tcPr>
          <w:p w14:paraId="30FB40B0">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c>
          <w:tcPr>
            <w:tcW w:w="935" w:type="pct"/>
            <w:vMerge w:val="continue"/>
            <w:tcBorders>
              <w:left w:val="single" w:color="000000" w:sz="4" w:space="0"/>
              <w:bottom w:val="single" w:color="000000" w:sz="4" w:space="0"/>
              <w:right w:val="single" w:color="000000" w:sz="4" w:space="0"/>
            </w:tcBorders>
            <w:noWrap w:val="0"/>
            <w:vAlign w:val="center"/>
          </w:tcPr>
          <w:p w14:paraId="600BD69F">
            <w:pPr>
              <w:pStyle w:val="64"/>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p>
        </w:tc>
      </w:tr>
      <w:tr w14:paraId="0E269E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8" w:hRule="atLeast"/>
          <w:jc w:val="center"/>
        </w:trPr>
        <w:tc>
          <w:tcPr>
            <w:tcW w:w="1445" w:type="pct"/>
            <w:tcBorders>
              <w:top w:val="single" w:color="000000" w:sz="4" w:space="0"/>
              <w:left w:val="single" w:color="000000" w:sz="4" w:space="0"/>
              <w:bottom w:val="single" w:color="000000" w:sz="4" w:space="0"/>
              <w:right w:val="single" w:color="000000" w:sz="4" w:space="0"/>
              <w:tl2br w:val="nil"/>
            </w:tcBorders>
            <w:noWrap w:val="0"/>
            <w:vAlign w:val="center"/>
          </w:tcPr>
          <w:p w14:paraId="131A8C50">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pH（无量纲）</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2E644E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7.02</w:t>
            </w:r>
          </w:p>
        </w:tc>
        <w:tc>
          <w:tcPr>
            <w:tcW w:w="1194" w:type="pct"/>
            <w:tcBorders>
              <w:left w:val="single" w:color="000000" w:sz="4" w:space="0"/>
              <w:bottom w:val="single" w:color="000000" w:sz="4" w:space="0"/>
              <w:right w:val="single" w:color="000000" w:sz="4" w:space="0"/>
            </w:tcBorders>
            <w:noWrap w:val="0"/>
            <w:vAlign w:val="center"/>
          </w:tcPr>
          <w:p w14:paraId="0438D0D1">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35" w:type="pct"/>
            <w:tcBorders>
              <w:left w:val="single" w:color="000000" w:sz="4" w:space="0"/>
              <w:bottom w:val="single" w:color="000000" w:sz="4" w:space="0"/>
              <w:right w:val="single" w:color="000000" w:sz="4" w:space="0"/>
            </w:tcBorders>
            <w:noWrap w:val="0"/>
            <w:vAlign w:val="center"/>
          </w:tcPr>
          <w:p w14:paraId="79B3C1EC">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7BDD50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633ADC69">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砷</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63E555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3.84</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5F7B5F0A">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57A145B0">
            <w:pPr>
              <w:pStyle w:val="64"/>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151FE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5"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55FE27DF">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镉</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7A8C08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663C2D2F">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61851E7C">
            <w:pPr>
              <w:pStyle w:val="64"/>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EDB9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490F0AD7">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六价铬</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274BB7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 w:val="0"/>
                <w:bCs w:val="0"/>
                <w:color w:val="auto"/>
                <w:sz w:val="21"/>
                <w:szCs w:val="21"/>
                <w:highlight w:val="none"/>
                <w:lang w:val="en-US" w:eastAsia="zh-CN"/>
              </w:rPr>
              <w:t>0.25</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5FC17411">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52D97877">
            <w:pPr>
              <w:pStyle w:val="64"/>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A37F1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00A45250">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铜</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348CFB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300</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42A42706">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2000</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11909249">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7273A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14FADA8D">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铅</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02D97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15.2</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64DB8E3C">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400</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29E18245">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E6CB5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5256E59F">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kern w:val="2"/>
                <w:sz w:val="21"/>
                <w:szCs w:val="21"/>
                <w:highlight w:val="none"/>
                <w:lang w:val="en-US" w:eastAsia="zh-CN" w:bidi="ar-SA"/>
              </w:rPr>
              <w:t>汞</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074A15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0.0830</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06C308E8">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8</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03F3D8C9">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5DE0A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13837911">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氟化物</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1CAEA4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343</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36DD423E">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39342011">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210274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5A0E29F8">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总磷</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502835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1013</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1343711F">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4766DB83">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D43B2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3F197EDD">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阳离子交换量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000000"/>
                <w:kern w:val="0"/>
                <w:sz w:val="21"/>
                <w:szCs w:val="21"/>
                <w:lang w:val="en-US" w:eastAsia="zh-CN" w:bidi="ar"/>
              </w:rPr>
              <w:t>cmol+/kg）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3EB30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9.2</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3FAD948B">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4563BB0C">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5EFDF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2DCD678A">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氧化还原电位</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7F0799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387</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24CAC427">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3C44D630">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26CEF9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0EF1ED6C">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土壤容重</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214F8A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1.27</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72419EB1">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373058F2">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5C2C08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178FCD22">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四氯化碳（μg/kg）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1EC0D7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374DDCEA">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0.9</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07229DFB">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3A52D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61E5D878">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氯仿（μg/kg）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4A4E9C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4CFB8BA7">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7285EC1D">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BD6A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36784227">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氯甲烷（μg/kg）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16D039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47A1FB39">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39D027D8">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6DA11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62B86F8D">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1,1-二氯乙烷（μg/kg）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63239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6B334265">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4AD60A0D">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947C4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42C9645B">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1,2-二氯乙烷（μg/kg）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08A677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6B6CF89E">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0.52</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5D650399">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8CE92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5ABEACD5">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1,1-二氯乙烯（μg/kg）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585DCD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3109FCFF">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3B01246F">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03927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2CA31F3D">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顺-1,2-二氯乙烯（μg/kg）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233E33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35178FB2">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66</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59FE0576">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641FC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42A0CA4E">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反-1,2-二氯乙烯（μg/kg）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709D54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26BE129D">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75CE321F">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C6AB1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1B26475F">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二氯甲烷（μg/kg）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7B6FC8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27C9D515">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94</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0277B279">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787E6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73DFE4A1">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1,2-二氯丙烷（μg/kg）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22D1A9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3C28A971">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0353F462">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213D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028839C0">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1,1,1,2-四氯乙烷（μg/kg）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554469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1E07E6E6">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2.6</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575C874D">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4A257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372C1B81">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1,1,2,2-四氯乙烷（μg/kg）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0F0236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4CB457E9">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4E53793D">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795FC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6841F78F">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四氯乙烯（μg/kg）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3CABD6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11896EC3">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11</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45B3C120">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46AEC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63AC1A0E">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1,1,1-三氯乙烷（μg/kg）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7E8282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3091B0A4">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701</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571323D0">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DA908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3A5E7928">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1,1,2-三氯乙烷（μg/kg）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5F5EE9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0C1460AB">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0.6</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1EAE8161">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51D02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11D7B185">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三氯乙烯（μg/kg）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7474B7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3134C80A">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0.7</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3CF09B0B">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F5A8B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4582CFB5">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1,2,3-三氯丙烷（μg/kg）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76B582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12D1DF60">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0.05</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6B030FAF">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6EEBE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03442354">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氯乙烯（μg/kg）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6F2FD2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324B36BC">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0.12</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70AF49F5">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6A4F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1EBCDC37">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苯（μg/kg）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652D0E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0CE00763">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1599F4A3">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10E7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2458EC2C">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氯苯（μg/kg）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200D9D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74EE6D9B">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68</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71AB469B">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5F5B9F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078BE616">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1,2-二氯苯（μg/kg）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710E871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7DB43365">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560</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255992A1">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CA34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2D98384F">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1,4-二氯苯（μg/kg）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29ADA3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7C99E310">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5.6</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091B0995">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14C48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4379F39F">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乙苯（μg/kg）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63B0A3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78822F56">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7.2</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75248750">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B1D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7A0C9995">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苯乙烯（μg/kg）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0C1E544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188E7E0B">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1290</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62D0C0CF">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92194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004E1DA1">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甲苯（μg/kg）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4EA5D9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26048B98">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1200</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1960A1A2">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C760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1C81F200">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间二甲苯+对二甲苯（μg/kg）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2DDD2A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643C0880">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163</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0DF53370">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2A3B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tcBorders>
              <w:top w:val="single" w:color="000000" w:sz="4" w:space="0"/>
              <w:left w:val="single" w:color="000000" w:sz="4" w:space="0"/>
              <w:bottom w:val="single" w:color="000000" w:sz="4" w:space="0"/>
              <w:right w:val="single" w:color="000000" w:sz="4" w:space="0"/>
            </w:tcBorders>
            <w:noWrap w:val="0"/>
            <w:vAlign w:val="center"/>
          </w:tcPr>
          <w:p w14:paraId="467B2066">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 w:val="0"/>
                <w:bCs w:val="0"/>
                <w:color w:val="auto"/>
                <w:kern w:val="2"/>
                <w:sz w:val="21"/>
                <w:szCs w:val="21"/>
                <w:highlight w:val="none"/>
                <w:lang w:val="en-US" w:eastAsia="zh-CN" w:bidi="ar-SA"/>
              </w:rPr>
              <w:t>邻二甲苯（μg/kg）</w:t>
            </w:r>
          </w:p>
        </w:tc>
        <w:tc>
          <w:tcPr>
            <w:tcW w:w="1425" w:type="pct"/>
            <w:tcBorders>
              <w:top w:val="single" w:color="000000" w:sz="4" w:space="0"/>
              <w:left w:val="single" w:color="000000" w:sz="4" w:space="0"/>
              <w:bottom w:val="single" w:color="000000" w:sz="4" w:space="0"/>
              <w:right w:val="single" w:color="000000" w:sz="4" w:space="0"/>
            </w:tcBorders>
            <w:noWrap w:val="0"/>
            <w:vAlign w:val="center"/>
          </w:tcPr>
          <w:p w14:paraId="6BC612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31B66102">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222</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7A8CA3B2">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6688B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407D078D">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硝基苯</w:t>
            </w:r>
          </w:p>
        </w:tc>
        <w:tc>
          <w:tcPr>
            <w:tcW w:w="1425" w:type="pct"/>
            <w:tcBorders>
              <w:top w:val="single" w:color="000000" w:sz="4" w:space="0"/>
              <w:left w:val="single" w:color="000000" w:sz="4" w:space="0"/>
              <w:bottom w:val="single" w:color="000000" w:sz="4" w:space="0"/>
              <w:right w:val="single" w:color="000000" w:sz="4" w:space="0"/>
            </w:tcBorders>
            <w:shd w:val="clear" w:color="auto" w:fill="auto"/>
            <w:noWrap w:val="0"/>
            <w:vAlign w:val="center"/>
          </w:tcPr>
          <w:p w14:paraId="559EB9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tcBorders>
              <w:top w:val="single" w:color="000000" w:sz="4" w:space="0"/>
              <w:left w:val="single" w:color="000000" w:sz="4" w:space="0"/>
              <w:bottom w:val="single" w:color="000000" w:sz="4" w:space="0"/>
              <w:right w:val="single" w:color="000000" w:sz="4" w:space="0"/>
            </w:tcBorders>
            <w:noWrap w:val="0"/>
            <w:vAlign w:val="center"/>
          </w:tcPr>
          <w:p w14:paraId="1B3316F7">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34</w:t>
            </w:r>
          </w:p>
        </w:tc>
        <w:tc>
          <w:tcPr>
            <w:tcW w:w="935" w:type="pct"/>
            <w:tcBorders>
              <w:top w:val="single" w:color="000000" w:sz="4" w:space="0"/>
              <w:left w:val="single" w:color="000000" w:sz="4" w:space="0"/>
              <w:bottom w:val="single" w:color="000000" w:sz="4" w:space="0"/>
              <w:right w:val="single" w:color="000000" w:sz="4" w:space="0"/>
            </w:tcBorders>
            <w:noWrap w:val="0"/>
            <w:vAlign w:val="center"/>
          </w:tcPr>
          <w:p w14:paraId="3AB6D27C">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BC394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shd w:val="clear" w:color="auto" w:fill="auto"/>
            <w:vAlign w:val="center"/>
          </w:tcPr>
          <w:p w14:paraId="6BEF0581">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苯胺</w:t>
            </w:r>
          </w:p>
        </w:tc>
        <w:tc>
          <w:tcPr>
            <w:tcW w:w="1425" w:type="pct"/>
            <w:shd w:val="clear" w:color="auto" w:fill="auto"/>
            <w:vAlign w:val="center"/>
          </w:tcPr>
          <w:p w14:paraId="608386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vAlign w:val="center"/>
          </w:tcPr>
          <w:p w14:paraId="7725CC1E">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92</w:t>
            </w:r>
          </w:p>
        </w:tc>
        <w:tc>
          <w:tcPr>
            <w:tcW w:w="935" w:type="pct"/>
            <w:vAlign w:val="center"/>
          </w:tcPr>
          <w:p w14:paraId="3715B485">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A2E9E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shd w:val="clear" w:color="auto" w:fill="auto"/>
            <w:vAlign w:val="center"/>
          </w:tcPr>
          <w:p w14:paraId="3A61961B">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2-氯酚</w:t>
            </w:r>
          </w:p>
        </w:tc>
        <w:tc>
          <w:tcPr>
            <w:tcW w:w="1425" w:type="pct"/>
            <w:shd w:val="clear" w:color="auto" w:fill="auto"/>
            <w:vAlign w:val="center"/>
          </w:tcPr>
          <w:p w14:paraId="7F7A74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vAlign w:val="center"/>
          </w:tcPr>
          <w:p w14:paraId="1730E815">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w:t>
            </w:r>
          </w:p>
        </w:tc>
        <w:tc>
          <w:tcPr>
            <w:tcW w:w="935" w:type="pct"/>
            <w:vAlign w:val="center"/>
          </w:tcPr>
          <w:p w14:paraId="1920FE64">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88C2E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shd w:val="clear" w:color="auto" w:fill="auto"/>
            <w:vAlign w:val="center"/>
          </w:tcPr>
          <w:p w14:paraId="232E3508">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苯并[a]蒽</w:t>
            </w:r>
          </w:p>
        </w:tc>
        <w:tc>
          <w:tcPr>
            <w:tcW w:w="1425" w:type="pct"/>
            <w:shd w:val="clear" w:color="auto" w:fill="auto"/>
            <w:vAlign w:val="center"/>
          </w:tcPr>
          <w:p w14:paraId="57507B8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vAlign w:val="center"/>
          </w:tcPr>
          <w:p w14:paraId="1BEDD358">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c>
          <w:tcPr>
            <w:tcW w:w="935" w:type="pct"/>
            <w:vAlign w:val="center"/>
          </w:tcPr>
          <w:p w14:paraId="56708EF9">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8712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shd w:val="clear" w:color="auto" w:fill="auto"/>
            <w:vAlign w:val="center"/>
          </w:tcPr>
          <w:p w14:paraId="3B557443">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苯并[a]芘</w:t>
            </w:r>
          </w:p>
        </w:tc>
        <w:tc>
          <w:tcPr>
            <w:tcW w:w="1425" w:type="pct"/>
            <w:shd w:val="clear" w:color="auto" w:fill="auto"/>
            <w:vAlign w:val="center"/>
          </w:tcPr>
          <w:p w14:paraId="02E3EF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vAlign w:val="center"/>
          </w:tcPr>
          <w:p w14:paraId="02BB8D1B">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0.55</w:t>
            </w:r>
          </w:p>
        </w:tc>
        <w:tc>
          <w:tcPr>
            <w:tcW w:w="935" w:type="pct"/>
            <w:vAlign w:val="center"/>
          </w:tcPr>
          <w:p w14:paraId="17EF5766">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53862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shd w:val="clear" w:color="auto" w:fill="auto"/>
            <w:vAlign w:val="center"/>
          </w:tcPr>
          <w:p w14:paraId="71CA8AB9">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苯并[b]荧蒽</w:t>
            </w:r>
          </w:p>
        </w:tc>
        <w:tc>
          <w:tcPr>
            <w:tcW w:w="1425" w:type="pct"/>
            <w:shd w:val="clear" w:color="auto" w:fill="auto"/>
            <w:vAlign w:val="center"/>
          </w:tcPr>
          <w:p w14:paraId="57AFBB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vAlign w:val="center"/>
          </w:tcPr>
          <w:p w14:paraId="0736068C">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c>
          <w:tcPr>
            <w:tcW w:w="935" w:type="pct"/>
            <w:vAlign w:val="center"/>
          </w:tcPr>
          <w:p w14:paraId="6C96427D">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2B3449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shd w:val="clear" w:color="auto" w:fill="auto"/>
            <w:vAlign w:val="center"/>
          </w:tcPr>
          <w:p w14:paraId="406D59B4">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苯并[k]荧蒽</w:t>
            </w:r>
          </w:p>
        </w:tc>
        <w:tc>
          <w:tcPr>
            <w:tcW w:w="1425" w:type="pct"/>
            <w:shd w:val="clear" w:color="auto" w:fill="auto"/>
            <w:vAlign w:val="center"/>
          </w:tcPr>
          <w:p w14:paraId="5045AB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vAlign w:val="center"/>
          </w:tcPr>
          <w:p w14:paraId="7F62894F">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c>
          <w:tcPr>
            <w:tcW w:w="935" w:type="pct"/>
            <w:vAlign w:val="center"/>
          </w:tcPr>
          <w:p w14:paraId="6AE763F0">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1B906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9" w:hRule="atLeast"/>
          <w:jc w:val="center"/>
        </w:trPr>
        <w:tc>
          <w:tcPr>
            <w:tcW w:w="1445" w:type="pct"/>
            <w:shd w:val="clear" w:color="auto" w:fill="auto"/>
            <w:vAlign w:val="center"/>
          </w:tcPr>
          <w:p w14:paraId="639AE740">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䓛</w:t>
            </w:r>
          </w:p>
        </w:tc>
        <w:tc>
          <w:tcPr>
            <w:tcW w:w="1425" w:type="pct"/>
            <w:shd w:val="clear" w:color="auto" w:fill="auto"/>
            <w:vAlign w:val="center"/>
          </w:tcPr>
          <w:p w14:paraId="02DD9F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vAlign w:val="center"/>
          </w:tcPr>
          <w:p w14:paraId="4E448415">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490</w:t>
            </w:r>
          </w:p>
        </w:tc>
        <w:tc>
          <w:tcPr>
            <w:tcW w:w="935" w:type="pct"/>
            <w:vAlign w:val="center"/>
          </w:tcPr>
          <w:p w14:paraId="291856B1">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0EE7E8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shd w:val="clear" w:color="auto" w:fill="auto"/>
            <w:vAlign w:val="center"/>
          </w:tcPr>
          <w:p w14:paraId="26B4A7BC">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二苯并[a,h]蒽</w:t>
            </w:r>
          </w:p>
        </w:tc>
        <w:tc>
          <w:tcPr>
            <w:tcW w:w="1425" w:type="pct"/>
            <w:shd w:val="clear" w:color="auto" w:fill="auto"/>
            <w:vAlign w:val="center"/>
          </w:tcPr>
          <w:p w14:paraId="2F42D9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vAlign w:val="center"/>
          </w:tcPr>
          <w:p w14:paraId="05668FA4">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0.55</w:t>
            </w:r>
          </w:p>
        </w:tc>
        <w:tc>
          <w:tcPr>
            <w:tcW w:w="935" w:type="pct"/>
            <w:vAlign w:val="center"/>
          </w:tcPr>
          <w:p w14:paraId="65EB1DEB">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336EB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3" w:hRule="atLeast"/>
          <w:jc w:val="center"/>
        </w:trPr>
        <w:tc>
          <w:tcPr>
            <w:tcW w:w="1445" w:type="pct"/>
            <w:shd w:val="clear" w:color="auto" w:fill="auto"/>
            <w:vAlign w:val="center"/>
          </w:tcPr>
          <w:p w14:paraId="437784EF">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茚并[1,2,3-cd]芘</w:t>
            </w:r>
          </w:p>
        </w:tc>
        <w:tc>
          <w:tcPr>
            <w:tcW w:w="1425" w:type="pct"/>
            <w:shd w:val="clear" w:color="auto" w:fill="auto"/>
            <w:vAlign w:val="center"/>
          </w:tcPr>
          <w:p w14:paraId="62A5C2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vAlign w:val="center"/>
          </w:tcPr>
          <w:p w14:paraId="68E63AA6">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5.5</w:t>
            </w:r>
          </w:p>
        </w:tc>
        <w:tc>
          <w:tcPr>
            <w:tcW w:w="935" w:type="pct"/>
            <w:vAlign w:val="center"/>
          </w:tcPr>
          <w:p w14:paraId="6342E3C2">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E718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1445" w:type="pct"/>
            <w:shd w:val="clear" w:color="auto" w:fill="auto"/>
            <w:vAlign w:val="center"/>
          </w:tcPr>
          <w:p w14:paraId="39C486E0">
            <w:pPr>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kern w:val="2"/>
                <w:sz w:val="21"/>
                <w:szCs w:val="21"/>
                <w:highlight w:val="none"/>
                <w:lang w:val="en-US" w:eastAsia="zh-CN" w:bidi="ar-SA"/>
              </w:rPr>
              <w:t>萘</w:t>
            </w:r>
          </w:p>
        </w:tc>
        <w:tc>
          <w:tcPr>
            <w:tcW w:w="1425" w:type="pct"/>
            <w:shd w:val="clear" w:color="auto" w:fill="auto"/>
            <w:vAlign w:val="center"/>
          </w:tcPr>
          <w:p w14:paraId="55C26E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val="0"/>
                <w:bCs w:val="0"/>
                <w:color w:val="auto"/>
                <w:kern w:val="2"/>
                <w:sz w:val="21"/>
                <w:szCs w:val="21"/>
                <w:highlight w:val="none"/>
                <w:lang w:val="en-US" w:eastAsia="zh-CN" w:bidi="ar-SA"/>
              </w:rPr>
            </w:pPr>
            <w:r>
              <w:rPr>
                <w:rFonts w:hint="default" w:ascii="Times New Roman" w:hAnsi="Times New Roman" w:eastAsia="宋体" w:cs="Times New Roman"/>
                <w:b w:val="0"/>
                <w:bCs w:val="0"/>
                <w:color w:val="auto"/>
                <w:sz w:val="21"/>
                <w:szCs w:val="21"/>
                <w:highlight w:val="none"/>
                <w:lang w:val="en-US" w:eastAsia="zh-CN"/>
              </w:rPr>
              <w:t>未检出</w:t>
            </w:r>
          </w:p>
        </w:tc>
        <w:tc>
          <w:tcPr>
            <w:tcW w:w="1194" w:type="pct"/>
            <w:vAlign w:val="center"/>
          </w:tcPr>
          <w:p w14:paraId="273D4F9B">
            <w:pPr>
              <w:pStyle w:val="64"/>
              <w:keepNext w:val="0"/>
              <w:keepLines w:val="0"/>
              <w:pageBreakBefore w:val="0"/>
              <w:widowControl w:val="0"/>
              <w:kinsoku/>
              <w:wordWrap w:val="0"/>
              <w:overflowPunct/>
              <w:topLinePunct w:val="0"/>
              <w:autoSpaceDE/>
              <w:autoSpaceDN/>
              <w:bidi w:val="0"/>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w:t>
            </w:r>
          </w:p>
        </w:tc>
        <w:tc>
          <w:tcPr>
            <w:tcW w:w="935" w:type="pct"/>
            <w:vAlign w:val="center"/>
          </w:tcPr>
          <w:p w14:paraId="39D43B56">
            <w:pPr>
              <w:keepNext w:val="0"/>
              <w:keepLines w:val="0"/>
              <w:pageBreakBefore w:val="0"/>
              <w:widowControl w:val="0"/>
              <w:kinsoku/>
              <w:wordWrap w:val="0"/>
              <w:overflowPunct/>
              <w:topLinePunct w:val="0"/>
              <w:autoSpaceDE/>
              <w:autoSpaceDN/>
              <w:bidi w:val="0"/>
              <w:adjustRightInd/>
              <w:spacing w:beforeLines="0" w:afterLines="0"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bl>
    <w:p w14:paraId="0275FB3B">
      <w:pPr>
        <w:keepNext/>
        <w:keepLines/>
        <w:numPr>
          <w:ilvl w:val="0"/>
          <w:numId w:val="0"/>
        </w:numPr>
        <w:tabs>
          <w:tab w:val="left" w:pos="420"/>
        </w:tabs>
        <w:bidi w:val="0"/>
        <w:adjustRightInd w:val="0"/>
        <w:snapToGrid w:val="0"/>
        <w:spacing w:line="240" w:lineRule="auto"/>
        <w:ind w:left="0"/>
        <w:jc w:val="center"/>
        <w:outlineLvl w:val="9"/>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表3-</w:t>
      </w:r>
      <w:r>
        <w:rPr>
          <w:rFonts w:hint="eastAsia" w:cs="Times New Roman"/>
          <w:b/>
          <w:bCs/>
          <w:color w:val="auto"/>
          <w:sz w:val="24"/>
          <w:szCs w:val="24"/>
          <w:highlight w:val="none"/>
          <w:lang w:val="en-US" w:eastAsia="zh-CN"/>
        </w:rPr>
        <w:t xml:space="preserve">9  </w:t>
      </w:r>
      <w:r>
        <w:rPr>
          <w:rFonts w:hint="eastAsia" w:ascii="Times New Roman" w:hAnsi="Times New Roman" w:eastAsia="宋体" w:cs="Times New Roman"/>
          <w:b/>
          <w:bCs/>
          <w:color w:val="auto"/>
          <w:sz w:val="24"/>
          <w:szCs w:val="24"/>
          <w:highlight w:val="none"/>
          <w:lang w:val="en-US" w:eastAsia="zh-CN"/>
        </w:rPr>
        <w:t>项目范围外土壤检测结果一览表单位：mg/kg</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5"/>
        <w:gridCol w:w="1438"/>
        <w:gridCol w:w="1438"/>
        <w:gridCol w:w="1438"/>
        <w:gridCol w:w="1438"/>
        <w:gridCol w:w="1377"/>
        <w:gridCol w:w="358"/>
      </w:tblGrid>
      <w:tr w14:paraId="151B68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2" w:hRule="atLeast"/>
        </w:trPr>
        <w:tc>
          <w:tcPr>
            <w:tcW w:w="865" w:type="pct"/>
            <w:tcBorders>
              <w:top w:val="single" w:color="000000" w:sz="4" w:space="0"/>
              <w:left w:val="single" w:color="000000" w:sz="4" w:space="0"/>
              <w:bottom w:val="single" w:color="000000" w:sz="4" w:space="0"/>
              <w:right w:val="single" w:color="000000" w:sz="4" w:space="0"/>
              <w:tl2br w:val="nil"/>
            </w:tcBorders>
            <w:noWrap w:val="0"/>
            <w:vAlign w:val="center"/>
          </w:tcPr>
          <w:p w14:paraId="6DCC8D6F">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rPr>
              <w:t>采样日期</w:t>
            </w:r>
          </w:p>
        </w:tc>
        <w:tc>
          <w:tcPr>
            <w:tcW w:w="2837" w:type="pct"/>
            <w:gridSpan w:val="4"/>
            <w:tcBorders>
              <w:top w:val="single" w:color="000000" w:sz="4" w:space="0"/>
              <w:left w:val="single" w:color="000000" w:sz="4" w:space="0"/>
              <w:bottom w:val="single" w:color="000000" w:sz="4" w:space="0"/>
              <w:right w:val="single" w:color="000000" w:sz="4" w:space="0"/>
            </w:tcBorders>
            <w:noWrap w:val="0"/>
            <w:vAlign w:val="center"/>
          </w:tcPr>
          <w:p w14:paraId="7259DFD1">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2025.07.19</w:t>
            </w:r>
          </w:p>
        </w:tc>
        <w:tc>
          <w:tcPr>
            <w:tcW w:w="679" w:type="pct"/>
            <w:vMerge w:val="restart"/>
            <w:tcBorders>
              <w:top w:val="single" w:color="000000" w:sz="4" w:space="0"/>
              <w:left w:val="single" w:color="000000" w:sz="4" w:space="0"/>
              <w:right w:val="single" w:color="000000" w:sz="4" w:space="0"/>
            </w:tcBorders>
            <w:noWrap w:val="0"/>
            <w:vAlign w:val="center"/>
          </w:tcPr>
          <w:p w14:paraId="791AEA0F">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b/>
                <w:bCs/>
                <w:color w:val="auto"/>
                <w:sz w:val="21"/>
                <w:szCs w:val="21"/>
                <w:highlight w:val="none"/>
                <w:lang w:eastAsia="zh-CN"/>
              </w:rPr>
            </w:pPr>
            <w:r>
              <w:rPr>
                <w:rFonts w:hint="default" w:ascii="Times New Roman" w:hAnsi="Times New Roman" w:eastAsia="宋体" w:cs="Times New Roman"/>
                <w:b/>
                <w:bCs/>
                <w:color w:val="auto"/>
                <w:sz w:val="21"/>
                <w:szCs w:val="21"/>
                <w:highlight w:val="none"/>
                <w:lang w:val="en-US" w:eastAsia="zh-CN"/>
              </w:rPr>
              <w:t>土壤环境质量农用地土壤污染风险管控标准（试行）（GB15618-2018）筛选值</w:t>
            </w:r>
          </w:p>
        </w:tc>
        <w:tc>
          <w:tcPr>
            <w:tcW w:w="618" w:type="pct"/>
            <w:vMerge w:val="restart"/>
            <w:tcBorders>
              <w:top w:val="single" w:color="000000" w:sz="4" w:space="0"/>
              <w:left w:val="single" w:color="000000" w:sz="4" w:space="0"/>
              <w:right w:val="single" w:color="000000" w:sz="4" w:space="0"/>
            </w:tcBorders>
            <w:noWrap w:val="0"/>
            <w:vAlign w:val="center"/>
          </w:tcPr>
          <w:p w14:paraId="60C65640">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是否符合筛选值标准</w:t>
            </w:r>
          </w:p>
        </w:tc>
      </w:tr>
      <w:tr w14:paraId="238B1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9" w:hRule="atLeast"/>
        </w:trPr>
        <w:tc>
          <w:tcPr>
            <w:tcW w:w="865" w:type="pct"/>
            <w:tcBorders>
              <w:top w:val="single" w:color="000000" w:sz="4" w:space="0"/>
              <w:left w:val="single" w:color="000000" w:sz="4" w:space="0"/>
              <w:bottom w:val="single" w:color="000000" w:sz="4" w:space="0"/>
              <w:right w:val="single" w:color="000000" w:sz="4" w:space="0"/>
            </w:tcBorders>
            <w:noWrap w:val="0"/>
            <w:vAlign w:val="center"/>
          </w:tcPr>
          <w:p w14:paraId="09937394">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采样点位</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17CFB0D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000000"/>
                <w:sz w:val="21"/>
                <w:szCs w:val="21"/>
                <w:vertAlign w:val="baseline"/>
                <w:lang w:val="en-US" w:eastAsia="zh-CN"/>
              </w:rPr>
              <w:t>S4项目外上风向(</w:t>
            </w:r>
            <w:r>
              <w:rPr>
                <w:rFonts w:hint="default" w:ascii="Times New Roman" w:hAnsi="Times New Roman" w:eastAsia="宋体" w:cs="Times New Roman"/>
                <w:b/>
                <w:bCs/>
                <w:color w:val="auto"/>
                <w:sz w:val="21"/>
                <w:szCs w:val="21"/>
                <w:highlight w:val="none"/>
                <w:vertAlign w:val="baseline"/>
                <w:lang w:val="en-US" w:eastAsia="zh-CN"/>
              </w:rPr>
              <w:t>表层样：0~0.2m)</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69AAE7F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S5项目外下风向农用地</w:t>
            </w:r>
          </w:p>
          <w:p w14:paraId="6C31D46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000000"/>
                <w:sz w:val="21"/>
                <w:szCs w:val="21"/>
                <w:vertAlign w:val="baseline"/>
                <w:lang w:val="en-US" w:eastAsia="zh-CN"/>
              </w:rPr>
              <w:t>(</w:t>
            </w:r>
            <w:r>
              <w:rPr>
                <w:rFonts w:hint="default" w:ascii="Times New Roman" w:hAnsi="Times New Roman" w:eastAsia="宋体" w:cs="Times New Roman"/>
                <w:b/>
                <w:bCs/>
                <w:color w:val="auto"/>
                <w:sz w:val="21"/>
                <w:szCs w:val="21"/>
                <w:highlight w:val="none"/>
                <w:vertAlign w:val="baseline"/>
                <w:lang w:val="en-US" w:eastAsia="zh-CN"/>
              </w:rPr>
              <w:t>表层样：0~0.2m)</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1029EF3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S7项目外上游农用地</w:t>
            </w:r>
          </w:p>
          <w:p w14:paraId="3941994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000000"/>
                <w:sz w:val="21"/>
                <w:szCs w:val="21"/>
                <w:vertAlign w:val="baseline"/>
                <w:lang w:val="en-US" w:eastAsia="zh-CN"/>
              </w:rPr>
              <w:t>(</w:t>
            </w:r>
            <w:r>
              <w:rPr>
                <w:rFonts w:hint="default" w:ascii="Times New Roman" w:hAnsi="Times New Roman" w:eastAsia="宋体" w:cs="Times New Roman"/>
                <w:b/>
                <w:bCs/>
                <w:color w:val="auto"/>
                <w:sz w:val="21"/>
                <w:szCs w:val="21"/>
                <w:highlight w:val="none"/>
                <w:vertAlign w:val="baseline"/>
                <w:lang w:val="en-US" w:eastAsia="zh-CN"/>
              </w:rPr>
              <w:t>表层样：0~0.2m)</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14:paraId="2F5AA02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000000"/>
                <w:sz w:val="21"/>
                <w:szCs w:val="21"/>
                <w:vertAlign w:val="baseline"/>
                <w:lang w:val="en-US" w:eastAsia="zh-CN"/>
              </w:rPr>
            </w:pPr>
            <w:r>
              <w:rPr>
                <w:rFonts w:hint="default" w:ascii="Times New Roman" w:hAnsi="Times New Roman" w:eastAsia="宋体" w:cs="Times New Roman"/>
                <w:b/>
                <w:bCs/>
                <w:color w:val="000000"/>
                <w:sz w:val="21"/>
                <w:szCs w:val="21"/>
                <w:vertAlign w:val="baseline"/>
                <w:lang w:val="en-US" w:eastAsia="zh-CN"/>
              </w:rPr>
              <w:t>S8项目外下游农用地</w:t>
            </w:r>
          </w:p>
          <w:p w14:paraId="7711DE4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000000"/>
                <w:sz w:val="21"/>
                <w:szCs w:val="21"/>
                <w:vertAlign w:val="baseline"/>
                <w:lang w:val="en-US" w:eastAsia="zh-CN"/>
              </w:rPr>
              <w:t>(</w:t>
            </w:r>
            <w:r>
              <w:rPr>
                <w:rFonts w:hint="default" w:ascii="Times New Roman" w:hAnsi="Times New Roman" w:eastAsia="宋体" w:cs="Times New Roman"/>
                <w:b/>
                <w:bCs/>
                <w:color w:val="auto"/>
                <w:sz w:val="21"/>
                <w:szCs w:val="21"/>
                <w:highlight w:val="none"/>
                <w:vertAlign w:val="baseline"/>
                <w:lang w:val="en-US" w:eastAsia="zh-CN"/>
              </w:rPr>
              <w:t>表层样：0~0.2m)</w:t>
            </w:r>
          </w:p>
        </w:tc>
        <w:tc>
          <w:tcPr>
            <w:tcW w:w="679" w:type="pct"/>
            <w:vMerge w:val="continue"/>
            <w:tcBorders>
              <w:left w:val="single" w:color="000000" w:sz="4" w:space="0"/>
              <w:right w:val="single" w:color="000000" w:sz="4" w:space="0"/>
            </w:tcBorders>
            <w:noWrap w:val="0"/>
            <w:vAlign w:val="center"/>
          </w:tcPr>
          <w:p w14:paraId="2798A11D">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618" w:type="pct"/>
            <w:vMerge w:val="continue"/>
            <w:tcBorders>
              <w:left w:val="single" w:color="000000" w:sz="4" w:space="0"/>
              <w:right w:val="single" w:color="000000" w:sz="4" w:space="0"/>
            </w:tcBorders>
            <w:noWrap w:val="0"/>
            <w:vAlign w:val="center"/>
          </w:tcPr>
          <w:p w14:paraId="22402AA7">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p>
        </w:tc>
      </w:tr>
      <w:tr w14:paraId="4FBF3A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34" w:hRule="atLeast"/>
        </w:trPr>
        <w:tc>
          <w:tcPr>
            <w:tcW w:w="865" w:type="pct"/>
            <w:tcBorders>
              <w:top w:val="single" w:color="000000" w:sz="4" w:space="0"/>
              <w:left w:val="single" w:color="000000" w:sz="4" w:space="0"/>
              <w:bottom w:val="single" w:color="000000" w:sz="4" w:space="0"/>
              <w:right w:val="single" w:color="000000" w:sz="4" w:space="0"/>
              <w:tl2br w:val="nil"/>
            </w:tcBorders>
            <w:noWrap w:val="0"/>
            <w:vAlign w:val="center"/>
            <mc:AlternateContent>
              <mc:Choice Requires="wpsCustomData">
                <wpsCustomData:diagonals>
                  <wpsCustomData:diagonal from="10000" to="30000">
                    <wpsCustomData:border w:val="single" w:color="000000" w:sz="4" w:space="0"/>
                  </wpsCustomData:diagonal>
                </wpsCustomData:diagonals>
              </mc:Choice>
            </mc:AlternateContent>
          </w:tcPr>
          <w:p w14:paraId="12E265A6">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b/>
                <w:bCs/>
                <w:color w:val="auto"/>
                <w:sz w:val="21"/>
                <w:szCs w:val="21"/>
                <w:highlight w:val="none"/>
              </w:rPr>
            </w:pPr>
          </w:p>
          <w:p w14:paraId="2BBBBC86">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mc:AlternateContent>
                <mc:Choice Requires="wpsCustomData">
                  <wpsCustomData:diagonalParaType/>
                </mc:Choice>
              </mc:AlternateContent>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rPr>
              <w:t>检测项目</w:t>
            </w:r>
          </w:p>
          <w:p w14:paraId="7EAB4B4A">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both"/>
              <w:textAlignment w:val="auto"/>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样品编号</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04D07F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W25071707TR-6-1-1</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0D470B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W25071707TR-8-1-1</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7D1B5C1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W25071707TR-3-1-1</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14:paraId="60DB8FA7">
            <w:pPr>
              <w:keepNext w:val="0"/>
              <w:keepLines w:val="0"/>
              <w:pageBreakBefore w:val="0"/>
              <w:widowControl w:val="0"/>
              <w:suppressLineNumbers w:val="0"/>
              <w:tabs>
                <w:tab w:val="left" w:pos="375"/>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left"/>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W25071707TR-1-1-1</w:t>
            </w:r>
          </w:p>
        </w:tc>
        <w:tc>
          <w:tcPr>
            <w:tcW w:w="679" w:type="pct"/>
            <w:vMerge w:val="continue"/>
            <w:tcBorders>
              <w:left w:val="single" w:color="000000" w:sz="4" w:space="0"/>
              <w:bottom w:val="single" w:color="000000" w:sz="4" w:space="0"/>
              <w:right w:val="single" w:color="000000" w:sz="4" w:space="0"/>
            </w:tcBorders>
            <w:noWrap w:val="0"/>
            <w:vAlign w:val="center"/>
          </w:tcPr>
          <w:p w14:paraId="6A4C6044">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p>
        </w:tc>
        <w:tc>
          <w:tcPr>
            <w:tcW w:w="618" w:type="pct"/>
            <w:vMerge w:val="continue"/>
            <w:tcBorders>
              <w:left w:val="single" w:color="000000" w:sz="4" w:space="0"/>
              <w:bottom w:val="single" w:color="000000" w:sz="4" w:space="0"/>
              <w:right w:val="single" w:color="000000" w:sz="4" w:space="0"/>
            </w:tcBorders>
            <w:noWrap w:val="0"/>
            <w:vAlign w:val="center"/>
          </w:tcPr>
          <w:p w14:paraId="4510F855">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p>
        </w:tc>
      </w:tr>
      <w:tr w14:paraId="484BA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5" w:type="pct"/>
            <w:tcBorders>
              <w:top w:val="single" w:color="000000" w:sz="4" w:space="0"/>
              <w:left w:val="single" w:color="000000" w:sz="4" w:space="0"/>
              <w:bottom w:val="single" w:color="000000" w:sz="4" w:space="0"/>
              <w:right w:val="single" w:color="000000" w:sz="4" w:space="0"/>
            </w:tcBorders>
            <w:noWrap w:val="0"/>
            <w:vAlign w:val="center"/>
          </w:tcPr>
          <w:p w14:paraId="63701EE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pH（无量纲）</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29B822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6.88</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0C556A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6.96</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4B2152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7.28</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14:paraId="20A2391B">
            <w:pPr>
              <w:keepNext w:val="0"/>
              <w:keepLines w:val="0"/>
              <w:pageBreakBefore w:val="0"/>
              <w:widowControl w:val="0"/>
              <w:suppressLineNumbers w:val="0"/>
              <w:tabs>
                <w:tab w:val="left" w:pos="375"/>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7.36</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27E8DF9F">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14:paraId="6E0BB8AF">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704FF5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5" w:type="pct"/>
            <w:tcBorders>
              <w:top w:val="single" w:color="000000" w:sz="4" w:space="0"/>
              <w:left w:val="single" w:color="000000" w:sz="4" w:space="0"/>
              <w:bottom w:val="single" w:color="000000" w:sz="4" w:space="0"/>
              <w:right w:val="single" w:color="000000" w:sz="4" w:space="0"/>
            </w:tcBorders>
            <w:noWrap w:val="0"/>
            <w:vAlign w:val="center"/>
          </w:tcPr>
          <w:p w14:paraId="73B19D8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镉</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7FEAB6E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0.04</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0C39CE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0.01L</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50006B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14:paraId="6EE7474D">
            <w:pPr>
              <w:keepNext w:val="0"/>
              <w:keepLines w:val="0"/>
              <w:pageBreakBefore w:val="0"/>
              <w:widowControl w:val="0"/>
              <w:suppressLineNumbers w:val="0"/>
              <w:tabs>
                <w:tab w:val="left" w:pos="375"/>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0.24</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2A7608CC">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0.3</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14:paraId="5C3AAC53">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4E9E6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5" w:type="pct"/>
            <w:tcBorders>
              <w:top w:val="single" w:color="000000" w:sz="4" w:space="0"/>
              <w:left w:val="single" w:color="000000" w:sz="4" w:space="0"/>
              <w:bottom w:val="single" w:color="000000" w:sz="4" w:space="0"/>
              <w:right w:val="single" w:color="000000" w:sz="4" w:space="0"/>
            </w:tcBorders>
            <w:noWrap w:val="0"/>
            <w:vAlign w:val="center"/>
          </w:tcPr>
          <w:p w14:paraId="03A3A842">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汞</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7C387C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0.0821</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64E482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0.0736</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19C0D3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0.114</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14:paraId="471DB577">
            <w:pPr>
              <w:keepNext w:val="0"/>
              <w:keepLines w:val="0"/>
              <w:pageBreakBefore w:val="0"/>
              <w:widowControl w:val="0"/>
              <w:suppressLineNumbers w:val="0"/>
              <w:tabs>
                <w:tab w:val="left" w:pos="375"/>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0.0860</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46337974">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2.4</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14:paraId="5EFC581E">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DD8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5" w:type="pct"/>
            <w:tcBorders>
              <w:top w:val="single" w:color="000000" w:sz="4" w:space="0"/>
              <w:left w:val="single" w:color="000000" w:sz="4" w:space="0"/>
              <w:bottom w:val="single" w:color="000000" w:sz="4" w:space="0"/>
              <w:right w:val="single" w:color="000000" w:sz="4" w:space="0"/>
            </w:tcBorders>
            <w:noWrap w:val="0"/>
            <w:vAlign w:val="center"/>
          </w:tcPr>
          <w:p w14:paraId="0110A1E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砷</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5645E6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4.65</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1CBF33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3.56</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44D5B3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6.86</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14:paraId="3294A19C">
            <w:pPr>
              <w:keepNext w:val="0"/>
              <w:keepLines w:val="0"/>
              <w:pageBreakBefore w:val="0"/>
              <w:widowControl w:val="0"/>
              <w:suppressLineNumbers w:val="0"/>
              <w:tabs>
                <w:tab w:val="left" w:pos="375"/>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7.20</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65957FA0">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30</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14:paraId="160F6FEB">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227C1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5" w:type="pct"/>
            <w:tcBorders>
              <w:top w:val="single" w:color="000000" w:sz="4" w:space="0"/>
              <w:left w:val="single" w:color="000000" w:sz="4" w:space="0"/>
              <w:bottom w:val="single" w:color="000000" w:sz="4" w:space="0"/>
              <w:right w:val="single" w:color="000000" w:sz="4" w:space="0"/>
            </w:tcBorders>
            <w:noWrap w:val="0"/>
            <w:vAlign w:val="center"/>
          </w:tcPr>
          <w:p w14:paraId="074BDF2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铅</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6665AE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17.2</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5D18D7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15.6</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52EF5F8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30.9</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14:paraId="3DE07F29">
            <w:pPr>
              <w:keepNext w:val="0"/>
              <w:keepLines w:val="0"/>
              <w:pageBreakBefore w:val="0"/>
              <w:widowControl w:val="0"/>
              <w:suppressLineNumbers w:val="0"/>
              <w:tabs>
                <w:tab w:val="left" w:pos="375"/>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29.1</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17D83871">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120</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14:paraId="7712C216">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74B343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5" w:type="pct"/>
            <w:tcBorders>
              <w:top w:val="single" w:color="000000" w:sz="4" w:space="0"/>
              <w:left w:val="single" w:color="000000" w:sz="4" w:space="0"/>
              <w:bottom w:val="single" w:color="000000" w:sz="4" w:space="0"/>
              <w:right w:val="single" w:color="000000" w:sz="4" w:space="0"/>
            </w:tcBorders>
            <w:noWrap w:val="0"/>
            <w:vAlign w:val="center"/>
          </w:tcPr>
          <w:p w14:paraId="4D8D5D0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铬</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5A35CC93">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87</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4A6DCB22">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106</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64DC207E">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34</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14:paraId="75326E68">
            <w:pPr>
              <w:keepNext w:val="0"/>
              <w:keepLines w:val="0"/>
              <w:pageBreakBefore w:val="0"/>
              <w:suppressLineNumbers w:val="0"/>
              <w:tabs>
                <w:tab w:val="left" w:pos="375"/>
              </w:tabs>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67</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65B6EE48">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200</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14:paraId="013DC31A">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37762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5" w:type="pct"/>
            <w:tcBorders>
              <w:top w:val="single" w:color="000000" w:sz="4" w:space="0"/>
              <w:left w:val="single" w:color="000000" w:sz="4" w:space="0"/>
              <w:bottom w:val="single" w:color="000000" w:sz="4" w:space="0"/>
              <w:right w:val="single" w:color="000000" w:sz="4" w:space="0"/>
            </w:tcBorders>
            <w:noWrap w:val="0"/>
            <w:vAlign w:val="center"/>
          </w:tcPr>
          <w:p w14:paraId="343A7A5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铜</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3AFCF676">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67</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624FDB6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82</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3EBB57CC">
            <w:pPr>
              <w:keepNext w:val="0"/>
              <w:keepLines w:val="0"/>
              <w:pageBreakBefore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30</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14:paraId="3E0056CA">
            <w:pPr>
              <w:keepNext w:val="0"/>
              <w:keepLines w:val="0"/>
              <w:pageBreakBefore w:val="0"/>
              <w:suppressLineNumbers w:val="0"/>
              <w:tabs>
                <w:tab w:val="left" w:pos="375"/>
              </w:tabs>
              <w:kinsoku/>
              <w:wordWrap/>
              <w:overflowPunct/>
              <w:topLinePunct w:val="0"/>
              <w:autoSpaceDE/>
              <w:autoSpaceDN/>
              <w:bidi w:val="0"/>
              <w:adjustRightInd/>
              <w:snapToGrid/>
              <w:spacing w:before="0" w:beforeAutospacing="0" w:after="0" w:afterAutospacing="0" w:line="240" w:lineRule="auto"/>
              <w:ind w:left="0" w:leftChars="0" w:right="0" w:rightChars="0" w:firstLine="420" w:firstLineChars="200"/>
              <w:jc w:val="both"/>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b w:val="0"/>
                <w:bCs w:val="0"/>
                <w:color w:val="auto"/>
                <w:sz w:val="21"/>
                <w:szCs w:val="21"/>
                <w:highlight w:val="none"/>
                <w:lang w:val="en-US" w:eastAsia="zh-CN"/>
              </w:rPr>
              <w:t>74</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7EF68FD3">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14:paraId="3ACD7B31">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1EDF29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5" w:type="pct"/>
            <w:tcBorders>
              <w:top w:val="single" w:color="000000" w:sz="4" w:space="0"/>
              <w:left w:val="single" w:color="000000" w:sz="4" w:space="0"/>
              <w:bottom w:val="single" w:color="000000" w:sz="4" w:space="0"/>
              <w:right w:val="single" w:color="000000" w:sz="4" w:space="0"/>
            </w:tcBorders>
            <w:noWrap w:val="0"/>
            <w:vAlign w:val="center"/>
          </w:tcPr>
          <w:p w14:paraId="1AF98BBC">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镍</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1A4D44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51</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4C2473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53</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2CA6D1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14:paraId="674DCCAF">
            <w:pPr>
              <w:keepNext w:val="0"/>
              <w:keepLines w:val="0"/>
              <w:pageBreakBefore w:val="0"/>
              <w:widowControl w:val="0"/>
              <w:suppressLineNumbers w:val="0"/>
              <w:tabs>
                <w:tab w:val="left" w:pos="375"/>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23</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7637A01E">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100</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14:paraId="27472169">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249CD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5" w:type="pct"/>
            <w:tcBorders>
              <w:top w:val="single" w:color="000000" w:sz="4" w:space="0"/>
              <w:left w:val="single" w:color="000000" w:sz="4" w:space="0"/>
              <w:bottom w:val="single" w:color="000000" w:sz="4" w:space="0"/>
              <w:right w:val="single" w:color="000000" w:sz="4" w:space="0"/>
            </w:tcBorders>
            <w:noWrap w:val="0"/>
            <w:vAlign w:val="center"/>
          </w:tcPr>
          <w:p w14:paraId="5F929EE6">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锌</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3955BD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99</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212914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88</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771E5A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77</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14:paraId="41FE137F">
            <w:pPr>
              <w:keepNext w:val="0"/>
              <w:keepLines w:val="0"/>
              <w:pageBreakBefore w:val="0"/>
              <w:widowControl w:val="0"/>
              <w:suppressLineNumbers w:val="0"/>
              <w:tabs>
                <w:tab w:val="left" w:pos="375"/>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76</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0AC169D2">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250</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14:paraId="57DB3D55">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符合</w:t>
            </w:r>
          </w:p>
        </w:tc>
      </w:tr>
      <w:tr w14:paraId="494290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5" w:type="pct"/>
            <w:tcBorders>
              <w:top w:val="single" w:color="000000" w:sz="4" w:space="0"/>
              <w:left w:val="single" w:color="000000" w:sz="4" w:space="0"/>
              <w:bottom w:val="single" w:color="000000" w:sz="4" w:space="0"/>
              <w:right w:val="single" w:color="000000" w:sz="4" w:space="0"/>
            </w:tcBorders>
            <w:noWrap w:val="0"/>
            <w:vAlign w:val="center"/>
          </w:tcPr>
          <w:p w14:paraId="0879EAA5">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氟化物</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673E94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381</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26FF07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353</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2568A9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513</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14:paraId="27ADCAAD">
            <w:pPr>
              <w:keepNext w:val="0"/>
              <w:keepLines w:val="0"/>
              <w:pageBreakBefore w:val="0"/>
              <w:widowControl w:val="0"/>
              <w:suppressLineNumbers w:val="0"/>
              <w:tabs>
                <w:tab w:val="left" w:pos="375"/>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564</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61873526">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14:paraId="16C665B0">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3D6BE3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5" w:type="pct"/>
            <w:tcBorders>
              <w:top w:val="single" w:color="000000" w:sz="4" w:space="0"/>
              <w:left w:val="single" w:color="000000" w:sz="4" w:space="0"/>
              <w:bottom w:val="single" w:color="000000" w:sz="4" w:space="0"/>
              <w:right w:val="single" w:color="000000" w:sz="4" w:space="0"/>
            </w:tcBorders>
            <w:noWrap w:val="0"/>
            <w:vAlign w:val="center"/>
          </w:tcPr>
          <w:p w14:paraId="0B52EDD9">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总磷</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108F2A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928</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2C5D6D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1020</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469521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280</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14:paraId="0A02CE52">
            <w:pPr>
              <w:keepNext w:val="0"/>
              <w:keepLines w:val="0"/>
              <w:pageBreakBefore w:val="0"/>
              <w:widowControl w:val="0"/>
              <w:suppressLineNumbers w:val="0"/>
              <w:tabs>
                <w:tab w:val="left" w:pos="375"/>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881</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5DD3B6DF">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14:paraId="3E09C915">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1B7073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5" w:type="pct"/>
            <w:tcBorders>
              <w:top w:val="single" w:color="000000" w:sz="4" w:space="0"/>
              <w:left w:val="single" w:color="000000" w:sz="4" w:space="0"/>
              <w:bottom w:val="single" w:color="000000" w:sz="4" w:space="0"/>
              <w:right w:val="single" w:color="000000" w:sz="4" w:space="0"/>
            </w:tcBorders>
            <w:noWrap w:val="0"/>
            <w:vAlign w:val="center"/>
          </w:tcPr>
          <w:p w14:paraId="4C8E49C9">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阳离子交换量</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000000"/>
                <w:kern w:val="0"/>
                <w:sz w:val="21"/>
                <w:szCs w:val="21"/>
                <w:lang w:val="en-US" w:eastAsia="zh-CN" w:bidi="ar"/>
              </w:rPr>
              <w:t>cmol+/kg）</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263C81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9.6</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1850D6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9.4</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6BF830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10.0</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14:paraId="4BF7503D">
            <w:pPr>
              <w:keepNext w:val="0"/>
              <w:keepLines w:val="0"/>
              <w:pageBreakBefore w:val="0"/>
              <w:widowControl w:val="0"/>
              <w:suppressLineNumbers w:val="0"/>
              <w:tabs>
                <w:tab w:val="left" w:pos="375"/>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11.1</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5DE3425A">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14:paraId="40A8BB32">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3129A0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5" w:type="pct"/>
            <w:tcBorders>
              <w:top w:val="single" w:color="000000" w:sz="4" w:space="0"/>
              <w:left w:val="single" w:color="000000" w:sz="4" w:space="0"/>
              <w:bottom w:val="single" w:color="000000" w:sz="4" w:space="0"/>
              <w:right w:val="single" w:color="000000" w:sz="4" w:space="0"/>
            </w:tcBorders>
            <w:noWrap w:val="0"/>
            <w:vAlign w:val="center"/>
          </w:tcPr>
          <w:p w14:paraId="3EDC47EC">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氧化还原电位</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0A00F2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406</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6A28D8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473</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402387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461</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14:paraId="26583403">
            <w:pPr>
              <w:keepNext w:val="0"/>
              <w:keepLines w:val="0"/>
              <w:pageBreakBefore w:val="0"/>
              <w:widowControl w:val="0"/>
              <w:suppressLineNumbers w:val="0"/>
              <w:tabs>
                <w:tab w:val="left" w:pos="375"/>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422</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69B22B0D">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14:paraId="1E0CB674">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r w14:paraId="7FF981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trPr>
        <w:tc>
          <w:tcPr>
            <w:tcW w:w="865" w:type="pct"/>
            <w:tcBorders>
              <w:top w:val="single" w:color="000000" w:sz="4" w:space="0"/>
              <w:left w:val="single" w:color="000000" w:sz="4" w:space="0"/>
              <w:bottom w:val="single" w:color="000000" w:sz="4" w:space="0"/>
              <w:right w:val="single" w:color="000000" w:sz="4" w:space="0"/>
            </w:tcBorders>
            <w:noWrap w:val="0"/>
            <w:vAlign w:val="center"/>
          </w:tcPr>
          <w:p w14:paraId="74B7437D">
            <w:pPr>
              <w:pStyle w:val="91"/>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rPr>
              <w:t>土壤容重</w:t>
            </w:r>
            <w:r>
              <w:rPr>
                <w:rFonts w:hint="default" w:ascii="Times New Roman" w:hAnsi="Times New Roman" w:eastAsia="宋体" w:cs="Times New Roman"/>
                <w:color w:val="auto"/>
                <w:sz w:val="21"/>
                <w:szCs w:val="21"/>
                <w:lang w:eastAsia="zh-CN"/>
              </w:rPr>
              <w:t>（</w:t>
            </w:r>
            <w:r>
              <w:rPr>
                <w:rFonts w:hint="default" w:ascii="Times New Roman" w:hAnsi="Times New Roman" w:eastAsia="宋体" w:cs="Times New Roman"/>
                <w:color w:val="auto"/>
                <w:sz w:val="21"/>
                <w:szCs w:val="21"/>
                <w:lang w:val="en-US" w:eastAsia="zh-CN"/>
              </w:rPr>
              <w:t>(g/cm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color w:val="auto"/>
                <w:sz w:val="21"/>
                <w:szCs w:val="21"/>
                <w:lang w:val="en-US" w:eastAsia="zh-CN"/>
              </w:rPr>
              <w:t>)</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2AABAD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1.22</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055A3EB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1.22</w:t>
            </w:r>
          </w:p>
        </w:tc>
        <w:tc>
          <w:tcPr>
            <w:tcW w:w="709" w:type="pct"/>
            <w:tcBorders>
              <w:top w:val="single" w:color="000000" w:sz="4" w:space="0"/>
              <w:left w:val="single" w:color="000000" w:sz="4" w:space="0"/>
              <w:bottom w:val="single" w:color="000000" w:sz="4" w:space="0"/>
              <w:right w:val="single" w:color="000000" w:sz="4" w:space="0"/>
            </w:tcBorders>
            <w:noWrap w:val="0"/>
            <w:vAlign w:val="center"/>
          </w:tcPr>
          <w:p w14:paraId="68BDEB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1.22</w:t>
            </w:r>
          </w:p>
        </w:tc>
        <w:tc>
          <w:tcPr>
            <w:tcW w:w="710" w:type="pct"/>
            <w:tcBorders>
              <w:top w:val="single" w:color="000000" w:sz="4" w:space="0"/>
              <w:left w:val="single" w:color="000000" w:sz="4" w:space="0"/>
              <w:bottom w:val="single" w:color="000000" w:sz="4" w:space="0"/>
              <w:right w:val="single" w:color="000000" w:sz="4" w:space="0"/>
            </w:tcBorders>
            <w:noWrap w:val="0"/>
            <w:vAlign w:val="center"/>
          </w:tcPr>
          <w:p w14:paraId="4FF7AE58">
            <w:pPr>
              <w:keepNext w:val="0"/>
              <w:keepLines w:val="0"/>
              <w:pageBreakBefore w:val="0"/>
              <w:widowControl w:val="0"/>
              <w:suppressLineNumbers w:val="0"/>
              <w:tabs>
                <w:tab w:val="left" w:pos="375"/>
              </w:tabs>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b w:val="0"/>
                <w:bCs w:val="0"/>
                <w:color w:val="auto"/>
                <w:sz w:val="21"/>
                <w:szCs w:val="21"/>
                <w:highlight w:val="none"/>
                <w:lang w:val="en-US" w:eastAsia="zh-CN"/>
              </w:rPr>
              <w:t>1.16</w:t>
            </w:r>
          </w:p>
        </w:tc>
        <w:tc>
          <w:tcPr>
            <w:tcW w:w="679" w:type="pct"/>
            <w:tcBorders>
              <w:top w:val="single" w:color="000000" w:sz="4" w:space="0"/>
              <w:left w:val="single" w:color="000000" w:sz="4" w:space="0"/>
              <w:bottom w:val="single" w:color="000000" w:sz="4" w:space="0"/>
              <w:right w:val="single" w:color="000000" w:sz="4" w:space="0"/>
            </w:tcBorders>
            <w:noWrap w:val="0"/>
            <w:vAlign w:val="center"/>
          </w:tcPr>
          <w:p w14:paraId="5C34FCAE">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c>
          <w:tcPr>
            <w:tcW w:w="618" w:type="pct"/>
            <w:tcBorders>
              <w:top w:val="single" w:color="000000" w:sz="4" w:space="0"/>
              <w:left w:val="single" w:color="000000" w:sz="4" w:space="0"/>
              <w:bottom w:val="single" w:color="000000" w:sz="4" w:space="0"/>
              <w:right w:val="single" w:color="000000" w:sz="4" w:space="0"/>
            </w:tcBorders>
            <w:noWrap w:val="0"/>
            <w:vAlign w:val="center"/>
          </w:tcPr>
          <w:p w14:paraId="1F9E0845">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w:t>
            </w:r>
          </w:p>
        </w:tc>
      </w:tr>
    </w:tbl>
    <w:p w14:paraId="5D726D59">
      <w:pPr>
        <w:bidi w:val="0"/>
        <w:rPr>
          <w:rFonts w:hint="default"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根据《建设项目环境影响报告表编制技术指南（生态影响类）（试行）》《改性磷石膏用于矿山废弃地生态修复回填技术规范》（DB53/T1269-2024）等相关技术规范，本次环评在项目矿山修复范围用地内</w:t>
      </w:r>
      <w:r>
        <w:rPr>
          <w:rFonts w:hint="eastAsia" w:cs="Times New Roman"/>
          <w:color w:val="auto"/>
          <w:highlight w:val="none"/>
          <w:lang w:val="en-US" w:eastAsia="zh-CN"/>
        </w:rPr>
        <w:t>北</w:t>
      </w:r>
      <w:r>
        <w:rPr>
          <w:rFonts w:hint="eastAsia" w:ascii="Times New Roman" w:hAnsi="Times New Roman" w:eastAsia="宋体" w:cs="Times New Roman"/>
          <w:color w:val="auto"/>
          <w:highlight w:val="none"/>
          <w:lang w:val="en-US" w:eastAsia="zh-CN"/>
        </w:rPr>
        <w:t>侧、</w:t>
      </w:r>
      <w:r>
        <w:rPr>
          <w:rFonts w:hint="eastAsia" w:cs="Times New Roman"/>
          <w:color w:val="auto"/>
          <w:highlight w:val="none"/>
          <w:lang w:val="en-US" w:eastAsia="zh-CN"/>
        </w:rPr>
        <w:t>中部</w:t>
      </w:r>
      <w:r>
        <w:rPr>
          <w:rFonts w:hint="eastAsia" w:ascii="Times New Roman" w:hAnsi="Times New Roman" w:eastAsia="宋体" w:cs="Times New Roman"/>
          <w:color w:val="auto"/>
          <w:highlight w:val="none"/>
          <w:lang w:val="en-US" w:eastAsia="zh-CN"/>
        </w:rPr>
        <w:t>、</w:t>
      </w:r>
      <w:r>
        <w:rPr>
          <w:rFonts w:hint="eastAsia" w:cs="Times New Roman"/>
          <w:color w:val="auto"/>
          <w:highlight w:val="none"/>
          <w:lang w:val="en-US" w:eastAsia="zh-CN"/>
        </w:rPr>
        <w:t>西南侧</w:t>
      </w:r>
      <w:r>
        <w:rPr>
          <w:rFonts w:hint="eastAsia" w:ascii="Times New Roman" w:hAnsi="Times New Roman" w:eastAsia="宋体" w:cs="Times New Roman"/>
          <w:color w:val="auto"/>
          <w:highlight w:val="none"/>
          <w:lang w:val="en-US" w:eastAsia="zh-CN"/>
        </w:rPr>
        <w:t>设置</w:t>
      </w:r>
      <w:r>
        <w:rPr>
          <w:rFonts w:hint="eastAsia" w:cs="Times New Roman"/>
          <w:color w:val="auto"/>
          <w:highlight w:val="none"/>
          <w:lang w:val="en-US" w:eastAsia="zh-CN"/>
        </w:rPr>
        <w:t>3</w:t>
      </w:r>
      <w:r>
        <w:rPr>
          <w:rFonts w:hint="eastAsia" w:ascii="Times New Roman" w:hAnsi="Times New Roman" w:eastAsia="宋体" w:cs="Times New Roman"/>
          <w:color w:val="auto"/>
          <w:highlight w:val="none"/>
          <w:lang w:val="en-US" w:eastAsia="zh-CN"/>
        </w:rPr>
        <w:t>个土壤柱状样监测点，在项目修复范围外设置了</w:t>
      </w:r>
      <w:r>
        <w:rPr>
          <w:rFonts w:hint="eastAsia" w:cs="Times New Roman"/>
          <w:color w:val="auto"/>
          <w:highlight w:val="none"/>
          <w:lang w:val="en-US" w:eastAsia="zh-CN"/>
        </w:rPr>
        <w:t>5</w:t>
      </w:r>
      <w:r>
        <w:rPr>
          <w:rFonts w:hint="eastAsia" w:ascii="Times New Roman" w:hAnsi="Times New Roman" w:eastAsia="宋体" w:cs="Times New Roman"/>
          <w:color w:val="auto"/>
          <w:highlight w:val="none"/>
          <w:lang w:val="en-US" w:eastAsia="zh-CN"/>
        </w:rPr>
        <w:t>个土壤表层样监测点。</w:t>
      </w:r>
    </w:p>
    <w:p w14:paraId="7EA3F8BC">
      <w:pPr>
        <w:bidi w:val="0"/>
        <w:ind w:firstLine="480" w:firstLineChars="200"/>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根据监测结果分析，项目生态修复区范围内所有监测点均满足《土壤环境质量建设用地土壤污染风险管控标准（试行）（GB36600-2018）》筛选值标准</w:t>
      </w:r>
      <w:r>
        <w:rPr>
          <w:rFonts w:hint="eastAsia" w:cs="Times New Roman"/>
          <w:color w:val="auto"/>
          <w:highlight w:val="none"/>
          <w:lang w:val="en-US" w:eastAsia="zh-CN"/>
        </w:rPr>
        <w:t>，并无监测点超过</w:t>
      </w:r>
      <w:r>
        <w:rPr>
          <w:rFonts w:hint="eastAsia" w:ascii="Times New Roman" w:hAnsi="Times New Roman" w:eastAsia="宋体" w:cs="Times New Roman"/>
          <w:color w:val="auto"/>
          <w:highlight w:val="none"/>
          <w:lang w:val="en-US" w:eastAsia="zh-CN"/>
        </w:rPr>
        <w:t>《土壤环境质量建设用地土壤污染风险管控标准（试行）（GB36600-2018）》管控值标准。</w:t>
      </w:r>
    </w:p>
    <w:p w14:paraId="57093CDB">
      <w:pPr>
        <w:bidi w:val="0"/>
        <w:rPr>
          <w:rFonts w:hint="default" w:eastAsia="宋体"/>
          <w:color w:val="auto"/>
          <w:lang w:val="en-US" w:eastAsia="zh-CN"/>
        </w:rPr>
      </w:pPr>
      <w:r>
        <w:rPr>
          <w:rFonts w:hint="eastAsia" w:ascii="Times New Roman" w:hAnsi="Times New Roman" w:eastAsia="宋体" w:cs="Times New Roman"/>
          <w:color w:val="auto"/>
          <w:highlight w:val="none"/>
          <w:lang w:val="en-US" w:eastAsia="zh-CN"/>
        </w:rPr>
        <w:t>矿山修复范围外监测点位监测因子均能达到《土壤环境质量 农用地土壤污染风险管控标准（试行）（GB15618-2018）》筛选值标准，并无监测点超过《土壤环境质量农用地土壤污染风险管控标准（试行）（GB15618-2018）》管控值标准。</w:t>
      </w:r>
    </w:p>
    <w:p w14:paraId="51A7AE36">
      <w:pPr>
        <w:pStyle w:val="71"/>
        <w:ind w:firstLine="498"/>
        <w:rPr>
          <w:b/>
          <w:bCs/>
          <w:lang w:val="en-US"/>
        </w:rPr>
      </w:pPr>
      <w:r>
        <w:rPr>
          <w:rFonts w:hint="eastAsia"/>
          <w:b/>
          <w:bCs/>
          <w:lang w:val="en-US"/>
        </w:rPr>
        <w:t>8、地下水环境</w:t>
      </w:r>
    </w:p>
    <w:p w14:paraId="252A277A">
      <w:pPr>
        <w:keepNext w:val="0"/>
        <w:keepLines w:val="0"/>
        <w:pageBreakBefore w:val="0"/>
        <w:widowControl/>
        <w:suppressLineNumbers w:val="0"/>
        <w:kinsoku/>
        <w:wordWrap/>
        <w:overflowPunct/>
        <w:topLinePunct w:val="0"/>
        <w:autoSpaceDE/>
        <w:autoSpaceDN/>
        <w:bidi w:val="0"/>
        <w:adjustRightInd/>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（1）区域地下水环境质量现状监测</w:t>
      </w:r>
    </w:p>
    <w:p w14:paraId="2E215B68">
      <w:pPr>
        <w:keepNext w:val="0"/>
        <w:keepLines w:val="0"/>
        <w:pageBreakBefore w:val="0"/>
        <w:widowControl/>
        <w:suppressLineNumbers w:val="0"/>
        <w:kinsoku/>
        <w:wordWrap/>
        <w:overflowPunct/>
        <w:topLinePunct w:val="0"/>
        <w:autoSpaceDE/>
        <w:autoSpaceDN/>
        <w:bidi w:val="0"/>
        <w:adjustRightInd/>
        <w:jc w:val="both"/>
        <w:textAlignment w:val="auto"/>
        <w:rPr>
          <w:rFonts w:ascii="Times New Roman" w:hAnsi="Times New Roman" w:eastAsia="宋体" w:cs="Times New Roman"/>
          <w:color w:val="auto"/>
          <w:highlight w:val="none"/>
        </w:rPr>
      </w:pPr>
      <w:r>
        <w:rPr>
          <w:rFonts w:hint="eastAsia" w:ascii="Times New Roman" w:hAnsi="Times New Roman" w:eastAsia="宋体" w:cs="Times New Roman"/>
          <w:color w:val="auto"/>
          <w:kern w:val="0"/>
          <w:sz w:val="24"/>
          <w:szCs w:val="24"/>
          <w:highlight w:val="none"/>
          <w:lang w:val="en-US" w:eastAsia="zh-CN" w:bidi="ar"/>
        </w:rPr>
        <w:t>根据《建设项目环境影响报告表编制技术指南（生态影响类）（试行）》和</w:t>
      </w:r>
      <w:r>
        <w:rPr>
          <w:rFonts w:hint="eastAsia" w:ascii="宋体" w:hAnsi="宋体" w:eastAsia="宋体" w:cs="宋体"/>
          <w:color w:val="auto"/>
          <w:kern w:val="0"/>
          <w:sz w:val="24"/>
          <w:szCs w:val="24"/>
          <w:lang w:val="en-US" w:eastAsia="zh-CN" w:bidi="ar"/>
        </w:rPr>
        <w:t>《环境影响评价技术导则</w:t>
      </w:r>
      <w:r>
        <w:rPr>
          <w:rFonts w:hint="eastAsia" w:ascii="宋体" w:hAnsi="宋体" w:cs="宋体"/>
          <w:color w:val="auto"/>
          <w:kern w:val="0"/>
          <w:sz w:val="24"/>
          <w:szCs w:val="24"/>
          <w:lang w:val="en-US" w:eastAsia="zh-CN" w:bidi="ar"/>
        </w:rPr>
        <w:t xml:space="preserve">  </w:t>
      </w:r>
      <w:r>
        <w:rPr>
          <w:rFonts w:hint="eastAsia" w:ascii="宋体" w:hAnsi="宋体" w:eastAsia="宋体" w:cs="宋体"/>
          <w:color w:val="auto"/>
          <w:kern w:val="0"/>
          <w:sz w:val="24"/>
          <w:szCs w:val="24"/>
          <w:lang w:val="en-US" w:eastAsia="zh-CN" w:bidi="ar"/>
        </w:rPr>
        <w:t>地下水环境》</w:t>
      </w:r>
      <w:r>
        <w:rPr>
          <w:rFonts w:hint="default" w:ascii="Times New Roman" w:hAnsi="Times New Roman" w:eastAsia="宋体" w:cs="Times New Roman"/>
          <w:color w:val="auto"/>
          <w:kern w:val="0"/>
          <w:sz w:val="24"/>
          <w:szCs w:val="24"/>
          <w:lang w:val="en-US" w:eastAsia="zh-CN" w:bidi="ar"/>
        </w:rPr>
        <w:t>（HJ610-2016）</w:t>
      </w:r>
      <w:r>
        <w:rPr>
          <w:rFonts w:hint="eastAsia" w:ascii="Times New Roman" w:hAnsi="Times New Roman" w:eastAsia="宋体" w:cs="Times New Roman"/>
          <w:color w:val="auto"/>
          <w:kern w:val="0"/>
          <w:sz w:val="24"/>
          <w:szCs w:val="24"/>
          <w:highlight w:val="none"/>
          <w:lang w:val="en-US" w:eastAsia="zh-CN" w:bidi="ar"/>
        </w:rPr>
        <w:t>，结合该项目水文地质单元，地下水现状</w:t>
      </w:r>
      <w:r>
        <w:rPr>
          <w:rFonts w:hint="eastAsia" w:ascii="Times New Roman" w:hAnsi="Times New Roman" w:eastAsia="宋体" w:cs="Times New Roman"/>
          <w:color w:val="auto"/>
          <w:kern w:val="0"/>
          <w:sz w:val="24"/>
          <w:szCs w:val="24"/>
          <w:highlight w:val="none"/>
          <w:shd w:val="clear" w:color="auto" w:fill="auto"/>
          <w:lang w:val="en-US" w:eastAsia="zh-CN" w:bidi="ar"/>
        </w:rPr>
        <w:t>监测点布设</w:t>
      </w:r>
      <w:r>
        <w:rPr>
          <w:rFonts w:hint="eastAsia" w:cs="Times New Roman"/>
          <w:color w:val="auto"/>
          <w:kern w:val="0"/>
          <w:sz w:val="24"/>
          <w:szCs w:val="24"/>
          <w:highlight w:val="none"/>
          <w:shd w:val="clear" w:color="auto" w:fill="auto"/>
          <w:lang w:val="en-US" w:eastAsia="zh-CN" w:bidi="ar"/>
        </w:rPr>
        <w:t>6</w:t>
      </w:r>
      <w:r>
        <w:rPr>
          <w:rFonts w:hint="eastAsia" w:ascii="Times New Roman" w:hAnsi="Times New Roman" w:eastAsia="宋体" w:cs="Times New Roman"/>
          <w:color w:val="auto"/>
          <w:kern w:val="0"/>
          <w:sz w:val="24"/>
          <w:szCs w:val="24"/>
          <w:highlight w:val="none"/>
          <w:shd w:val="clear" w:color="auto" w:fill="auto"/>
          <w:lang w:val="en-US" w:eastAsia="zh-CN" w:bidi="ar"/>
        </w:rPr>
        <w:t>个点。项目</w:t>
      </w:r>
      <w:r>
        <w:rPr>
          <w:rFonts w:hint="eastAsia" w:ascii="Times New Roman" w:hAnsi="Times New Roman" w:eastAsia="宋体" w:cs="Times New Roman"/>
          <w:i w:val="0"/>
          <w:iCs w:val="0"/>
          <w:color w:val="auto"/>
          <w:kern w:val="0"/>
          <w:sz w:val="24"/>
          <w:szCs w:val="24"/>
          <w:highlight w:val="none"/>
          <w:lang w:val="en-US" w:eastAsia="zh-CN" w:bidi="ar"/>
        </w:rPr>
        <w:t>委托云南普域环境科技有限公司于</w:t>
      </w:r>
      <w:r>
        <w:rPr>
          <w:rFonts w:hint="eastAsia" w:ascii="Times New Roman" w:hAnsi="Times New Roman" w:eastAsia="宋体" w:cs="Times New Roman"/>
          <w:color w:val="auto"/>
          <w:kern w:val="0"/>
          <w:sz w:val="24"/>
          <w:szCs w:val="24"/>
          <w:highlight w:val="none"/>
          <w:shd w:val="clear" w:color="auto" w:fill="auto"/>
          <w:lang w:val="en-US" w:eastAsia="zh-CN" w:bidi="ar"/>
        </w:rPr>
        <w:t>202</w:t>
      </w:r>
      <w:r>
        <w:rPr>
          <w:rFonts w:hint="eastAsia" w:cs="Times New Roman"/>
          <w:color w:val="auto"/>
          <w:kern w:val="0"/>
          <w:sz w:val="24"/>
          <w:szCs w:val="24"/>
          <w:highlight w:val="none"/>
          <w:shd w:val="clear" w:color="auto" w:fill="auto"/>
          <w:lang w:val="en-US" w:eastAsia="zh-CN" w:bidi="ar"/>
        </w:rPr>
        <w:t>5</w:t>
      </w:r>
      <w:r>
        <w:rPr>
          <w:rFonts w:hint="eastAsia" w:ascii="Times New Roman" w:hAnsi="Times New Roman" w:eastAsia="宋体" w:cs="Times New Roman"/>
          <w:color w:val="auto"/>
          <w:kern w:val="0"/>
          <w:sz w:val="24"/>
          <w:szCs w:val="24"/>
          <w:highlight w:val="none"/>
          <w:shd w:val="clear" w:color="auto" w:fill="auto"/>
          <w:lang w:val="en-US" w:eastAsia="zh-CN" w:bidi="ar"/>
        </w:rPr>
        <w:t>年</w:t>
      </w:r>
      <w:r>
        <w:rPr>
          <w:rFonts w:hint="eastAsia" w:cs="Times New Roman"/>
          <w:color w:val="auto"/>
          <w:kern w:val="0"/>
          <w:sz w:val="24"/>
          <w:szCs w:val="24"/>
          <w:highlight w:val="none"/>
          <w:shd w:val="clear" w:color="auto" w:fill="auto"/>
          <w:lang w:val="en-US" w:eastAsia="zh-CN" w:bidi="ar"/>
        </w:rPr>
        <w:t>7</w:t>
      </w:r>
      <w:r>
        <w:rPr>
          <w:rFonts w:hint="eastAsia" w:ascii="Times New Roman" w:hAnsi="Times New Roman" w:eastAsia="宋体" w:cs="Times New Roman"/>
          <w:color w:val="auto"/>
          <w:kern w:val="0"/>
          <w:sz w:val="24"/>
          <w:szCs w:val="24"/>
          <w:highlight w:val="none"/>
          <w:shd w:val="clear" w:color="auto" w:fill="auto"/>
          <w:lang w:val="en-US" w:eastAsia="zh-CN" w:bidi="ar"/>
        </w:rPr>
        <w:t>月</w:t>
      </w:r>
      <w:r>
        <w:rPr>
          <w:rFonts w:hint="eastAsia" w:cs="Times New Roman"/>
          <w:color w:val="auto"/>
          <w:kern w:val="0"/>
          <w:sz w:val="24"/>
          <w:szCs w:val="24"/>
          <w:highlight w:val="none"/>
          <w:shd w:val="clear" w:color="auto" w:fill="auto"/>
          <w:lang w:val="en-US" w:eastAsia="zh-CN" w:bidi="ar"/>
        </w:rPr>
        <w:t>19</w:t>
      </w:r>
      <w:r>
        <w:rPr>
          <w:rFonts w:hint="eastAsia" w:ascii="Times New Roman" w:hAnsi="Times New Roman" w:eastAsia="宋体" w:cs="Times New Roman"/>
          <w:color w:val="auto"/>
          <w:kern w:val="0"/>
          <w:sz w:val="24"/>
          <w:szCs w:val="24"/>
          <w:highlight w:val="none"/>
          <w:shd w:val="clear" w:color="auto" w:fill="auto"/>
          <w:lang w:val="en-US" w:eastAsia="zh-CN" w:bidi="ar"/>
        </w:rPr>
        <w:t>日—202</w:t>
      </w:r>
      <w:r>
        <w:rPr>
          <w:rFonts w:hint="eastAsia" w:cs="Times New Roman"/>
          <w:color w:val="auto"/>
          <w:kern w:val="0"/>
          <w:sz w:val="24"/>
          <w:szCs w:val="24"/>
          <w:highlight w:val="none"/>
          <w:shd w:val="clear" w:color="auto" w:fill="auto"/>
          <w:lang w:val="en-US" w:eastAsia="zh-CN" w:bidi="ar"/>
        </w:rPr>
        <w:t>5</w:t>
      </w:r>
      <w:r>
        <w:rPr>
          <w:rFonts w:hint="eastAsia" w:ascii="Times New Roman" w:hAnsi="Times New Roman" w:eastAsia="宋体" w:cs="Times New Roman"/>
          <w:color w:val="auto"/>
          <w:kern w:val="0"/>
          <w:sz w:val="24"/>
          <w:szCs w:val="24"/>
          <w:highlight w:val="none"/>
          <w:shd w:val="clear" w:color="auto" w:fill="auto"/>
          <w:lang w:val="en-US" w:eastAsia="zh-CN" w:bidi="ar"/>
        </w:rPr>
        <w:t>年</w:t>
      </w:r>
      <w:r>
        <w:rPr>
          <w:rFonts w:hint="eastAsia" w:cs="Times New Roman"/>
          <w:color w:val="auto"/>
          <w:kern w:val="0"/>
          <w:sz w:val="24"/>
          <w:szCs w:val="24"/>
          <w:highlight w:val="none"/>
          <w:shd w:val="clear" w:color="auto" w:fill="auto"/>
          <w:lang w:val="en-US" w:eastAsia="zh-CN" w:bidi="ar"/>
        </w:rPr>
        <w:t>7</w:t>
      </w:r>
      <w:r>
        <w:rPr>
          <w:rFonts w:hint="eastAsia" w:ascii="Times New Roman" w:hAnsi="Times New Roman" w:eastAsia="宋体" w:cs="Times New Roman"/>
          <w:color w:val="auto"/>
          <w:kern w:val="0"/>
          <w:sz w:val="24"/>
          <w:szCs w:val="24"/>
          <w:highlight w:val="none"/>
          <w:shd w:val="clear" w:color="auto" w:fill="auto"/>
          <w:lang w:val="en-US" w:eastAsia="zh-CN" w:bidi="ar"/>
        </w:rPr>
        <w:t>月</w:t>
      </w:r>
      <w:r>
        <w:rPr>
          <w:rFonts w:hint="eastAsia" w:cs="Times New Roman"/>
          <w:color w:val="auto"/>
          <w:kern w:val="0"/>
          <w:sz w:val="24"/>
          <w:szCs w:val="24"/>
          <w:highlight w:val="none"/>
          <w:shd w:val="clear" w:color="auto" w:fill="auto"/>
          <w:lang w:val="en-US" w:eastAsia="zh-CN" w:bidi="ar"/>
        </w:rPr>
        <w:t>20</w:t>
      </w:r>
      <w:r>
        <w:rPr>
          <w:rFonts w:hint="eastAsia" w:ascii="Times New Roman" w:hAnsi="Times New Roman" w:eastAsia="宋体" w:cs="Times New Roman"/>
          <w:color w:val="auto"/>
          <w:kern w:val="0"/>
          <w:sz w:val="24"/>
          <w:szCs w:val="24"/>
          <w:highlight w:val="none"/>
          <w:shd w:val="clear" w:color="auto" w:fill="auto"/>
          <w:lang w:val="en-US" w:eastAsia="zh-CN" w:bidi="ar"/>
        </w:rPr>
        <w:t>日对周边项目区域地下水环境质量现状进行现状监测。</w:t>
      </w:r>
    </w:p>
    <w:p w14:paraId="1FDE4A22">
      <w:pPr>
        <w:keepNext w:val="0"/>
        <w:keepLines w:val="0"/>
        <w:pageBreakBefore w:val="0"/>
        <w:widowControl/>
        <w:suppressLineNumbers w:val="0"/>
        <w:kinsoku/>
        <w:wordWrap/>
        <w:overflowPunct/>
        <w:topLinePunct w:val="0"/>
        <w:autoSpaceDE/>
        <w:autoSpaceDN/>
        <w:bidi w:val="0"/>
        <w:adjustRightInd/>
        <w:jc w:val="both"/>
        <w:textAlignment w:val="auto"/>
        <w:rPr>
          <w:rFonts w:hint="default" w:ascii="Times New Roman" w:hAnsi="Times New Roman" w:eastAsia="宋体" w:cs="Times New Roman"/>
          <w:color w:val="auto"/>
          <w:kern w:val="0"/>
          <w:sz w:val="24"/>
          <w:szCs w:val="24"/>
          <w:highlight w:val="none"/>
          <w:lang w:val="en-US" w:eastAsia="zh-CN" w:bidi="ar"/>
        </w:rPr>
      </w:pPr>
      <w:r>
        <w:rPr>
          <w:rFonts w:hint="eastAsia" w:ascii="Times New Roman" w:hAnsi="Times New Roman" w:eastAsia="宋体" w:cs="Times New Roman"/>
          <w:color w:val="auto"/>
          <w:kern w:val="0"/>
          <w:sz w:val="24"/>
          <w:szCs w:val="24"/>
          <w:highlight w:val="none"/>
          <w:lang w:val="en-US" w:eastAsia="zh-CN" w:bidi="ar"/>
        </w:rPr>
        <w:t>监测点位：设置6个地下水监测点，D1：项目场地外东侧；D2项目场地内北侧、D3：项目场地内南侧、D4：项目场地内西侧、D5：项目场地外西侧、D6：新石桥村地下水井。根据《建设项目环境影响报告表编制技术指南（生态影响类）（试行）》和《环境影响评价技术导则  地下水环境》（HJ610-2016）相关要求“地下水环境现状监测点采用控制性布点与功能性布点相结合的布设原则。监测点应主要布设在建设项目场地、周围环境敏感点、地下水污染源以及对于确定边界条件有控制意义的地点。”</w:t>
      </w:r>
      <w:r>
        <w:rPr>
          <w:rFonts w:hint="eastAsia" w:cs="Times New Roman"/>
          <w:color w:val="auto"/>
          <w:kern w:val="0"/>
          <w:sz w:val="24"/>
          <w:szCs w:val="24"/>
          <w:highlight w:val="none"/>
          <w:lang w:val="en-US" w:eastAsia="zh-CN" w:bidi="ar"/>
        </w:rPr>
        <w:t>D1、D4、D5，分别设置在项目上游、下游。D2、D3设置在项目南北侧，</w:t>
      </w:r>
      <w:r>
        <w:rPr>
          <w:rFonts w:hint="eastAsia" w:ascii="Times New Roman" w:hAnsi="Times New Roman" w:eastAsia="宋体" w:cs="Times New Roman"/>
          <w:color w:val="auto"/>
          <w:kern w:val="0"/>
          <w:sz w:val="24"/>
          <w:szCs w:val="24"/>
          <w:highlight w:val="none"/>
          <w:lang w:val="en-US" w:eastAsia="zh-CN" w:bidi="ar"/>
        </w:rPr>
        <w:t>D</w:t>
      </w:r>
      <w:r>
        <w:rPr>
          <w:rFonts w:hint="eastAsia" w:cs="Times New Roman"/>
          <w:color w:val="auto"/>
          <w:kern w:val="0"/>
          <w:sz w:val="24"/>
          <w:szCs w:val="24"/>
          <w:highlight w:val="none"/>
          <w:lang w:val="en-US" w:eastAsia="zh-CN" w:bidi="ar"/>
        </w:rPr>
        <w:t>6</w:t>
      </w:r>
      <w:r>
        <w:rPr>
          <w:rFonts w:hint="eastAsia" w:ascii="Times New Roman" w:hAnsi="Times New Roman" w:eastAsia="宋体" w:cs="Times New Roman"/>
          <w:color w:val="auto"/>
          <w:kern w:val="0"/>
          <w:sz w:val="24"/>
          <w:szCs w:val="24"/>
          <w:highlight w:val="none"/>
          <w:lang w:val="en-US" w:eastAsia="zh-CN" w:bidi="ar"/>
        </w:rPr>
        <w:t>布设在项目</w:t>
      </w:r>
      <w:r>
        <w:rPr>
          <w:rFonts w:hint="eastAsia" w:cs="Times New Roman"/>
          <w:color w:val="auto"/>
          <w:kern w:val="0"/>
          <w:sz w:val="24"/>
          <w:szCs w:val="24"/>
          <w:highlight w:val="none"/>
          <w:lang w:val="en-US" w:eastAsia="zh-CN" w:bidi="ar"/>
        </w:rPr>
        <w:t>临近村庄新石桥村地下水井，6</w:t>
      </w:r>
      <w:r>
        <w:rPr>
          <w:rFonts w:hint="eastAsia" w:ascii="Times New Roman" w:hAnsi="Times New Roman" w:eastAsia="宋体" w:cs="Times New Roman"/>
          <w:color w:val="auto"/>
          <w:kern w:val="0"/>
          <w:sz w:val="24"/>
          <w:szCs w:val="24"/>
          <w:highlight w:val="none"/>
          <w:lang w:val="en-US" w:eastAsia="zh-CN" w:bidi="ar"/>
        </w:rPr>
        <w:t>个地下水监测点位能够反映项目区及周边地下水环境质量，符合相关布点要求。</w:t>
      </w:r>
    </w:p>
    <w:p w14:paraId="0CAF7B2B">
      <w:pPr>
        <w:pStyle w:val="39"/>
        <w:keepNext w:val="0"/>
        <w:keepLines w:val="0"/>
        <w:pageBreakBefore w:val="0"/>
        <w:widowControl w:val="0"/>
        <w:numPr>
          <w:ilvl w:val="0"/>
          <w:numId w:val="0"/>
        </w:numPr>
        <w:kinsoku/>
        <w:wordWrap/>
        <w:overflowPunct/>
        <w:topLinePunct w:val="0"/>
        <w:autoSpaceDE/>
        <w:autoSpaceDN/>
        <w:bidi w:val="0"/>
        <w:adjustRightInd w:val="0"/>
        <w:snapToGrid w:val="0"/>
        <w:spacing w:after="0" w:line="240" w:lineRule="auto"/>
        <w:ind w:firstLine="0" w:firstLineChars="0"/>
        <w:jc w:val="center"/>
        <w:textAlignment w:val="auto"/>
        <w:rPr>
          <w:rFonts w:hint="eastAsia"/>
          <w:b/>
          <w:bCs/>
          <w:color w:val="auto"/>
          <w:lang w:val="en-US" w:eastAsia="zh-CN"/>
        </w:rPr>
      </w:pPr>
      <w:r>
        <w:rPr>
          <w:rFonts w:hint="eastAsia"/>
          <w:b/>
          <w:bCs/>
          <w:color w:val="auto"/>
          <w:lang w:val="en-US" w:eastAsia="zh-CN"/>
        </w:rPr>
        <w:t>表3-10  地下水环境质量现状监测点</w:t>
      </w:r>
    </w:p>
    <w:tbl>
      <w:tblPr>
        <w:tblStyle w:val="41"/>
        <w:tblW w:w="506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57"/>
        <w:gridCol w:w="2159"/>
        <w:gridCol w:w="2161"/>
        <w:gridCol w:w="2161"/>
      </w:tblGrid>
      <w:tr w14:paraId="4C9BD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4" w:hRule="atLeast"/>
          <w:jc w:val="center"/>
        </w:trPr>
        <w:tc>
          <w:tcPr>
            <w:tcW w:w="1248" w:type="pct"/>
            <w:noWrap w:val="0"/>
            <w:vAlign w:val="center"/>
          </w:tcPr>
          <w:p w14:paraId="580FB7EF">
            <w:pPr>
              <w:pStyle w:val="88"/>
              <w:jc w:val="center"/>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lang w:val="en-US" w:eastAsia="zh-CN"/>
              </w:rPr>
              <w:t>监测点位</w:t>
            </w:r>
          </w:p>
        </w:tc>
        <w:tc>
          <w:tcPr>
            <w:tcW w:w="1249" w:type="pct"/>
            <w:noWrap w:val="0"/>
            <w:vAlign w:val="center"/>
          </w:tcPr>
          <w:p w14:paraId="3AD29EE1">
            <w:pPr>
              <w:pStyle w:val="88"/>
              <w:jc w:val="center"/>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lang w:val="en-US" w:eastAsia="zh-CN"/>
              </w:rPr>
              <w:t>井深（m）</w:t>
            </w:r>
          </w:p>
        </w:tc>
        <w:tc>
          <w:tcPr>
            <w:tcW w:w="1250" w:type="pct"/>
            <w:noWrap w:val="0"/>
            <w:vAlign w:val="center"/>
          </w:tcPr>
          <w:p w14:paraId="5FAF3479">
            <w:pPr>
              <w:pStyle w:val="88"/>
              <w:jc w:val="center"/>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lang w:val="en-US" w:eastAsia="zh-CN"/>
              </w:rPr>
              <w:t>地下水水位高程（m）</w:t>
            </w:r>
          </w:p>
        </w:tc>
        <w:tc>
          <w:tcPr>
            <w:tcW w:w="1250" w:type="pct"/>
            <w:noWrap w:val="0"/>
            <w:vAlign w:val="center"/>
          </w:tcPr>
          <w:p w14:paraId="7ECD413D">
            <w:pPr>
              <w:pStyle w:val="88"/>
              <w:ind w:firstLine="0" w:firstLineChars="0"/>
              <w:jc w:val="center"/>
              <w:rPr>
                <w:rFonts w:hint="default" w:ascii="Times New Roman" w:hAnsi="Times New Roman" w:eastAsia="宋体" w:cs="Times New Roman"/>
                <w:b/>
                <w:bCs w:val="0"/>
                <w:color w:val="auto"/>
                <w:lang w:val="en-US" w:eastAsia="zh-CN"/>
              </w:rPr>
            </w:pPr>
            <w:r>
              <w:rPr>
                <w:rFonts w:hint="default" w:ascii="Times New Roman" w:hAnsi="Times New Roman" w:eastAsia="宋体" w:cs="Times New Roman"/>
                <w:b/>
                <w:bCs w:val="0"/>
                <w:color w:val="auto"/>
                <w:lang w:val="en-US" w:eastAsia="zh-CN"/>
              </w:rPr>
              <w:t>与项目区地下水流向关系</w:t>
            </w:r>
          </w:p>
        </w:tc>
      </w:tr>
      <w:tr w14:paraId="41F9B1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5" w:hRule="atLeast"/>
          <w:jc w:val="center"/>
        </w:trPr>
        <w:tc>
          <w:tcPr>
            <w:tcW w:w="1248" w:type="pct"/>
            <w:noWrap w:val="0"/>
            <w:vAlign w:val="center"/>
          </w:tcPr>
          <w:p w14:paraId="054A8294">
            <w:pPr>
              <w:pStyle w:val="88"/>
              <w:jc w:val="center"/>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D1</w:t>
            </w:r>
          </w:p>
        </w:tc>
        <w:tc>
          <w:tcPr>
            <w:tcW w:w="1249" w:type="pct"/>
            <w:noWrap w:val="0"/>
            <w:vAlign w:val="center"/>
          </w:tcPr>
          <w:p w14:paraId="48C140AF">
            <w:pPr>
              <w:pStyle w:val="88"/>
              <w:jc w:val="center"/>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45</w:t>
            </w:r>
          </w:p>
        </w:tc>
        <w:tc>
          <w:tcPr>
            <w:tcW w:w="1250" w:type="pct"/>
            <w:noWrap w:val="0"/>
            <w:vAlign w:val="center"/>
          </w:tcPr>
          <w:p w14:paraId="29532DEB">
            <w:pPr>
              <w:pStyle w:val="88"/>
              <w:jc w:val="center"/>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2123.9</w:t>
            </w:r>
          </w:p>
        </w:tc>
        <w:tc>
          <w:tcPr>
            <w:tcW w:w="1250" w:type="pct"/>
            <w:noWrap w:val="0"/>
            <w:vAlign w:val="center"/>
          </w:tcPr>
          <w:p w14:paraId="241B1698">
            <w:pPr>
              <w:pStyle w:val="88"/>
              <w:ind w:firstLine="0" w:firstLineChars="0"/>
              <w:jc w:val="center"/>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000000"/>
                <w:kern w:val="0"/>
                <w:sz w:val="21"/>
                <w:szCs w:val="21"/>
                <w:lang w:val="en-US" w:eastAsia="zh-CN" w:bidi="ar"/>
              </w:rPr>
              <w:t>项目场地外东侧</w:t>
            </w:r>
          </w:p>
        </w:tc>
      </w:tr>
      <w:tr w14:paraId="484FC1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248" w:type="pct"/>
            <w:noWrap w:val="0"/>
            <w:vAlign w:val="center"/>
          </w:tcPr>
          <w:p w14:paraId="549CA755">
            <w:pPr>
              <w:pStyle w:val="88"/>
              <w:jc w:val="center"/>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sz w:val="24"/>
                <w:szCs w:val="24"/>
                <w:highlight w:val="none"/>
                <w:lang w:val="en-US" w:eastAsia="zh-CN"/>
              </w:rPr>
              <w:t>D2</w:t>
            </w:r>
          </w:p>
        </w:tc>
        <w:tc>
          <w:tcPr>
            <w:tcW w:w="1249" w:type="pct"/>
            <w:noWrap w:val="0"/>
            <w:vAlign w:val="center"/>
          </w:tcPr>
          <w:p w14:paraId="688952EF">
            <w:pPr>
              <w:pStyle w:val="88"/>
              <w:jc w:val="center"/>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60</w:t>
            </w:r>
          </w:p>
        </w:tc>
        <w:tc>
          <w:tcPr>
            <w:tcW w:w="1250" w:type="pct"/>
            <w:noWrap w:val="0"/>
            <w:vAlign w:val="center"/>
          </w:tcPr>
          <w:p w14:paraId="6C0AF5CA">
            <w:pPr>
              <w:pStyle w:val="88"/>
              <w:jc w:val="center"/>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2111.6</w:t>
            </w:r>
          </w:p>
        </w:tc>
        <w:tc>
          <w:tcPr>
            <w:tcW w:w="1250" w:type="pct"/>
            <w:noWrap w:val="0"/>
            <w:vAlign w:val="center"/>
          </w:tcPr>
          <w:p w14:paraId="6F74238F">
            <w:pPr>
              <w:pStyle w:val="88"/>
              <w:ind w:firstLine="0" w:firstLineChars="0"/>
              <w:jc w:val="center"/>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000000"/>
                <w:kern w:val="0"/>
                <w:sz w:val="21"/>
                <w:szCs w:val="21"/>
                <w:lang w:val="en-US" w:eastAsia="zh-CN" w:bidi="ar"/>
              </w:rPr>
              <w:t>项目场地</w:t>
            </w:r>
            <w:r>
              <w:rPr>
                <w:rFonts w:hint="eastAsia" w:ascii="Times New Roman" w:hAnsi="Times New Roman" w:eastAsia="宋体" w:cs="Times New Roman"/>
                <w:b w:val="0"/>
                <w:bCs/>
                <w:color w:val="000000"/>
                <w:kern w:val="0"/>
                <w:sz w:val="21"/>
                <w:szCs w:val="21"/>
                <w:lang w:val="en-US" w:eastAsia="zh-CN" w:bidi="ar"/>
              </w:rPr>
              <w:t>内北</w:t>
            </w:r>
            <w:r>
              <w:rPr>
                <w:rFonts w:hint="default" w:ascii="Times New Roman" w:hAnsi="Times New Roman" w:eastAsia="宋体" w:cs="Times New Roman"/>
                <w:b w:val="0"/>
                <w:bCs/>
                <w:color w:val="000000"/>
                <w:kern w:val="0"/>
                <w:sz w:val="21"/>
                <w:szCs w:val="21"/>
                <w:lang w:val="en-US" w:eastAsia="zh-CN" w:bidi="ar"/>
              </w:rPr>
              <w:t>侧</w:t>
            </w:r>
          </w:p>
        </w:tc>
      </w:tr>
      <w:tr w14:paraId="12417A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8" w:hRule="atLeast"/>
          <w:jc w:val="center"/>
        </w:trPr>
        <w:tc>
          <w:tcPr>
            <w:tcW w:w="1248" w:type="pct"/>
            <w:noWrap w:val="0"/>
            <w:vAlign w:val="center"/>
          </w:tcPr>
          <w:p w14:paraId="564023F9">
            <w:pPr>
              <w:pStyle w:val="88"/>
              <w:jc w:val="center"/>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sz w:val="24"/>
                <w:szCs w:val="24"/>
                <w:highlight w:val="none"/>
                <w:lang w:val="en-US" w:eastAsia="zh-CN"/>
              </w:rPr>
              <w:t>D3</w:t>
            </w:r>
          </w:p>
        </w:tc>
        <w:tc>
          <w:tcPr>
            <w:tcW w:w="1249" w:type="pct"/>
            <w:noWrap w:val="0"/>
            <w:vAlign w:val="center"/>
          </w:tcPr>
          <w:p w14:paraId="63E362CE">
            <w:pPr>
              <w:pStyle w:val="88"/>
              <w:jc w:val="center"/>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70</w:t>
            </w:r>
          </w:p>
        </w:tc>
        <w:tc>
          <w:tcPr>
            <w:tcW w:w="1250" w:type="pct"/>
            <w:noWrap w:val="0"/>
            <w:vAlign w:val="center"/>
          </w:tcPr>
          <w:p w14:paraId="13E49689">
            <w:pPr>
              <w:pStyle w:val="88"/>
              <w:jc w:val="center"/>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2133.6</w:t>
            </w:r>
          </w:p>
        </w:tc>
        <w:tc>
          <w:tcPr>
            <w:tcW w:w="1250" w:type="pct"/>
            <w:noWrap w:val="0"/>
            <w:vAlign w:val="top"/>
          </w:tcPr>
          <w:p w14:paraId="5A9BB1CB">
            <w:pPr>
              <w:pStyle w:val="88"/>
              <w:ind w:firstLine="0" w:firstLineChars="0"/>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000000"/>
                <w:kern w:val="0"/>
                <w:sz w:val="21"/>
                <w:szCs w:val="21"/>
                <w:lang w:val="en-US" w:eastAsia="zh-CN" w:bidi="ar"/>
              </w:rPr>
              <w:t>项目场地</w:t>
            </w:r>
            <w:r>
              <w:rPr>
                <w:rFonts w:hint="eastAsia" w:ascii="Times New Roman" w:hAnsi="Times New Roman" w:eastAsia="宋体" w:cs="Times New Roman"/>
                <w:b w:val="0"/>
                <w:bCs/>
                <w:color w:val="000000"/>
                <w:kern w:val="0"/>
                <w:sz w:val="21"/>
                <w:szCs w:val="21"/>
                <w:lang w:val="en-US" w:eastAsia="zh-CN" w:bidi="ar"/>
              </w:rPr>
              <w:t>内南</w:t>
            </w:r>
            <w:r>
              <w:rPr>
                <w:rFonts w:hint="default" w:ascii="Times New Roman" w:hAnsi="Times New Roman" w:eastAsia="宋体" w:cs="Times New Roman"/>
                <w:b w:val="0"/>
                <w:bCs/>
                <w:color w:val="000000"/>
                <w:kern w:val="0"/>
                <w:sz w:val="21"/>
                <w:szCs w:val="21"/>
                <w:lang w:val="en-US" w:eastAsia="zh-CN" w:bidi="ar"/>
              </w:rPr>
              <w:t>侧</w:t>
            </w:r>
          </w:p>
        </w:tc>
      </w:tr>
      <w:tr w14:paraId="0EF4BD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1248" w:type="pct"/>
            <w:noWrap w:val="0"/>
            <w:vAlign w:val="center"/>
          </w:tcPr>
          <w:p w14:paraId="1B410977">
            <w:pPr>
              <w:pStyle w:val="88"/>
              <w:jc w:val="center"/>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D4</w:t>
            </w:r>
          </w:p>
        </w:tc>
        <w:tc>
          <w:tcPr>
            <w:tcW w:w="1249" w:type="pct"/>
            <w:noWrap w:val="0"/>
            <w:vAlign w:val="center"/>
          </w:tcPr>
          <w:p w14:paraId="0A58BBB6">
            <w:pPr>
              <w:pStyle w:val="88"/>
              <w:jc w:val="center"/>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46</w:t>
            </w:r>
          </w:p>
        </w:tc>
        <w:tc>
          <w:tcPr>
            <w:tcW w:w="1250" w:type="pct"/>
            <w:noWrap w:val="0"/>
            <w:vAlign w:val="center"/>
          </w:tcPr>
          <w:p w14:paraId="59D66E87">
            <w:pPr>
              <w:pStyle w:val="88"/>
              <w:jc w:val="center"/>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auto"/>
                <w:lang w:val="en-US" w:eastAsia="zh-CN"/>
              </w:rPr>
              <w:t>2094</w:t>
            </w:r>
            <w:r>
              <w:rPr>
                <w:rFonts w:hint="eastAsia" w:ascii="Times New Roman" w:hAnsi="Times New Roman" w:eastAsia="宋体" w:cs="Times New Roman"/>
                <w:b w:val="0"/>
                <w:bCs/>
                <w:color w:val="auto"/>
                <w:lang w:val="en-US" w:eastAsia="zh-CN"/>
              </w:rPr>
              <w:t>.8</w:t>
            </w:r>
          </w:p>
        </w:tc>
        <w:tc>
          <w:tcPr>
            <w:tcW w:w="1250" w:type="pct"/>
            <w:noWrap w:val="0"/>
            <w:vAlign w:val="top"/>
          </w:tcPr>
          <w:p w14:paraId="2A5D374C">
            <w:pPr>
              <w:pStyle w:val="88"/>
              <w:ind w:firstLine="0" w:firstLineChars="0"/>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000000"/>
                <w:kern w:val="0"/>
                <w:sz w:val="21"/>
                <w:szCs w:val="21"/>
                <w:lang w:val="en-US" w:eastAsia="zh-CN" w:bidi="ar"/>
              </w:rPr>
              <w:t>项目场地</w:t>
            </w:r>
            <w:r>
              <w:rPr>
                <w:rFonts w:hint="eastAsia" w:ascii="Times New Roman" w:hAnsi="Times New Roman" w:eastAsia="宋体" w:cs="Times New Roman"/>
                <w:b w:val="0"/>
                <w:bCs/>
                <w:color w:val="000000"/>
                <w:kern w:val="0"/>
                <w:sz w:val="21"/>
                <w:szCs w:val="21"/>
                <w:lang w:val="en-US" w:eastAsia="zh-CN" w:bidi="ar"/>
              </w:rPr>
              <w:t>内西</w:t>
            </w:r>
            <w:r>
              <w:rPr>
                <w:rFonts w:hint="default" w:ascii="Times New Roman" w:hAnsi="Times New Roman" w:eastAsia="宋体" w:cs="Times New Roman"/>
                <w:b w:val="0"/>
                <w:bCs/>
                <w:color w:val="000000"/>
                <w:kern w:val="0"/>
                <w:sz w:val="21"/>
                <w:szCs w:val="21"/>
                <w:lang w:val="en-US" w:eastAsia="zh-CN" w:bidi="ar"/>
              </w:rPr>
              <w:t>侧</w:t>
            </w:r>
          </w:p>
        </w:tc>
      </w:tr>
      <w:tr w14:paraId="3B30E7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48" w:type="pct"/>
            <w:noWrap w:val="0"/>
            <w:vAlign w:val="center"/>
          </w:tcPr>
          <w:p w14:paraId="3A235AB8">
            <w:pPr>
              <w:pStyle w:val="88"/>
              <w:jc w:val="center"/>
              <w:rPr>
                <w:rFonts w:hint="default" w:ascii="Times New Roman" w:hAnsi="Times New Roman" w:eastAsia="宋体" w:cs="Times New Roman"/>
                <w:b w:val="0"/>
                <w:bCs/>
                <w:color w:val="auto"/>
                <w:sz w:val="24"/>
                <w:szCs w:val="24"/>
                <w:highlight w:val="none"/>
                <w:lang w:val="en-US" w:eastAsia="zh-CN"/>
              </w:rPr>
            </w:pPr>
            <w:r>
              <w:rPr>
                <w:rFonts w:hint="default" w:ascii="Times New Roman" w:hAnsi="Times New Roman" w:eastAsia="宋体" w:cs="Times New Roman"/>
                <w:b w:val="0"/>
                <w:bCs/>
                <w:color w:val="auto"/>
                <w:sz w:val="24"/>
                <w:szCs w:val="24"/>
                <w:highlight w:val="none"/>
                <w:lang w:val="en-US" w:eastAsia="zh-CN"/>
              </w:rPr>
              <w:t>D5</w:t>
            </w:r>
          </w:p>
        </w:tc>
        <w:tc>
          <w:tcPr>
            <w:tcW w:w="1249" w:type="pct"/>
            <w:noWrap w:val="0"/>
            <w:vAlign w:val="center"/>
          </w:tcPr>
          <w:p w14:paraId="56C0CCCA">
            <w:pPr>
              <w:pStyle w:val="88"/>
              <w:jc w:val="center"/>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30</w:t>
            </w:r>
          </w:p>
        </w:tc>
        <w:tc>
          <w:tcPr>
            <w:tcW w:w="1250" w:type="pct"/>
            <w:noWrap w:val="0"/>
            <w:vAlign w:val="center"/>
          </w:tcPr>
          <w:p w14:paraId="4B4A0BE7">
            <w:pPr>
              <w:pStyle w:val="88"/>
              <w:jc w:val="center"/>
              <w:rPr>
                <w:rFonts w:hint="default"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auto"/>
                <w:lang w:val="en-US" w:eastAsia="zh-CN"/>
              </w:rPr>
              <w:t>2119.9</w:t>
            </w:r>
          </w:p>
        </w:tc>
        <w:tc>
          <w:tcPr>
            <w:tcW w:w="1250" w:type="pct"/>
            <w:noWrap w:val="0"/>
            <w:vAlign w:val="top"/>
          </w:tcPr>
          <w:p w14:paraId="49CD6C56">
            <w:pPr>
              <w:pStyle w:val="88"/>
              <w:ind w:firstLine="0" w:firstLineChars="0"/>
              <w:rPr>
                <w:rFonts w:hint="default" w:ascii="Times New Roman" w:hAnsi="Times New Roman" w:eastAsia="宋体" w:cs="Times New Roman"/>
                <w:b w:val="0"/>
                <w:bCs/>
                <w:color w:val="auto"/>
                <w:lang w:val="en-US" w:eastAsia="zh-CN"/>
              </w:rPr>
            </w:pPr>
            <w:r>
              <w:rPr>
                <w:rFonts w:hint="default" w:ascii="Times New Roman" w:hAnsi="Times New Roman" w:eastAsia="宋体" w:cs="Times New Roman"/>
                <w:b w:val="0"/>
                <w:bCs/>
                <w:color w:val="000000"/>
                <w:kern w:val="0"/>
                <w:sz w:val="21"/>
                <w:szCs w:val="21"/>
                <w:lang w:val="en-US" w:eastAsia="zh-CN" w:bidi="ar"/>
              </w:rPr>
              <w:t>项目场地</w:t>
            </w:r>
            <w:r>
              <w:rPr>
                <w:rFonts w:hint="eastAsia" w:ascii="Times New Roman" w:hAnsi="Times New Roman" w:eastAsia="宋体" w:cs="Times New Roman"/>
                <w:b w:val="0"/>
                <w:bCs/>
                <w:color w:val="000000"/>
                <w:kern w:val="0"/>
                <w:sz w:val="21"/>
                <w:szCs w:val="21"/>
                <w:lang w:val="en-US" w:eastAsia="zh-CN" w:bidi="ar"/>
              </w:rPr>
              <w:t>外西</w:t>
            </w:r>
            <w:r>
              <w:rPr>
                <w:rFonts w:hint="default" w:ascii="Times New Roman" w:hAnsi="Times New Roman" w:eastAsia="宋体" w:cs="Times New Roman"/>
                <w:b w:val="0"/>
                <w:bCs/>
                <w:color w:val="000000"/>
                <w:kern w:val="0"/>
                <w:sz w:val="21"/>
                <w:szCs w:val="21"/>
                <w:lang w:val="en-US" w:eastAsia="zh-CN" w:bidi="ar"/>
              </w:rPr>
              <w:t>侧</w:t>
            </w:r>
          </w:p>
        </w:tc>
      </w:tr>
      <w:tr w14:paraId="79DA60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5" w:hRule="atLeast"/>
          <w:jc w:val="center"/>
        </w:trPr>
        <w:tc>
          <w:tcPr>
            <w:tcW w:w="1248" w:type="pct"/>
            <w:noWrap w:val="0"/>
            <w:vAlign w:val="center"/>
          </w:tcPr>
          <w:p w14:paraId="4E94EC50">
            <w:pPr>
              <w:pStyle w:val="88"/>
              <w:jc w:val="center"/>
              <w:rPr>
                <w:rFonts w:hint="default" w:ascii="Times New Roman" w:hAnsi="Times New Roman" w:eastAsia="宋体" w:cs="Times New Roman"/>
                <w:b w:val="0"/>
                <w:bCs/>
                <w:color w:val="auto"/>
                <w:sz w:val="24"/>
                <w:szCs w:val="24"/>
                <w:highlight w:val="none"/>
                <w:lang w:val="en-US" w:eastAsia="zh-CN"/>
              </w:rPr>
            </w:pPr>
            <w:r>
              <w:rPr>
                <w:rFonts w:hint="eastAsia" w:cs="Times New Roman"/>
                <w:b w:val="0"/>
                <w:bCs/>
                <w:color w:val="auto"/>
                <w:sz w:val="24"/>
                <w:szCs w:val="24"/>
                <w:highlight w:val="none"/>
                <w:lang w:val="en-US" w:eastAsia="zh-CN"/>
              </w:rPr>
              <w:t>D6</w:t>
            </w:r>
          </w:p>
        </w:tc>
        <w:tc>
          <w:tcPr>
            <w:tcW w:w="2159" w:type="dxa"/>
            <w:noWrap w:val="0"/>
            <w:vAlign w:val="center"/>
          </w:tcPr>
          <w:p w14:paraId="297342CB">
            <w:pPr>
              <w:pStyle w:val="88"/>
              <w:ind w:firstLine="0" w:firstLineChars="0"/>
              <w:jc w:val="center"/>
              <w:rPr>
                <w:rFonts w:hint="eastAsia"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000000" w:themeColor="text1"/>
                <w:highlight w:val="none"/>
                <w:lang w:val="en-US" w:eastAsia="zh-CN"/>
                <w14:textFill>
                  <w14:solidFill>
                    <w14:schemeClr w14:val="tx1"/>
                  </w14:solidFill>
                </w14:textFill>
              </w:rPr>
              <w:t>65</w:t>
            </w:r>
          </w:p>
        </w:tc>
        <w:tc>
          <w:tcPr>
            <w:tcW w:w="2161" w:type="dxa"/>
            <w:noWrap w:val="0"/>
            <w:vAlign w:val="center"/>
          </w:tcPr>
          <w:p w14:paraId="0DFF449F">
            <w:pPr>
              <w:pStyle w:val="88"/>
              <w:ind w:firstLine="0" w:firstLineChars="0"/>
              <w:rPr>
                <w:rFonts w:hint="eastAsia" w:ascii="Times New Roman" w:hAnsi="Times New Roman" w:eastAsia="宋体" w:cs="Times New Roman"/>
                <w:b w:val="0"/>
                <w:bCs/>
                <w:color w:val="auto"/>
                <w:lang w:val="en-US" w:eastAsia="zh-CN"/>
              </w:rPr>
            </w:pPr>
            <w:r>
              <w:rPr>
                <w:rFonts w:hint="eastAsia" w:ascii="Times New Roman" w:hAnsi="Times New Roman" w:eastAsia="宋体" w:cs="Times New Roman"/>
                <w:b w:val="0"/>
                <w:bCs/>
                <w:color w:val="000000" w:themeColor="text1"/>
                <w:kern w:val="0"/>
                <w:sz w:val="21"/>
                <w:szCs w:val="21"/>
                <w:highlight w:val="none"/>
                <w:lang w:val="en-US" w:eastAsia="zh-CN" w:bidi="ar"/>
                <w14:textFill>
                  <w14:solidFill>
                    <w14:schemeClr w14:val="tx1"/>
                  </w14:solidFill>
                </w14:textFill>
              </w:rPr>
              <w:t xml:space="preserve">2043.1 </w:t>
            </w:r>
          </w:p>
        </w:tc>
        <w:tc>
          <w:tcPr>
            <w:tcW w:w="1250" w:type="pct"/>
            <w:noWrap w:val="0"/>
            <w:vAlign w:val="top"/>
          </w:tcPr>
          <w:p w14:paraId="1D9EC743">
            <w:pPr>
              <w:pStyle w:val="88"/>
              <w:ind w:firstLine="0" w:firstLineChars="0"/>
              <w:rPr>
                <w:rFonts w:hint="default" w:ascii="Times New Roman" w:hAnsi="Times New Roman" w:eastAsia="宋体" w:cs="Times New Roman"/>
                <w:b w:val="0"/>
                <w:bCs/>
                <w:color w:val="000000"/>
                <w:kern w:val="0"/>
                <w:sz w:val="21"/>
                <w:szCs w:val="21"/>
                <w:lang w:val="en-US" w:eastAsia="zh-CN" w:bidi="ar"/>
              </w:rPr>
            </w:pPr>
            <w:r>
              <w:rPr>
                <w:rFonts w:hint="default" w:ascii="Times New Roman" w:hAnsi="Times New Roman" w:eastAsia="宋体" w:cs="Times New Roman"/>
                <w:b w:val="0"/>
                <w:bCs/>
                <w:color w:val="000000"/>
                <w:kern w:val="0"/>
                <w:sz w:val="21"/>
                <w:szCs w:val="21"/>
                <w:lang w:val="en-US" w:eastAsia="zh-CN" w:bidi="ar"/>
              </w:rPr>
              <w:t>新石桥村地下水井</w:t>
            </w:r>
          </w:p>
        </w:tc>
      </w:tr>
    </w:tbl>
    <w:p w14:paraId="5E7B0448">
      <w:pPr>
        <w:keepNext w:val="0"/>
        <w:keepLines w:val="0"/>
        <w:pageBreakBefore w:val="0"/>
        <w:kinsoku/>
        <w:wordWrap/>
        <w:overflowPunct/>
        <w:topLinePunct w:val="0"/>
        <w:autoSpaceDE/>
        <w:autoSpaceDN/>
        <w:bidi w:val="0"/>
        <w:adjustRightInd/>
        <w:ind w:firstLine="480"/>
        <w:jc w:val="both"/>
        <w:textAlignment w:val="auto"/>
        <w:rPr>
          <w:rFonts w:hint="default" w:ascii="Times New Roman" w:hAnsi="Times New Roman" w:eastAsia="宋体" w:cs="Times New Roman"/>
          <w:b w:val="0"/>
          <w:bCs w:val="0"/>
          <w:color w:val="auto"/>
          <w:kern w:val="0"/>
          <w:highlight w:val="none"/>
          <w:lang w:val="en-US" w:eastAsia="zh-CN" w:bidi="ar"/>
        </w:rPr>
      </w:pPr>
      <w:r>
        <w:rPr>
          <w:rFonts w:hint="eastAsia" w:ascii="Times New Roman" w:hAnsi="Times New Roman" w:eastAsia="宋体" w:cs="Times New Roman"/>
          <w:b w:val="0"/>
          <w:bCs w:val="0"/>
          <w:color w:val="auto"/>
          <w:kern w:val="0"/>
          <w:highlight w:val="none"/>
          <w:lang w:val="en-US" w:eastAsia="zh-CN" w:bidi="ar"/>
        </w:rPr>
        <w:t>2）检测项目：</w:t>
      </w:r>
      <w:r>
        <w:rPr>
          <w:rFonts w:hint="eastAsia" w:ascii="Times New Roman" w:hAnsi="Times New Roman" w:eastAsia="宋体" w:cs="Times New Roman"/>
          <w:color w:val="auto"/>
          <w:sz w:val="24"/>
          <w:szCs w:val="24"/>
          <w:highlight w:val="none"/>
        </w:rPr>
        <w:t>Na</w:t>
      </w:r>
      <w:r>
        <w:rPr>
          <w:rFonts w:hint="eastAsia" w:ascii="Times New Roman" w:hAnsi="Times New Roman" w:eastAsia="宋体" w:cs="Times New Roman"/>
          <w:color w:val="auto"/>
          <w:sz w:val="24"/>
          <w:szCs w:val="24"/>
          <w:highlight w:val="none"/>
          <w:vertAlign w:val="superscript"/>
        </w:rPr>
        <w:t>+</w:t>
      </w:r>
      <w:r>
        <w:rPr>
          <w:rFonts w:hint="eastAsia" w:ascii="Times New Roman" w:hAnsi="Times New Roman" w:eastAsia="宋体" w:cs="Times New Roman"/>
          <w:color w:val="auto"/>
          <w:sz w:val="24"/>
          <w:szCs w:val="24"/>
          <w:highlight w:val="none"/>
        </w:rPr>
        <w:t>、K</w:t>
      </w:r>
      <w:r>
        <w:rPr>
          <w:rFonts w:hint="eastAsia" w:ascii="Times New Roman" w:hAnsi="Times New Roman" w:eastAsia="宋体" w:cs="Times New Roman"/>
          <w:color w:val="auto"/>
          <w:sz w:val="24"/>
          <w:szCs w:val="24"/>
          <w:highlight w:val="none"/>
          <w:vertAlign w:val="superscript"/>
        </w:rPr>
        <w:t>+</w:t>
      </w:r>
      <w:r>
        <w:rPr>
          <w:rFonts w:hint="eastAsia" w:ascii="Times New Roman" w:hAnsi="Times New Roman" w:eastAsia="宋体" w:cs="Times New Roman"/>
          <w:color w:val="auto"/>
          <w:sz w:val="24"/>
          <w:szCs w:val="24"/>
          <w:highlight w:val="none"/>
        </w:rPr>
        <w:t>、Ca2</w:t>
      </w:r>
      <w:r>
        <w:rPr>
          <w:rFonts w:hint="eastAsia" w:ascii="Times New Roman" w:hAnsi="Times New Roman" w:eastAsia="宋体" w:cs="Times New Roman"/>
          <w:color w:val="auto"/>
          <w:sz w:val="24"/>
          <w:szCs w:val="24"/>
          <w:highlight w:val="none"/>
          <w:vertAlign w:val="superscript"/>
        </w:rPr>
        <w:t>+</w:t>
      </w:r>
      <w:r>
        <w:rPr>
          <w:rFonts w:hint="eastAsia" w:ascii="Times New Roman" w:hAnsi="Times New Roman" w:eastAsia="宋体" w:cs="Times New Roman"/>
          <w:color w:val="auto"/>
          <w:sz w:val="24"/>
          <w:szCs w:val="24"/>
          <w:highlight w:val="none"/>
        </w:rPr>
        <w:t>、Mg2</w:t>
      </w:r>
      <w:r>
        <w:rPr>
          <w:rFonts w:hint="eastAsia" w:ascii="Times New Roman" w:hAnsi="Times New Roman" w:eastAsia="宋体" w:cs="Times New Roman"/>
          <w:color w:val="auto"/>
          <w:sz w:val="24"/>
          <w:szCs w:val="24"/>
          <w:highlight w:val="none"/>
          <w:vertAlign w:val="superscript"/>
        </w:rPr>
        <w:t>+</w:t>
      </w:r>
      <w:r>
        <w:rPr>
          <w:rFonts w:hint="eastAsia" w:ascii="Times New Roman" w:hAnsi="Times New Roman" w:eastAsia="宋体" w:cs="Times New Roman"/>
          <w:color w:val="auto"/>
          <w:sz w:val="24"/>
          <w:szCs w:val="24"/>
          <w:highlight w:val="none"/>
        </w:rPr>
        <w:t>、CO3</w:t>
      </w:r>
      <w:r>
        <w:rPr>
          <w:rFonts w:hint="eastAsia" w:ascii="Times New Roman" w:hAnsi="Times New Roman" w:eastAsia="宋体" w:cs="Times New Roman"/>
          <w:color w:val="auto"/>
          <w:sz w:val="24"/>
          <w:szCs w:val="24"/>
          <w:highlight w:val="none"/>
          <w:vertAlign w:val="superscript"/>
        </w:rPr>
        <w:t>2-</w:t>
      </w:r>
      <w:r>
        <w:rPr>
          <w:rFonts w:hint="eastAsia" w:ascii="Times New Roman" w:hAnsi="Times New Roman" w:eastAsia="宋体" w:cs="Times New Roman"/>
          <w:color w:val="auto"/>
          <w:sz w:val="24"/>
          <w:szCs w:val="24"/>
          <w:highlight w:val="none"/>
        </w:rPr>
        <w:t>、HCO</w:t>
      </w:r>
      <w:r>
        <w:rPr>
          <w:rFonts w:hint="eastAsia" w:ascii="Times New Roman" w:hAnsi="Times New Roman" w:eastAsia="宋体" w:cs="Times New Roman"/>
          <w:color w:val="auto"/>
          <w:sz w:val="24"/>
          <w:szCs w:val="24"/>
          <w:highlight w:val="none"/>
          <w:vertAlign w:val="subscript"/>
        </w:rPr>
        <w:t>3</w:t>
      </w:r>
      <w:r>
        <w:rPr>
          <w:rFonts w:hint="eastAsia" w:ascii="Times New Roman" w:hAnsi="Times New Roman" w:eastAsia="宋体" w:cs="Times New Roman"/>
          <w:color w:val="auto"/>
          <w:sz w:val="24"/>
          <w:szCs w:val="24"/>
          <w:highlight w:val="none"/>
          <w:vertAlign w:val="superscript"/>
        </w:rPr>
        <w:t>-</w:t>
      </w:r>
      <w:r>
        <w:rPr>
          <w:rFonts w:hint="eastAsia" w:ascii="Times New Roman" w:hAnsi="Times New Roman" w:eastAsia="宋体" w:cs="Times New Roman"/>
          <w:color w:val="auto"/>
          <w:sz w:val="24"/>
          <w:szCs w:val="24"/>
          <w:highlight w:val="none"/>
        </w:rPr>
        <w:t>、Cl</w:t>
      </w:r>
      <w:r>
        <w:rPr>
          <w:rFonts w:hint="eastAsia" w:ascii="Times New Roman" w:hAnsi="Times New Roman" w:eastAsia="宋体" w:cs="Times New Roman"/>
          <w:color w:val="auto"/>
          <w:sz w:val="24"/>
          <w:szCs w:val="24"/>
          <w:highlight w:val="none"/>
          <w:vertAlign w:val="superscript"/>
        </w:rPr>
        <w:t>-</w:t>
      </w:r>
      <w:r>
        <w:rPr>
          <w:rFonts w:hint="eastAsia" w:ascii="Times New Roman" w:hAnsi="Times New Roman" w:eastAsia="宋体" w:cs="Times New Roman"/>
          <w:color w:val="auto"/>
          <w:sz w:val="24"/>
          <w:szCs w:val="24"/>
          <w:highlight w:val="none"/>
        </w:rPr>
        <w:t>、SO</w:t>
      </w:r>
      <w:r>
        <w:rPr>
          <w:rFonts w:hint="eastAsia" w:ascii="Times New Roman" w:hAnsi="Times New Roman" w:eastAsia="宋体" w:cs="Times New Roman"/>
          <w:color w:val="auto"/>
          <w:sz w:val="24"/>
          <w:szCs w:val="24"/>
          <w:highlight w:val="none"/>
          <w:vertAlign w:val="subscript"/>
        </w:rPr>
        <w:t>4</w:t>
      </w:r>
      <w:r>
        <w:rPr>
          <w:rFonts w:hint="eastAsia" w:ascii="Times New Roman" w:hAnsi="Times New Roman" w:eastAsia="宋体" w:cs="Times New Roman"/>
          <w:color w:val="auto"/>
          <w:sz w:val="24"/>
          <w:szCs w:val="24"/>
          <w:highlight w:val="none"/>
          <w:vertAlign w:val="superscript"/>
        </w:rPr>
        <w:t>2-</w:t>
      </w:r>
      <w:r>
        <w:rPr>
          <w:rFonts w:hint="eastAsia" w:ascii="Times New Roman" w:hAnsi="Times New Roman" w:eastAsia="宋体" w:cs="Times New Roman"/>
          <w:color w:val="auto"/>
          <w:sz w:val="24"/>
          <w:szCs w:val="24"/>
          <w:highlight w:val="none"/>
        </w:rPr>
        <w:t>、pH、氰化物、Cu、Zn、Fe、Mn、Pb、Cd、As、Hg、Sb、Ni、铍、总银、六价铬、总铬、总磷、氨氮、总硬度、溶解性总固体、硫酸盐、硝酸盐、亚硝酸盐、氯化物、氟化物、挥发酚、细菌总数、总大肠菌群、耗氧量</w:t>
      </w:r>
      <w:r>
        <w:rPr>
          <w:rFonts w:hint="eastAsia" w:ascii="Times New Roman" w:hAnsi="Times New Roman" w:eastAsia="宋体" w:cs="Times New Roman"/>
          <w:b w:val="0"/>
          <w:bCs w:val="0"/>
          <w:color w:val="auto"/>
          <w:kern w:val="2"/>
          <w:sz w:val="24"/>
          <w:szCs w:val="24"/>
          <w:highlight w:val="none"/>
          <w:u w:val="none"/>
          <w:lang w:val="en-US" w:eastAsia="zh-CN" w:bidi="ar-SA"/>
        </w:rPr>
        <w:t>，共</w:t>
      </w:r>
      <w:r>
        <w:rPr>
          <w:rFonts w:hint="eastAsia" w:cs="Times New Roman"/>
          <w:b w:val="0"/>
          <w:bCs w:val="0"/>
          <w:color w:val="auto"/>
          <w:kern w:val="2"/>
          <w:sz w:val="24"/>
          <w:szCs w:val="24"/>
          <w:highlight w:val="none"/>
          <w:u w:val="none"/>
          <w:lang w:val="en-US" w:eastAsia="zh-CN" w:bidi="ar-SA"/>
        </w:rPr>
        <w:t>37</w:t>
      </w:r>
      <w:r>
        <w:rPr>
          <w:rFonts w:hint="eastAsia" w:ascii="Times New Roman" w:hAnsi="Times New Roman" w:eastAsia="宋体" w:cs="Times New Roman"/>
          <w:b w:val="0"/>
          <w:bCs w:val="0"/>
          <w:color w:val="auto"/>
          <w:kern w:val="2"/>
          <w:sz w:val="24"/>
          <w:szCs w:val="24"/>
          <w:highlight w:val="none"/>
          <w:u w:val="none"/>
          <w:lang w:val="en-US" w:eastAsia="zh-CN" w:bidi="ar-SA"/>
        </w:rPr>
        <w:t>项</w:t>
      </w:r>
      <w:r>
        <w:rPr>
          <w:rFonts w:hint="eastAsia" w:ascii="Times New Roman" w:hAnsi="Times New Roman" w:eastAsia="宋体" w:cs="Times New Roman"/>
          <w:b w:val="0"/>
          <w:bCs w:val="0"/>
          <w:color w:val="auto"/>
          <w:kern w:val="0"/>
          <w:sz w:val="24"/>
          <w:szCs w:val="24"/>
          <w:highlight w:val="none"/>
          <w:lang w:val="en-US" w:eastAsia="zh-CN" w:bidi="ar"/>
        </w:rPr>
        <w:t>。</w:t>
      </w:r>
    </w:p>
    <w:p w14:paraId="28A21026">
      <w:pPr>
        <w:pStyle w:val="71"/>
        <w:keepNext w:val="0"/>
        <w:keepLines w:val="0"/>
        <w:pageBreakBefore w:val="0"/>
        <w:kinsoku/>
        <w:wordWrap/>
        <w:overflowPunct/>
        <w:topLinePunct w:val="0"/>
        <w:autoSpaceDE/>
        <w:autoSpaceDN/>
        <w:bidi w:val="0"/>
        <w:adjustRightInd/>
        <w:ind w:firstLine="496"/>
        <w:jc w:val="both"/>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3）监测频次：</w:t>
      </w:r>
      <w:r>
        <w:rPr>
          <w:rFonts w:hint="eastAsia" w:ascii="Times New Roman" w:hAnsi="Times New Roman" w:eastAsia="宋体" w:cs="Times New Roman"/>
          <w:b w:val="0"/>
          <w:bCs w:val="0"/>
          <w:color w:val="auto"/>
          <w:kern w:val="2"/>
          <w:sz w:val="24"/>
          <w:szCs w:val="24"/>
          <w:highlight w:val="none"/>
          <w:lang w:val="en-US" w:eastAsia="zh-CN" w:bidi="ar-SA"/>
        </w:rPr>
        <w:t>连续检测2天，每天检测1次</w:t>
      </w:r>
      <w:r>
        <w:rPr>
          <w:rFonts w:hint="eastAsia" w:ascii="Times New Roman" w:hAnsi="Times New Roman" w:eastAsia="宋体" w:cs="Times New Roman"/>
          <w:b w:val="0"/>
          <w:bCs w:val="0"/>
          <w:color w:val="auto"/>
          <w:sz w:val="24"/>
          <w:szCs w:val="24"/>
          <w:highlight w:val="none"/>
          <w:lang w:val="en-US" w:eastAsia="zh-CN"/>
        </w:rPr>
        <w:t>。</w:t>
      </w:r>
    </w:p>
    <w:p w14:paraId="5B88C042">
      <w:pPr>
        <w:pStyle w:val="71"/>
        <w:keepNext w:val="0"/>
        <w:keepLines w:val="0"/>
        <w:pageBreakBefore w:val="0"/>
        <w:kinsoku/>
        <w:wordWrap/>
        <w:overflowPunct/>
        <w:topLinePunct w:val="0"/>
        <w:autoSpaceDE/>
        <w:autoSpaceDN/>
        <w:bidi w:val="0"/>
        <w:adjustRightInd/>
        <w:ind w:firstLine="496"/>
        <w:jc w:val="both"/>
        <w:textAlignment w:val="auto"/>
        <w:rPr>
          <w:rFonts w:hint="default" w:ascii="Times New Roman" w:hAnsi="Times New Roman" w:eastAsia="宋体" w:cs="Times New Roman"/>
          <w:b w:val="0"/>
          <w:bCs w:val="0"/>
          <w:color w:val="auto"/>
          <w:highlight w:val="none"/>
          <w:lang w:val="en-US" w:eastAsia="zh-CN"/>
        </w:rPr>
      </w:pPr>
      <w:r>
        <w:rPr>
          <w:rFonts w:hint="eastAsia" w:ascii="Times New Roman" w:hAnsi="Times New Roman" w:eastAsia="宋体" w:cs="Times New Roman"/>
          <w:b w:val="0"/>
          <w:bCs w:val="0"/>
          <w:color w:val="auto"/>
          <w:highlight w:val="none"/>
          <w:lang w:val="en-US" w:eastAsia="zh-CN"/>
        </w:rPr>
        <w:t>4）监测结果：</w:t>
      </w:r>
    </w:p>
    <w:p w14:paraId="71ADCF17">
      <w:pPr>
        <w:pStyle w:val="71"/>
        <w:keepNext w:val="0"/>
        <w:keepLines w:val="0"/>
        <w:pageBreakBefore w:val="0"/>
        <w:kinsoku/>
        <w:wordWrap/>
        <w:overflowPunct/>
        <w:topLinePunct w:val="0"/>
        <w:autoSpaceDE/>
        <w:autoSpaceDN/>
        <w:bidi w:val="0"/>
        <w:adjustRightInd/>
        <w:ind w:firstLine="496"/>
        <w:jc w:val="both"/>
        <w:textAlignment w:val="auto"/>
        <w:rPr>
          <w:rFonts w:hint="default" w:ascii="Times New Roman" w:hAnsi="Times New Roman" w:eastAsia="宋体" w:cs="Times New Roman"/>
          <w:color w:val="auto"/>
          <w:highlight w:val="none"/>
          <w:lang w:val="en-US" w:eastAsia="zh-CN"/>
        </w:rPr>
      </w:pPr>
    </w:p>
    <w:p w14:paraId="66018A48">
      <w:pPr>
        <w:rPr>
          <w:rFonts w:ascii="Times New Roman" w:hAnsi="Times New Roman" w:eastAsia="宋体" w:cs="Times New Roman"/>
          <w:color w:val="auto"/>
          <w:highlight w:val="none"/>
        </w:rPr>
        <w:sectPr>
          <w:pgSz w:w="11906" w:h="16838"/>
          <w:pgMar w:top="1440" w:right="1800" w:bottom="1440" w:left="1800" w:header="851" w:footer="1077" w:gutter="0"/>
          <w:pgBorders>
            <w:top w:val="none" w:sz="0" w:space="0"/>
            <w:left w:val="none" w:sz="0" w:space="0"/>
            <w:bottom w:val="none" w:sz="0" w:space="0"/>
            <w:right w:val="none" w:sz="0" w:space="0"/>
          </w:pgBorders>
          <w:pgNumType w:fmt="decimal"/>
          <w:cols w:space="720" w:num="1"/>
          <w:docGrid w:linePitch="312" w:charSpace="0"/>
        </w:sectPr>
      </w:pPr>
    </w:p>
    <w:p w14:paraId="0C5F727D">
      <w:pPr>
        <w:pStyle w:val="71"/>
        <w:keepNext w:val="0"/>
        <w:keepLines w:val="0"/>
        <w:pageBreakBefore w:val="0"/>
        <w:numPr>
          <w:ilvl w:val="0"/>
          <w:numId w:val="0"/>
        </w:numPr>
        <w:kinsoku/>
        <w:wordWrap/>
        <w:overflowPunct/>
        <w:topLinePunct w:val="0"/>
        <w:autoSpaceDE/>
        <w:autoSpaceDN/>
        <w:bidi w:val="0"/>
        <w:adjustRightInd w:val="0"/>
        <w:spacing w:line="240" w:lineRule="auto"/>
        <w:ind w:firstLine="0" w:firstLineChars="0"/>
        <w:jc w:val="center"/>
        <w:textAlignment w:val="auto"/>
        <w:rPr>
          <w:rFonts w:hint="eastAsia" w:ascii="Times New Roman" w:hAnsi="Times New Roman" w:eastAsia="宋体" w:cs="Times New Roman"/>
          <w:b/>
          <w:bCs/>
          <w:color w:val="auto"/>
          <w:kern w:val="24"/>
          <w:sz w:val="24"/>
          <w:szCs w:val="24"/>
          <w:highlight w:val="none"/>
          <w:lang w:val="en-US" w:eastAsia="zh-CN" w:bidi="ar"/>
        </w:rPr>
      </w:pPr>
      <w:r>
        <w:rPr>
          <w:rFonts w:hint="eastAsia" w:ascii="Times New Roman" w:hAnsi="Times New Roman" w:eastAsia="宋体" w:cs="Times New Roman"/>
          <w:b/>
          <w:bCs/>
          <w:color w:val="auto"/>
          <w:kern w:val="24"/>
          <w:sz w:val="24"/>
          <w:szCs w:val="24"/>
          <w:highlight w:val="none"/>
          <w:lang w:val="en-US" w:eastAsia="zh-CN" w:bidi="ar"/>
        </w:rPr>
        <w:t>表3-11</w:t>
      </w:r>
      <w:r>
        <w:rPr>
          <w:rFonts w:hint="eastAsia" w:cs="Times New Roman"/>
          <w:b/>
          <w:bCs/>
          <w:color w:val="auto"/>
          <w:kern w:val="24"/>
          <w:sz w:val="24"/>
          <w:szCs w:val="24"/>
          <w:highlight w:val="none"/>
          <w:lang w:val="en-US" w:eastAsia="zh-CN" w:bidi="ar"/>
        </w:rPr>
        <w:t xml:space="preserve"> </w:t>
      </w:r>
      <w:r>
        <w:rPr>
          <w:rFonts w:hint="eastAsia" w:ascii="Times New Roman" w:hAnsi="Times New Roman" w:eastAsia="宋体" w:cs="Times New Roman"/>
          <w:b/>
          <w:bCs/>
          <w:color w:val="auto"/>
          <w:kern w:val="24"/>
          <w:sz w:val="24"/>
          <w:szCs w:val="24"/>
          <w:highlight w:val="none"/>
          <w:lang w:val="en-US" w:eastAsia="zh-CN" w:bidi="ar"/>
        </w:rPr>
        <w:t xml:space="preserve"> 项目地下水质量检测结果单位mg/L</w:t>
      </w:r>
    </w:p>
    <w:tbl>
      <w:tblPr>
        <w:tblStyle w:val="40"/>
        <w:tblW w:w="506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905"/>
        <w:gridCol w:w="823"/>
        <w:gridCol w:w="823"/>
        <w:gridCol w:w="1"/>
        <w:gridCol w:w="822"/>
        <w:gridCol w:w="823"/>
        <w:gridCol w:w="2"/>
        <w:gridCol w:w="821"/>
        <w:gridCol w:w="823"/>
        <w:gridCol w:w="3"/>
        <w:gridCol w:w="820"/>
        <w:gridCol w:w="823"/>
        <w:gridCol w:w="4"/>
        <w:gridCol w:w="819"/>
        <w:gridCol w:w="823"/>
        <w:gridCol w:w="5"/>
        <w:gridCol w:w="818"/>
        <w:gridCol w:w="832"/>
        <w:gridCol w:w="885"/>
        <w:gridCol w:w="840"/>
        <w:gridCol w:w="848"/>
      </w:tblGrid>
      <w:tr w14:paraId="7476BC0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2D033431">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检测点位</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3A2479A0">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sz w:val="21"/>
                <w:szCs w:val="21"/>
                <w:lang w:val="en-US" w:eastAsia="zh-CN"/>
              </w:rPr>
              <w:t>D4：项目场地内西侧</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5EC76CD3">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sz w:val="21"/>
                <w:szCs w:val="21"/>
                <w:lang w:val="en-US" w:eastAsia="zh-CN"/>
              </w:rPr>
              <w:t>D3：项目场地内南侧</w:t>
            </w:r>
          </w:p>
        </w:tc>
        <w:tc>
          <w:tcPr>
            <w:tcW w:w="573" w:type="pct"/>
            <w:gridSpan w:val="3"/>
            <w:tcBorders>
              <w:top w:val="single" w:color="auto" w:sz="4" w:space="0"/>
              <w:left w:val="single" w:color="auto" w:sz="4" w:space="0"/>
              <w:right w:val="single" w:color="auto" w:sz="4" w:space="0"/>
            </w:tcBorders>
            <w:noWrap w:val="0"/>
            <w:vAlign w:val="center"/>
          </w:tcPr>
          <w:p w14:paraId="2B4BC8CA">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sz w:val="21"/>
                <w:szCs w:val="21"/>
                <w:lang w:val="en-US" w:eastAsia="zh-CN"/>
              </w:rPr>
              <w:t>D1：项目场地外东侧</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2BCD2D71">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sz w:val="21"/>
                <w:szCs w:val="21"/>
                <w:lang w:val="en-US" w:eastAsia="zh-CN"/>
              </w:rPr>
              <w:t>D2项目场地内北侧</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3FC7FEAE">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sz w:val="21"/>
                <w:szCs w:val="21"/>
                <w:lang w:val="en-US" w:eastAsia="zh-CN"/>
              </w:rPr>
              <w:t>D5：项目场地外西侧</w:t>
            </w:r>
          </w:p>
        </w:tc>
        <w:tc>
          <w:tcPr>
            <w:tcW w:w="574" w:type="pct"/>
            <w:gridSpan w:val="2"/>
            <w:tcBorders>
              <w:top w:val="single" w:color="auto" w:sz="4" w:space="0"/>
              <w:left w:val="single" w:color="auto" w:sz="4" w:space="0"/>
              <w:bottom w:val="single" w:color="auto" w:sz="4" w:space="0"/>
              <w:right w:val="single" w:color="auto" w:sz="4" w:space="0"/>
            </w:tcBorders>
            <w:noWrap w:val="0"/>
            <w:vAlign w:val="center"/>
          </w:tcPr>
          <w:p w14:paraId="4F9E4248">
            <w:pPr>
              <w:keepNext w:val="0"/>
              <w:keepLines w:val="0"/>
              <w:pageBreakBefore w:val="0"/>
              <w:widowControl w:val="0"/>
              <w:kinsoku/>
              <w:wordWrap/>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sz w:val="21"/>
                <w:szCs w:val="21"/>
                <w:lang w:val="en-US" w:eastAsia="zh-CN"/>
              </w:rPr>
              <w:t>D6：新石桥村地下水井</w:t>
            </w:r>
          </w:p>
        </w:tc>
        <w:tc>
          <w:tcPr>
            <w:tcW w:w="308" w:type="pct"/>
            <w:vMerge w:val="restart"/>
            <w:tcBorders>
              <w:top w:val="single" w:color="auto" w:sz="4" w:space="0"/>
              <w:left w:val="single" w:color="auto" w:sz="4" w:space="0"/>
              <w:right w:val="single" w:color="auto" w:sz="4" w:space="0"/>
            </w:tcBorders>
            <w:noWrap w:val="0"/>
            <w:vAlign w:val="center"/>
          </w:tcPr>
          <w:p w14:paraId="5535F1E0">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地下水质量标准（GB/T14848-2017）Ⅲ类标准</w:t>
            </w:r>
          </w:p>
        </w:tc>
        <w:tc>
          <w:tcPr>
            <w:tcW w:w="292" w:type="pct"/>
            <w:vMerge w:val="restart"/>
            <w:tcBorders>
              <w:top w:val="single" w:color="auto" w:sz="4" w:space="0"/>
              <w:left w:val="single" w:color="auto" w:sz="4" w:space="0"/>
              <w:right w:val="single" w:color="auto" w:sz="4" w:space="0"/>
            </w:tcBorders>
            <w:noWrap w:val="0"/>
            <w:vAlign w:val="center"/>
          </w:tcPr>
          <w:p w14:paraId="7BE25068">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标准指数</w:t>
            </w:r>
          </w:p>
        </w:tc>
        <w:tc>
          <w:tcPr>
            <w:tcW w:w="295" w:type="pct"/>
            <w:vMerge w:val="restart"/>
            <w:tcBorders>
              <w:top w:val="single" w:color="auto" w:sz="4" w:space="0"/>
              <w:left w:val="single" w:color="auto" w:sz="4" w:space="0"/>
              <w:right w:val="single" w:color="auto" w:sz="4" w:space="0"/>
            </w:tcBorders>
            <w:noWrap w:val="0"/>
            <w:vAlign w:val="center"/>
          </w:tcPr>
          <w:p w14:paraId="2FC90595">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是否达标</w:t>
            </w:r>
          </w:p>
        </w:tc>
      </w:tr>
      <w:tr w14:paraId="7FAB16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5E991521">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采样</w:t>
            </w:r>
            <w:r>
              <w:rPr>
                <w:rFonts w:hint="default" w:ascii="Times New Roman" w:hAnsi="Times New Roman" w:cs="Times New Roman" w:eastAsiaTheme="minorEastAsia"/>
                <w:b/>
                <w:bCs/>
                <w:color w:val="auto"/>
                <w:sz w:val="21"/>
                <w:szCs w:val="21"/>
                <w:highlight w:val="none"/>
              </w:rPr>
              <w:t>日期</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3D81D8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2025-07-19</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5E000C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2025-07-20</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5F2FF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2025-07-19</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4892E1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2025-07-20</w:t>
            </w:r>
          </w:p>
        </w:tc>
        <w:tc>
          <w:tcPr>
            <w:tcW w:w="286" w:type="pct"/>
            <w:gridSpan w:val="2"/>
            <w:tcBorders>
              <w:left w:val="single" w:color="auto" w:sz="4" w:space="0"/>
              <w:right w:val="single" w:color="auto" w:sz="4" w:space="0"/>
            </w:tcBorders>
            <w:noWrap w:val="0"/>
            <w:vAlign w:val="center"/>
          </w:tcPr>
          <w:p w14:paraId="6C77DE1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2025-07-19</w:t>
            </w:r>
          </w:p>
        </w:tc>
        <w:tc>
          <w:tcPr>
            <w:tcW w:w="286" w:type="pct"/>
            <w:tcBorders>
              <w:left w:val="single" w:color="auto" w:sz="4" w:space="0"/>
              <w:right w:val="single" w:color="auto" w:sz="4" w:space="0"/>
            </w:tcBorders>
            <w:noWrap w:val="0"/>
            <w:vAlign w:val="center"/>
          </w:tcPr>
          <w:p w14:paraId="447A5EC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2025-07-20</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29E61F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2025-07-19</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7943B9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2025-07-20</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CCC6CE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2025-07-19</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9062D3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2025-07-20</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025AFA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2025-07-19</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06C1B97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2025-07-20</w:t>
            </w:r>
          </w:p>
        </w:tc>
        <w:tc>
          <w:tcPr>
            <w:tcW w:w="308" w:type="pct"/>
            <w:vMerge w:val="continue"/>
            <w:tcBorders>
              <w:left w:val="single" w:color="auto" w:sz="4" w:space="0"/>
              <w:right w:val="single" w:color="auto" w:sz="4" w:space="0"/>
            </w:tcBorders>
            <w:noWrap w:val="0"/>
            <w:vAlign w:val="center"/>
          </w:tcPr>
          <w:p w14:paraId="34A2BB5E">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92" w:type="pct"/>
            <w:vMerge w:val="continue"/>
            <w:tcBorders>
              <w:left w:val="single" w:color="auto" w:sz="4" w:space="0"/>
              <w:right w:val="single" w:color="auto" w:sz="4" w:space="0"/>
            </w:tcBorders>
            <w:noWrap w:val="0"/>
            <w:vAlign w:val="center"/>
          </w:tcPr>
          <w:p w14:paraId="20A6BE01">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95" w:type="pct"/>
            <w:vMerge w:val="continue"/>
            <w:tcBorders>
              <w:left w:val="single" w:color="auto" w:sz="4" w:space="0"/>
              <w:right w:val="single" w:color="auto" w:sz="4" w:space="0"/>
            </w:tcBorders>
            <w:noWrap w:val="0"/>
            <w:vAlign w:val="center"/>
          </w:tcPr>
          <w:p w14:paraId="50A585B2">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r>
      <w:tr w14:paraId="43798D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0"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0FBFFC8A">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采样经度（度）</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1C87D6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102°48′5″</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473F25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102°48′5″</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01B66599">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102°48′17″</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34AB4D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102°48′13″</w:t>
            </w:r>
          </w:p>
        </w:tc>
        <w:tc>
          <w:tcPr>
            <w:tcW w:w="573" w:type="pct"/>
            <w:gridSpan w:val="3"/>
            <w:tcBorders>
              <w:left w:val="single" w:color="auto" w:sz="4" w:space="0"/>
              <w:right w:val="single" w:color="auto" w:sz="4" w:space="0"/>
            </w:tcBorders>
            <w:noWrap w:val="0"/>
            <w:vAlign w:val="center"/>
          </w:tcPr>
          <w:p w14:paraId="1EE0721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102°48′3″</w:t>
            </w:r>
          </w:p>
        </w:tc>
        <w:tc>
          <w:tcPr>
            <w:tcW w:w="1650" w:type="dxa"/>
            <w:gridSpan w:val="2"/>
            <w:tcBorders>
              <w:left w:val="single" w:color="auto" w:sz="4" w:space="0"/>
              <w:right w:val="single" w:color="auto" w:sz="4" w:space="0"/>
            </w:tcBorders>
            <w:noWrap w:val="0"/>
            <w:vAlign w:val="center"/>
          </w:tcPr>
          <w:p w14:paraId="7D61DDF0">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102°47′33″,</w:t>
            </w:r>
          </w:p>
        </w:tc>
        <w:tc>
          <w:tcPr>
            <w:tcW w:w="308" w:type="pct"/>
            <w:vMerge w:val="continue"/>
            <w:tcBorders>
              <w:left w:val="single" w:color="auto" w:sz="4" w:space="0"/>
              <w:right w:val="single" w:color="auto" w:sz="4" w:space="0"/>
            </w:tcBorders>
            <w:noWrap w:val="0"/>
            <w:vAlign w:val="center"/>
          </w:tcPr>
          <w:p w14:paraId="14411D65">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92" w:type="pct"/>
            <w:vMerge w:val="continue"/>
            <w:tcBorders>
              <w:left w:val="single" w:color="auto" w:sz="4" w:space="0"/>
              <w:right w:val="single" w:color="auto" w:sz="4" w:space="0"/>
            </w:tcBorders>
            <w:noWrap w:val="0"/>
            <w:vAlign w:val="center"/>
          </w:tcPr>
          <w:p w14:paraId="03CB2A16">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95" w:type="pct"/>
            <w:vMerge w:val="continue"/>
            <w:tcBorders>
              <w:left w:val="single" w:color="auto" w:sz="4" w:space="0"/>
              <w:right w:val="single" w:color="auto" w:sz="4" w:space="0"/>
            </w:tcBorders>
            <w:noWrap w:val="0"/>
            <w:vAlign w:val="center"/>
          </w:tcPr>
          <w:p w14:paraId="354EC9BB">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r>
      <w:tr w14:paraId="1554AA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466ADDAA">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采样纬度（度）</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1B9C5F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25°36′11″</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630174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25°36′3″</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0A7529B4">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25°36′7″</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755D3C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25°36′18″</w:t>
            </w:r>
          </w:p>
        </w:tc>
        <w:tc>
          <w:tcPr>
            <w:tcW w:w="573" w:type="pct"/>
            <w:gridSpan w:val="3"/>
            <w:tcBorders>
              <w:left w:val="single" w:color="auto" w:sz="4" w:space="0"/>
              <w:right w:val="single" w:color="auto" w:sz="4" w:space="0"/>
            </w:tcBorders>
            <w:noWrap w:val="0"/>
            <w:vAlign w:val="center"/>
          </w:tcPr>
          <w:p w14:paraId="6D05C9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25°36′14″</w:t>
            </w:r>
          </w:p>
        </w:tc>
        <w:tc>
          <w:tcPr>
            <w:tcW w:w="1650" w:type="dxa"/>
            <w:gridSpan w:val="2"/>
            <w:tcBorders>
              <w:left w:val="single" w:color="auto" w:sz="4" w:space="0"/>
              <w:right w:val="single" w:color="auto" w:sz="4" w:space="0"/>
            </w:tcBorders>
            <w:noWrap w:val="0"/>
            <w:vAlign w:val="center"/>
          </w:tcPr>
          <w:p w14:paraId="37A25345">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25°36′26″</w:t>
            </w:r>
          </w:p>
        </w:tc>
        <w:tc>
          <w:tcPr>
            <w:tcW w:w="308" w:type="pct"/>
            <w:vMerge w:val="continue"/>
            <w:tcBorders>
              <w:left w:val="single" w:color="auto" w:sz="4" w:space="0"/>
              <w:right w:val="single" w:color="auto" w:sz="4" w:space="0"/>
            </w:tcBorders>
            <w:noWrap w:val="0"/>
            <w:vAlign w:val="center"/>
          </w:tcPr>
          <w:p w14:paraId="710BEC6B">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92" w:type="pct"/>
            <w:vMerge w:val="continue"/>
            <w:tcBorders>
              <w:left w:val="single" w:color="auto" w:sz="4" w:space="0"/>
              <w:right w:val="single" w:color="auto" w:sz="4" w:space="0"/>
            </w:tcBorders>
            <w:noWrap w:val="0"/>
            <w:vAlign w:val="center"/>
          </w:tcPr>
          <w:p w14:paraId="0C9B8B1B">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95" w:type="pct"/>
            <w:vMerge w:val="continue"/>
            <w:tcBorders>
              <w:left w:val="single" w:color="auto" w:sz="4" w:space="0"/>
              <w:right w:val="single" w:color="auto" w:sz="4" w:space="0"/>
            </w:tcBorders>
            <w:noWrap w:val="0"/>
            <w:vAlign w:val="center"/>
          </w:tcPr>
          <w:p w14:paraId="75807DE2">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r>
      <w:tr w14:paraId="45EE79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58DB6FD1">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水位埋深（m）</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43EB42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46</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7E141B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70</w:t>
            </w:r>
          </w:p>
        </w:tc>
        <w:tc>
          <w:tcPr>
            <w:tcW w:w="573" w:type="pct"/>
            <w:gridSpan w:val="3"/>
            <w:tcBorders>
              <w:left w:val="single" w:color="auto" w:sz="4" w:space="0"/>
              <w:right w:val="single" w:color="auto" w:sz="4" w:space="0"/>
            </w:tcBorders>
            <w:noWrap w:val="0"/>
            <w:vAlign w:val="center"/>
          </w:tcPr>
          <w:p w14:paraId="65D0DA52">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45</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13BAAD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60</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0C2136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30</w:t>
            </w:r>
          </w:p>
        </w:tc>
        <w:tc>
          <w:tcPr>
            <w:tcW w:w="1650" w:type="dxa"/>
            <w:gridSpan w:val="2"/>
            <w:tcBorders>
              <w:top w:val="single" w:color="auto" w:sz="4" w:space="0"/>
              <w:left w:val="single" w:color="auto" w:sz="4" w:space="0"/>
              <w:bottom w:val="single" w:color="auto" w:sz="4" w:space="0"/>
              <w:right w:val="single" w:color="auto" w:sz="4" w:space="0"/>
            </w:tcBorders>
            <w:noWrap w:val="0"/>
            <w:vAlign w:val="center"/>
          </w:tcPr>
          <w:p w14:paraId="3AECA6BD">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65</w:t>
            </w:r>
          </w:p>
        </w:tc>
        <w:tc>
          <w:tcPr>
            <w:tcW w:w="308" w:type="pct"/>
            <w:vMerge w:val="continue"/>
            <w:tcBorders>
              <w:left w:val="single" w:color="auto" w:sz="4" w:space="0"/>
              <w:right w:val="single" w:color="auto" w:sz="4" w:space="0"/>
            </w:tcBorders>
            <w:noWrap w:val="0"/>
            <w:vAlign w:val="center"/>
          </w:tcPr>
          <w:p w14:paraId="5A204EE0">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92" w:type="pct"/>
            <w:vMerge w:val="continue"/>
            <w:tcBorders>
              <w:left w:val="single" w:color="auto" w:sz="4" w:space="0"/>
              <w:right w:val="single" w:color="auto" w:sz="4" w:space="0"/>
            </w:tcBorders>
            <w:noWrap w:val="0"/>
            <w:vAlign w:val="center"/>
          </w:tcPr>
          <w:p w14:paraId="7AAE9B9E">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95" w:type="pct"/>
            <w:vMerge w:val="continue"/>
            <w:tcBorders>
              <w:left w:val="single" w:color="auto" w:sz="4" w:space="0"/>
              <w:right w:val="single" w:color="auto" w:sz="4" w:space="0"/>
            </w:tcBorders>
            <w:noWrap w:val="0"/>
            <w:vAlign w:val="center"/>
          </w:tcPr>
          <w:p w14:paraId="3C44C7CC">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r>
      <w:tr w14:paraId="58013A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3"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5C93D1DD">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lang w:val="en-US" w:eastAsia="zh-CN"/>
              </w:rPr>
              <w:t>水位标高（m）</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3A9905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2094.8</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1E36EF1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2133.6</w:t>
            </w:r>
          </w:p>
        </w:tc>
        <w:tc>
          <w:tcPr>
            <w:tcW w:w="573" w:type="pct"/>
            <w:gridSpan w:val="3"/>
            <w:tcBorders>
              <w:left w:val="single" w:color="auto" w:sz="4" w:space="0"/>
              <w:right w:val="single" w:color="auto" w:sz="4" w:space="0"/>
            </w:tcBorders>
            <w:noWrap w:val="0"/>
            <w:vAlign w:val="center"/>
          </w:tcPr>
          <w:p w14:paraId="7F75849C">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2129.3</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244B34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2111.6</w:t>
            </w:r>
          </w:p>
        </w:tc>
        <w:tc>
          <w:tcPr>
            <w:tcW w:w="573" w:type="pct"/>
            <w:gridSpan w:val="3"/>
            <w:tcBorders>
              <w:top w:val="single" w:color="auto" w:sz="4" w:space="0"/>
              <w:left w:val="single" w:color="auto" w:sz="4" w:space="0"/>
              <w:bottom w:val="single" w:color="auto" w:sz="4" w:space="0"/>
              <w:right w:val="single" w:color="auto" w:sz="4" w:space="0"/>
            </w:tcBorders>
            <w:noWrap w:val="0"/>
            <w:vAlign w:val="center"/>
          </w:tcPr>
          <w:p w14:paraId="74D627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kern w:val="0"/>
                <w:sz w:val="21"/>
                <w:szCs w:val="21"/>
                <w:lang w:val="en-US" w:eastAsia="zh-CN" w:bidi="ar"/>
              </w:rPr>
              <w:t>2119.9</w:t>
            </w:r>
          </w:p>
        </w:tc>
        <w:tc>
          <w:tcPr>
            <w:tcW w:w="1650" w:type="dxa"/>
            <w:gridSpan w:val="2"/>
            <w:tcBorders>
              <w:top w:val="single" w:color="auto" w:sz="4" w:space="0"/>
              <w:left w:val="single" w:color="auto" w:sz="4" w:space="0"/>
              <w:bottom w:val="single" w:color="auto" w:sz="4" w:space="0"/>
              <w:right w:val="single" w:color="auto" w:sz="4" w:space="0"/>
            </w:tcBorders>
            <w:noWrap w:val="0"/>
            <w:vAlign w:val="center"/>
          </w:tcPr>
          <w:p w14:paraId="68524277">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000000" w:themeColor="text1"/>
                <w:sz w:val="21"/>
                <w:szCs w:val="21"/>
                <w:highlight w:val="none"/>
                <w:lang w:val="en-US" w:eastAsia="zh-CN"/>
                <w14:textFill>
                  <w14:solidFill>
                    <w14:schemeClr w14:val="tx1"/>
                  </w14:solidFill>
                </w14:textFill>
              </w:rPr>
              <w:t>2043.1</w:t>
            </w:r>
          </w:p>
        </w:tc>
        <w:tc>
          <w:tcPr>
            <w:tcW w:w="308" w:type="pct"/>
            <w:vMerge w:val="continue"/>
            <w:tcBorders>
              <w:left w:val="single" w:color="auto" w:sz="4" w:space="0"/>
              <w:right w:val="single" w:color="auto" w:sz="4" w:space="0"/>
            </w:tcBorders>
            <w:noWrap w:val="0"/>
            <w:vAlign w:val="center"/>
          </w:tcPr>
          <w:p w14:paraId="12DB347B">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92" w:type="pct"/>
            <w:vMerge w:val="continue"/>
            <w:tcBorders>
              <w:left w:val="single" w:color="auto" w:sz="4" w:space="0"/>
              <w:right w:val="single" w:color="auto" w:sz="4" w:space="0"/>
            </w:tcBorders>
            <w:noWrap w:val="0"/>
            <w:vAlign w:val="center"/>
          </w:tcPr>
          <w:p w14:paraId="44B3371E">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95" w:type="pct"/>
            <w:vMerge w:val="continue"/>
            <w:tcBorders>
              <w:left w:val="single" w:color="auto" w:sz="4" w:space="0"/>
              <w:right w:val="single" w:color="auto" w:sz="4" w:space="0"/>
            </w:tcBorders>
            <w:noWrap w:val="0"/>
            <w:vAlign w:val="center"/>
          </w:tcPr>
          <w:p w14:paraId="1217F468">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r>
      <w:tr w14:paraId="5D655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36"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mc:AlternateContent>
              <mc:Choice Requires="wpsCustomData">
                <wpsCustomData:diagonals>
                  <wpsCustomData:diagonal from="10000" to="28700">
                    <wpsCustomData:border w:val="single" w:color="000000" w:sz="4" w:space="0"/>
                  </wpsCustomData:diagonal>
                </wpsCustomData:diagonals>
              </mc:Choice>
            </mc:AlternateContent>
          </w:tcPr>
          <w:p w14:paraId="4DCDB5BD">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rPr>
            </w:pPr>
          </w:p>
          <w:p w14:paraId="2D50D0EE">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mc:AlternateContent>
                <mc:Choice Requires="wpsCustomData">
                  <wpsCustomData:diagonalParaType/>
                </mc:Choice>
              </mc:AlternateContent>
              <w:rPr>
                <w:rFonts w:hint="default" w:ascii="Times New Roman" w:hAnsi="Times New Roman" w:cs="Times New Roman" w:eastAsiaTheme="minorEastAsia"/>
                <w:b/>
                <w:bCs/>
                <w:color w:val="auto"/>
                <w:sz w:val="21"/>
                <w:szCs w:val="21"/>
                <w:highlight w:val="none"/>
              </w:rPr>
            </w:pPr>
            <w:r>
              <w:rPr>
                <w:rFonts w:hint="default" w:ascii="Times New Roman" w:hAnsi="Times New Roman" w:cs="Times New Roman" w:eastAsiaTheme="minorEastAsia"/>
                <w:b/>
                <w:bCs/>
                <w:color w:val="auto"/>
                <w:sz w:val="21"/>
                <w:szCs w:val="21"/>
                <w:highlight w:val="none"/>
              </w:rPr>
              <w:t>检测项目</w:t>
            </w:r>
          </w:p>
          <w:p w14:paraId="4D412B1B">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b/>
                <w:bCs/>
                <w:color w:val="auto"/>
                <w:sz w:val="21"/>
                <w:szCs w:val="21"/>
                <w:highlight w:val="none"/>
              </w:rPr>
              <w:t>样品编号</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9B263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W25071707DX-1-1-1</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69683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W25071707DX-1-2-1</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0A21A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W25071707DX-2-1-1</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49F8E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W25071707DX-2-2-1</w:t>
            </w:r>
          </w:p>
        </w:tc>
        <w:tc>
          <w:tcPr>
            <w:tcW w:w="286" w:type="pct"/>
            <w:gridSpan w:val="2"/>
            <w:tcBorders>
              <w:left w:val="single" w:color="auto" w:sz="4" w:space="0"/>
              <w:bottom w:val="single" w:color="auto" w:sz="4" w:space="0"/>
              <w:right w:val="single" w:color="auto" w:sz="4" w:space="0"/>
            </w:tcBorders>
            <w:noWrap w:val="0"/>
            <w:vAlign w:val="center"/>
          </w:tcPr>
          <w:p w14:paraId="68A56F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W25071707DX-3-1-1</w:t>
            </w:r>
          </w:p>
        </w:tc>
        <w:tc>
          <w:tcPr>
            <w:tcW w:w="286" w:type="pct"/>
            <w:tcBorders>
              <w:left w:val="single" w:color="auto" w:sz="4" w:space="0"/>
              <w:bottom w:val="single" w:color="auto" w:sz="4" w:space="0"/>
              <w:right w:val="single" w:color="auto" w:sz="4" w:space="0"/>
            </w:tcBorders>
            <w:noWrap w:val="0"/>
            <w:vAlign w:val="center"/>
          </w:tcPr>
          <w:p w14:paraId="5A0C36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W25071707DX-3-2-1</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D696F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W25071707DX-4-1-1</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EE15A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W25071707DX-4-2-1</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B1153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W25071707DX-5-1-1</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F516A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W25071707DX-5-2-1</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F85E0E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W25071707DX-6-1-1</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616321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b w:val="0"/>
                <w:bCs w:val="0"/>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W25071707DX-6-2-1</w:t>
            </w:r>
          </w:p>
        </w:tc>
        <w:tc>
          <w:tcPr>
            <w:tcW w:w="308" w:type="pct"/>
            <w:vMerge w:val="continue"/>
            <w:tcBorders>
              <w:left w:val="single" w:color="auto" w:sz="4" w:space="0"/>
              <w:bottom w:val="single" w:color="auto" w:sz="4" w:space="0"/>
              <w:right w:val="single" w:color="auto" w:sz="4" w:space="0"/>
            </w:tcBorders>
            <w:noWrap w:val="0"/>
            <w:vAlign w:val="center"/>
          </w:tcPr>
          <w:p w14:paraId="7CE1C369">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92" w:type="pct"/>
            <w:vMerge w:val="continue"/>
            <w:tcBorders>
              <w:left w:val="single" w:color="auto" w:sz="4" w:space="0"/>
              <w:bottom w:val="single" w:color="auto" w:sz="4" w:space="0"/>
              <w:right w:val="single" w:color="auto" w:sz="4" w:space="0"/>
            </w:tcBorders>
            <w:noWrap w:val="0"/>
            <w:vAlign w:val="center"/>
          </w:tcPr>
          <w:p w14:paraId="44CC08FF">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c>
          <w:tcPr>
            <w:tcW w:w="295" w:type="pct"/>
            <w:vMerge w:val="continue"/>
            <w:tcBorders>
              <w:left w:val="single" w:color="auto" w:sz="4" w:space="0"/>
              <w:bottom w:val="single" w:color="auto" w:sz="4" w:space="0"/>
              <w:right w:val="single" w:color="auto" w:sz="4" w:space="0"/>
            </w:tcBorders>
            <w:noWrap w:val="0"/>
            <w:vAlign w:val="center"/>
          </w:tcPr>
          <w:p w14:paraId="486404FD">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r>
      <w:tr w14:paraId="6EB92E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1617F85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钾</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77EB9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3.48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E45AF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3.53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6F7AB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0.89</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CAFB1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0.89</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E6AC9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2.81</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DDBF0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2.78</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48005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2.84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CE7FA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2.83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D3203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2.14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D4373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2.51</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17DB9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5.01</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4BDE5D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2.06</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39D7A9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4E3EC2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361CD0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r>
      <w:tr w14:paraId="32A13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0C36A33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eastAsia="zh-CN"/>
              </w:rPr>
            </w:pPr>
            <w:r>
              <w:rPr>
                <w:rFonts w:hint="default" w:ascii="Times New Roman" w:hAnsi="Times New Roman" w:cs="Times New Roman" w:eastAsiaTheme="minorEastAsia"/>
                <w:b w:val="0"/>
                <w:bCs w:val="0"/>
                <w:color w:val="auto"/>
                <w:sz w:val="21"/>
                <w:szCs w:val="21"/>
                <w:highlight w:val="none"/>
                <w:lang w:val="en-US" w:eastAsia="zh-CN"/>
              </w:rPr>
              <w:t>钠</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F7824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5.77</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8E607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5.77</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318E8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1.20</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F3F1A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1.19</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BA3B1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29.5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CD4E5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27.4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FF147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28.7</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D6208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27.5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2DF8A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9.54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1EFCD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11.9</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873DF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64.5</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2DD35F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80.4</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69EEE7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1071AF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33198E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r>
      <w:tr w14:paraId="0DBE22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44905A8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钙</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D50B9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26.8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F25FF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26.8</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A6FF1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1.18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4FE9F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1.17</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D0DB6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58.1</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0A20A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56.7</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30726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57.6</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04970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57.0</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66B39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46.2</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34F75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45.7</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5737AC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55.4</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31A953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55.4</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4B1507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4D5DAD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74FC2F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r>
      <w:tr w14:paraId="4F8F05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260193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镁</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482DA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1.05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17674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1.02</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29665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2.59</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C3B7B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2.90</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056C8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8.06</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3DFDD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7.50</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38FCD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7.85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D2036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7.50</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EAC25D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14.0</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F732D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13.0</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30A2A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12.6</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44CA19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10.8</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188552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507405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74E8E0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r>
      <w:tr w14:paraId="33B7E7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6F39DB8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碳酸根</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C893B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20B2E1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46493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37357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443EA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68F0C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FF9F6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7BCBFD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21371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6F053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384FA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083CA7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27136B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04FD96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0F7126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r>
      <w:tr w14:paraId="09E22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634B2A2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重碳酸根</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FC3DB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110</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4C64E5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112</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39A4F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90C53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C2533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258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1E545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262</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FEC9A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262</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D55A3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254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1B24A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238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90109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230</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5DCBB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326</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2BF11E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355</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408A76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1F1524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7F9525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r>
      <w:tr w14:paraId="072C7F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760429F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氯离子</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A7B2E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1.80</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3E717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1.71</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262A7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0.563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133C8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0.577</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82B169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22.2</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6E3DE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22.5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2DAC2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23.7</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A1256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23.2</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EFDDE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4.03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F7EF0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4.18</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D3683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7.70</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01B07C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7.52</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2C9119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250</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647863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0.09</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7DD6E01E">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1307F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649D722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硫酸根离子</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87068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1.18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B6588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1.17</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AEA8F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0.856</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5F0FB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0.889</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0B1F0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7.36</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5E3128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7.11</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89520F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6.27</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7E9FF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6.43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03C0DF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8.73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67B42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8.89</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37BDF2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50.9</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735081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51.5</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5AC246D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250</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72F2CA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0.206</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53A5447E">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7D441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748D64C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pH（无量纲）</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06B473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4DE8B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7.9</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90216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E7D665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8.0</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0ABB15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7.6</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4779B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7.9</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343FB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8.2</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058F9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8.0</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06994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8.0</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E6A8B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8.1</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C9C20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8.2</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469B2C7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8.1</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0D342D5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6~9</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591BB5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0.6</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5ED4BB06">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1566D1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70235FE2">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rPr>
            </w:pPr>
            <w:r>
              <w:rPr>
                <w:rFonts w:hint="default" w:ascii="Times New Roman" w:hAnsi="Times New Roman" w:cs="Times New Roman" w:eastAsiaTheme="minorEastAsia"/>
                <w:b w:val="0"/>
                <w:bCs w:val="0"/>
                <w:color w:val="auto"/>
                <w:sz w:val="21"/>
                <w:szCs w:val="21"/>
                <w:highlight w:val="none"/>
                <w:lang w:val="en-US" w:eastAsia="zh-CN"/>
              </w:rPr>
              <w:t>氰化物</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E39C7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0.002</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58ACE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0.002</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7720E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0.002</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9B2C2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0.002</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B4564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0.002</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25294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0.002</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780DF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0.002</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D5B11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0.002</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18CF0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0.002</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02C62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0.002</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45EDB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0.002</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5DC756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0.002</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5B84D7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40DC61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0.04</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1D4E5F63">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49B032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1387F95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铜</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D58D7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ED079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7371D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7F54B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77514B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82401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9423F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22CCF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9CEC2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4F18C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8A431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52C28C2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7B060B9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133A16A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0.0</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49F1F347">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0BA5DC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4B198FFF">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锌</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9831F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E95EE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2FE005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DBFE0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80FAA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D257C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43482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9FF45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78B8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08FCD4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B2BCE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77F553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154415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081A70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0.05</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2ECB7CE6">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06E2E8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416918E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铁</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3A2A2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7C198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C1C19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71D50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1193B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7B51D8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F6889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777B8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6800E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0.06</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796F4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FDFE1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20BFF31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550BB6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0.3</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58BB02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0.27</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68D87C2D">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6CBD5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72AE0BF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锰</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C0DA9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0B6E2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0.06</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B5A68C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0.01</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E2171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0.02</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0F10E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0.01</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600B61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0.02</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74FB7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0.01</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DCBC1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0.01</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A2EE8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0.01</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B1B91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0.01</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ACB7F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0.01</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6297300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0.01</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037654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5436A3A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0.6</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1C8B358B">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64690E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755EF210">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铅</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968F9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0.001</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B87DD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0.001</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69541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0.0026</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1154E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0.0039</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7E3C69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0.0044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283E0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0.001</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D8300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0.001</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B5DFF3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0.001</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BF373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0.0049</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B6F2D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0.0054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86A8C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0.001</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62310A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0.001</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651F98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0.05</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6300CB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0.108</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7E81D5C2">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219395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6A189045">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镉</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45773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1.6</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lang w:val="en-US" w:eastAsia="zh-CN"/>
              </w:rPr>
              <w:t>-</w:t>
            </w:r>
            <w:r>
              <w:rPr>
                <w:rFonts w:hint="default" w:ascii="Times New Roman" w:hAnsi="Times New Roman" w:cs="Times New Roman" w:eastAsiaTheme="minorEastAsia"/>
                <w:sz w:val="21"/>
                <w:szCs w:val="21"/>
                <w:vertAlign w:val="superscript"/>
                <w:lang w:val="en-US" w:eastAsia="zh-CN"/>
              </w:rPr>
              <w:t>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E062D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lang w:val="en-US" w:eastAsia="zh-CN"/>
              </w:rPr>
              <w:t>-4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7EF70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lang w:val="en-US" w:eastAsia="zh-CN"/>
              </w:rPr>
              <w:t>-4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C3E49B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lang w:val="en-US" w:eastAsia="zh-CN"/>
              </w:rPr>
              <w:t>-4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60FC4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lang w:val="en-US" w:eastAsia="zh-CN"/>
              </w:rPr>
              <w:t>-4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C1C3C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lang w:val="en-US" w:eastAsia="zh-CN"/>
              </w:rPr>
              <w:t>-4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1F4966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lang w:val="en-US" w:eastAsia="zh-CN"/>
              </w:rPr>
              <w:t>-4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953AE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lang w:val="en-US" w:eastAsia="zh-CN"/>
              </w:rPr>
              <w:t>-4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FAE6D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lang w:val="en-US" w:eastAsia="zh-CN"/>
              </w:rPr>
              <w:t>-4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91B1F0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lang w:val="en-US" w:eastAsia="zh-CN"/>
              </w:rPr>
              <w:t>-4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D3BC48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lang w:val="en-US" w:eastAsia="zh-CN"/>
              </w:rPr>
              <w:t>-4</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591995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lang w:val="en-US" w:eastAsia="zh-CN"/>
              </w:rPr>
              <w:t>-4</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63E66F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0.01</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424474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w:t>
            </w:r>
            <w:r>
              <w:rPr>
                <w:rFonts w:hint="eastAsia" w:cs="Times New Roman" w:eastAsiaTheme="minorEastAsia"/>
                <w:b w:val="0"/>
                <w:bCs w:val="0"/>
                <w:color w:val="auto"/>
                <w:sz w:val="21"/>
                <w:szCs w:val="21"/>
                <w:highlight w:val="none"/>
                <w:lang w:val="en-US" w:eastAsia="zh-CN"/>
              </w:rPr>
              <w:t>6</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2C10ADF9">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b/>
                <w:bCs/>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3C3510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25BA516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砷</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76C93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68B4A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2F53DA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A68408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C212D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C6C38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3425C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F4CBE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23B54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E119D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A3B93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3198F9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3.0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7EE95B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0.0</w:t>
            </w:r>
            <w:r>
              <w:rPr>
                <w:rFonts w:hint="eastAsia" w:cs="Times New Roman" w:eastAsiaTheme="minorEastAsia"/>
                <w:sz w:val="21"/>
                <w:szCs w:val="21"/>
                <w:lang w:val="en-US" w:eastAsia="zh-CN"/>
              </w:rPr>
              <w:t>5</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4BB42B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sz w:val="21"/>
                <w:szCs w:val="21"/>
                <w:lang w:val="en-US" w:eastAsia="zh-CN"/>
              </w:rPr>
              <w:t>0.02</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52097141">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13F18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0DE8397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汞</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8FAAA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BD586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3160D4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7B09E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A68EB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167C50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BE287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69313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460B3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D093D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71A84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6625E4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4.0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3EF733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color w:val="auto"/>
                <w:kern w:val="0"/>
                <w:sz w:val="21"/>
                <w:szCs w:val="21"/>
                <w:highlight w:val="none"/>
                <w:lang w:val="en-US" w:eastAsia="zh-CN" w:bidi="ar-SA"/>
              </w:rPr>
              <w:t>0.001</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28A1FF8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0.0</w:t>
            </w:r>
            <w:r>
              <w:rPr>
                <w:rFonts w:hint="eastAsia" w:cs="Times New Roman" w:eastAsiaTheme="minorEastAsia"/>
                <w:sz w:val="21"/>
                <w:szCs w:val="21"/>
                <w:lang w:val="en-US" w:eastAsia="zh-CN"/>
              </w:rPr>
              <w:t>4</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314967D7">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4E75FF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44FD3B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锑</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443DC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5C0A6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09B59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2ED0B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95C47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0590F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67C40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3C857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77BC9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B9172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76CA9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757691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4</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5611498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0.005</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4524AF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0.04</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538F743C">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069321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3634649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镍</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B7A1C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875B72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83E95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154B40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FE519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320787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0.008</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C19870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0.010</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682A5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0.009</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49E880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55CA4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C74C9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0.005</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1E1881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0.005</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1FBA2E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0.025</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5926CC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0.32</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3C9E5107">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6C82AE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632ABDBB">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铍</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86A17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A6A48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F621A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B78E1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A1BEFA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46091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185CA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6B87A9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AB3F3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5B28BD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014756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66E60F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sz w:val="21"/>
                <w:szCs w:val="21"/>
                <w:lang w:val="en-US" w:eastAsia="zh-CN"/>
              </w:rPr>
              <w:t>2.0</w:t>
            </w:r>
            <w:r>
              <w:rPr>
                <w:rFonts w:hint="default" w:ascii="Times New Roman" w:hAnsi="Times New Roman" w:cs="Times New Roman" w:eastAsiaTheme="minorEastAsia"/>
                <w:sz w:val="21"/>
                <w:szCs w:val="21"/>
              </w:rPr>
              <w:t>×10</w:t>
            </w:r>
            <w:r>
              <w:rPr>
                <w:rFonts w:hint="default" w:ascii="Times New Roman" w:hAnsi="Times New Roman" w:cs="Times New Roman" w:eastAsiaTheme="minorEastAsia"/>
                <w:sz w:val="21"/>
                <w:szCs w:val="21"/>
                <w:vertAlign w:val="superscript"/>
              </w:rPr>
              <w:t>-</w:t>
            </w:r>
            <w:r>
              <w:rPr>
                <w:rFonts w:hint="default" w:ascii="Times New Roman" w:hAnsi="Times New Roman" w:cs="Times New Roman" w:eastAsiaTheme="minorEastAsia"/>
                <w:sz w:val="21"/>
                <w:szCs w:val="21"/>
                <w:vertAlign w:val="superscript"/>
                <w:lang w:val="en-US" w:eastAsia="zh-CN"/>
              </w:rPr>
              <w:t>5</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604F473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sz w:val="21"/>
                <w:szCs w:val="21"/>
                <w:lang w:val="en-US" w:eastAsia="zh-CN"/>
              </w:rPr>
              <w:t>0.0002</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387D2F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sz w:val="21"/>
                <w:szCs w:val="21"/>
                <w:lang w:val="en-US" w:eastAsia="zh-CN"/>
              </w:rPr>
              <w:t>0.1</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12A08D1D">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07DB89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0EE7F78A">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总银</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56FBB7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D1D061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E8456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EECF7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38EF94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7AA7E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4B652D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A12D0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BC74B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0700A3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DFD4F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52337F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6F610D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65D674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4642D1DA">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r>
      <w:tr w14:paraId="79F28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0D4CCA37">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六价铬</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B660F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604BB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FF17C8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A247D2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B929F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C42C40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A9AF7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3EC2E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EE8FC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29AB75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81BD5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0.004</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4BDDAF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0.004</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52AAEC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0.05</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4C6322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0.08</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6108F921">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12F8D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62C11ED4">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总铬</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B81B2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64098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7F4DD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69C82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28A4B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3BD03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8E83C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FFD2F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B87E9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27E5EB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CF1F9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3C24B6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0.03</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1A2B46E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0.04</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0A3113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0.75</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658F623F">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2813BD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39181DBD">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总磷</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D7AF2C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EDD16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7D00E7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D4622D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0.17</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5C807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0.11</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93216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0.13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9CF53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12DA5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2DBB7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F893D0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0.12</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1992A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0.16</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61D0AAC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0.18</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0D07EE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0.25</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23BB3F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0.72</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3143D622">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74A59F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64AA579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氨氮</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EDC9C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0.067</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F76A6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0.076</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4A393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0.136</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A5F22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0.141</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8050B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0.129</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D3EE10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0.133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9A41F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0.127</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1A699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0.136</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4E9A6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0.131</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242C4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0.128</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6CC33E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0.139</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7ED7D69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0.138</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042C5C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0.2</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00D046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0.705</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241D7CA1">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3521A3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1AB01DD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总硬度</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3278A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72</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D5305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72</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1400EF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306</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436B8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305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86E41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179</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345DF1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174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7367C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177</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9C255E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174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EF62A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174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D7867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168</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7A3342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191</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64B104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184</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4C1910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450</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3E3B371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0.68</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0C64AF8F">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1014C9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763B7C96">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溶解性总固体</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72415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77</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D3867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A4ADD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308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5D3F73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304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DBC7F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180</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E87FD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173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17A83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175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C5F0D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174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E07BD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178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14191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169</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C21626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194</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1B3F4F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186</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2A9422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1000</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40A12B4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0.308</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6A7BB860">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228F4E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656CFAA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硫酸盐</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2A5BD7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228FE7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8</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5CF3F5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4AEBF7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8</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797763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C8E80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8</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4CC262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A8A72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8</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449F9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BE8EB6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8</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890AD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51</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769DFDB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52</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051CE93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250</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6C095B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0.208</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72C0A837">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05ADC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13CD081C">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硝酸盐</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BAAC2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0.66</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031C1F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0.73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C9B0B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1.63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C239A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1.61</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4ABA0E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1.42</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650C3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1.38</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ADA861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1.36</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6ADA4B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1.31</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037CA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1.41</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E037A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1.46</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DED1AD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1.76</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308F87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1.67</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36DFCB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20</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4A0B73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0.088</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2C10A94B">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1524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55250061">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亚硝酸盐</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E76DC5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36E0F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49495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451B4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40CB6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7172D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640C16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05494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7AEDE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5EB1EB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C83364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0.003</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76EBD0A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0.003</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7218E4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0.02</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3B09A5B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0.15</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010C48F2">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7F00E2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540373E8">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氯化物</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7B6DD6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10</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B94AA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10</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C7728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10</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53F58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10</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17F48B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22</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FE3177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23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7595FE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F2CD8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084824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10</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721325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10</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BD4C9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10</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125E63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10</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631B5CB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250</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2A7E73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0.09</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41BC9CF6">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0CBE9D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6A3A03F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氟化物</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E3BBD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0.15</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32290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0.16</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0CABF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0.43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80C6FA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0.39</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33F8D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0.27</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CC82BB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0.25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1541B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0.31</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BE5326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0.34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02656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0.37</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CD0F4A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0.33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2B0C5A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0.52</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4B530D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0.55</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633266E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1</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214D5E8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0.55</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5DB2691C">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0E102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38AC8F19">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挥发酚</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A5EE5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293C33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90A02E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CCCFA4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22B05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A891E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0.0003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FA4E72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A146DF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9647C1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0.0003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84FDBC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0.0003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28120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0.0003</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5B7A78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0.0003</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5617F1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0.08</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0AB0EC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0.00375</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620FDEE1">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0F8C70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4029D51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细菌总数（</w:t>
            </w:r>
            <w:r>
              <w:rPr>
                <w:rFonts w:hint="default" w:ascii="Times New Roman" w:hAnsi="Times New Roman" w:cs="Times New Roman" w:eastAsiaTheme="minorEastAsia"/>
                <w:color w:val="auto"/>
                <w:spacing w:val="-5"/>
                <w:sz w:val="21"/>
                <w:szCs w:val="21"/>
                <w:lang w:val="en-US" w:eastAsia="zh-CN" w:bidi="he-IL"/>
              </w:rPr>
              <w:t>CFU/mL）</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65384F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67</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0A309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71</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24C5DD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430B75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CB58FC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72</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E838D2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74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D9F2DF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49</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34C3AC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54</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45CBB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66</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2B4319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63</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C45A2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49</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50CADE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55</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1F2782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100</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228CD2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0.74</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2BF65980">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6DFB6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5FA288EE">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总大肠菌群（</w:t>
            </w:r>
            <w:r>
              <w:rPr>
                <w:rFonts w:hint="default" w:ascii="Times New Roman" w:hAnsi="Times New Roman" w:cs="Times New Roman" w:eastAsiaTheme="minorEastAsia"/>
                <w:color w:val="auto"/>
                <w:kern w:val="0"/>
                <w:sz w:val="21"/>
                <w:szCs w:val="21"/>
                <w:highlight w:val="none"/>
                <w:lang w:val="en-US" w:eastAsia="zh-CN" w:bidi="ar"/>
              </w:rPr>
              <w:t>MPN/L）</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722E7DF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ND</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4B1553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ND</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1C88921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ND</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5D02249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ND</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A128C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ND</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60E4845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kern w:val="0"/>
                <w:sz w:val="21"/>
                <w:szCs w:val="21"/>
                <w:highlight w:val="none"/>
                <w:lang w:val="en-US" w:eastAsia="zh-CN" w:bidi="ar-SA"/>
              </w:rPr>
            </w:pPr>
            <w:r>
              <w:rPr>
                <w:rFonts w:hint="default" w:ascii="Times New Roman" w:hAnsi="Times New Roman" w:cs="Times New Roman" w:eastAsiaTheme="minorEastAsia"/>
                <w:b w:val="0"/>
                <w:bCs w:val="0"/>
                <w:color w:val="auto"/>
                <w:sz w:val="21"/>
                <w:szCs w:val="21"/>
                <w:highlight w:val="none"/>
                <w:lang w:val="en-US" w:eastAsia="zh-CN"/>
              </w:rPr>
              <w:t>ND</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559671A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ND</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CAB179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ND</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935C2A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ND</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3E37AA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ND</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5F086E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ND</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2DA556C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ND</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208502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16F256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kern w:val="0"/>
                <w:sz w:val="21"/>
                <w:szCs w:val="21"/>
                <w:highlight w:val="none"/>
                <w:lang w:val="en-US" w:eastAsia="zh-CN" w:bidi="ar-SA"/>
              </w:rPr>
              <w:t>/</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44A5435F">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w:t>
            </w:r>
          </w:p>
        </w:tc>
      </w:tr>
      <w:tr w14:paraId="337888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663" w:type="pct"/>
            <w:tcBorders>
              <w:top w:val="single" w:color="auto" w:sz="4" w:space="0"/>
              <w:left w:val="single" w:color="auto" w:sz="4" w:space="0"/>
              <w:bottom w:val="single" w:color="auto" w:sz="4" w:space="0"/>
              <w:right w:val="single" w:color="auto" w:sz="4" w:space="0"/>
            </w:tcBorders>
            <w:noWrap w:val="0"/>
            <w:vAlign w:val="center"/>
          </w:tcPr>
          <w:p w14:paraId="0E817803">
            <w:pPr>
              <w:keepNext w:val="0"/>
              <w:keepLines w:val="0"/>
              <w:pageBreakBefore w:val="0"/>
              <w:widowControl w:val="0"/>
              <w:kinsoku/>
              <w:wordWrap/>
              <w:overflowPunct/>
              <w:topLinePunct w:val="0"/>
              <w:autoSpaceDE/>
              <w:autoSpaceDN/>
              <w:bidi w:val="0"/>
              <w:adjustRightInd/>
              <w:snapToGrid/>
              <w:spacing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高锰酸盐指数</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021E86E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0.8</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480C18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0.7</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05BC8B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2.3</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83799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2.5</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3E2077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1.4</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74D2D0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1.7</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497EE4B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1.6</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29B2CB3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1.9</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77081FA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1.1</w:t>
            </w:r>
          </w:p>
        </w:tc>
        <w:tc>
          <w:tcPr>
            <w:tcW w:w="286" w:type="pct"/>
            <w:tcBorders>
              <w:top w:val="single" w:color="auto" w:sz="4" w:space="0"/>
              <w:left w:val="single" w:color="auto" w:sz="4" w:space="0"/>
              <w:bottom w:val="single" w:color="auto" w:sz="4" w:space="0"/>
              <w:right w:val="single" w:color="auto" w:sz="4" w:space="0"/>
            </w:tcBorders>
            <w:noWrap w:val="0"/>
            <w:vAlign w:val="center"/>
          </w:tcPr>
          <w:p w14:paraId="1E8B78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1.6</w:t>
            </w:r>
          </w:p>
        </w:tc>
        <w:tc>
          <w:tcPr>
            <w:tcW w:w="286" w:type="pct"/>
            <w:gridSpan w:val="2"/>
            <w:tcBorders>
              <w:top w:val="single" w:color="auto" w:sz="4" w:space="0"/>
              <w:left w:val="single" w:color="auto" w:sz="4" w:space="0"/>
              <w:bottom w:val="single" w:color="auto" w:sz="4" w:space="0"/>
              <w:right w:val="single" w:color="auto" w:sz="4" w:space="0"/>
            </w:tcBorders>
            <w:noWrap w:val="0"/>
            <w:vAlign w:val="center"/>
          </w:tcPr>
          <w:p w14:paraId="2A40A1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1.9</w:t>
            </w:r>
          </w:p>
        </w:tc>
        <w:tc>
          <w:tcPr>
            <w:tcW w:w="289" w:type="pct"/>
            <w:tcBorders>
              <w:top w:val="single" w:color="auto" w:sz="4" w:space="0"/>
              <w:left w:val="single" w:color="auto" w:sz="4" w:space="0"/>
              <w:bottom w:val="single" w:color="auto" w:sz="4" w:space="0"/>
              <w:right w:val="single" w:color="auto" w:sz="4" w:space="0"/>
            </w:tcBorders>
            <w:noWrap w:val="0"/>
            <w:vAlign w:val="center"/>
          </w:tcPr>
          <w:p w14:paraId="5AF9B2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b w:val="0"/>
                <w:bCs w:val="0"/>
                <w:color w:val="auto"/>
                <w:sz w:val="21"/>
                <w:szCs w:val="21"/>
                <w:highlight w:val="none"/>
                <w:lang w:val="en-US" w:eastAsia="zh-CN"/>
              </w:rPr>
              <w:t>2.2</w:t>
            </w:r>
          </w:p>
        </w:tc>
        <w:tc>
          <w:tcPr>
            <w:tcW w:w="308" w:type="pct"/>
            <w:tcBorders>
              <w:top w:val="single" w:color="auto" w:sz="4" w:space="0"/>
              <w:left w:val="single" w:color="auto" w:sz="4" w:space="0"/>
              <w:bottom w:val="single" w:color="auto" w:sz="4" w:space="0"/>
              <w:right w:val="single" w:color="auto" w:sz="4" w:space="0"/>
            </w:tcBorders>
            <w:noWrap w:val="0"/>
            <w:vAlign w:val="center"/>
          </w:tcPr>
          <w:p w14:paraId="701D40D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3</w:t>
            </w:r>
          </w:p>
        </w:tc>
        <w:tc>
          <w:tcPr>
            <w:tcW w:w="292" w:type="pct"/>
            <w:tcBorders>
              <w:top w:val="single" w:color="auto" w:sz="4" w:space="0"/>
              <w:left w:val="single" w:color="auto" w:sz="4" w:space="0"/>
              <w:bottom w:val="single" w:color="auto" w:sz="4" w:space="0"/>
              <w:right w:val="single" w:color="auto" w:sz="4" w:space="0"/>
            </w:tcBorders>
            <w:noWrap w:val="0"/>
            <w:vAlign w:val="center"/>
          </w:tcPr>
          <w:p w14:paraId="25152CE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eastAsia" w:cs="Times New Roman" w:eastAsiaTheme="minorEastAsia"/>
                <w:b w:val="0"/>
                <w:bCs w:val="0"/>
                <w:color w:val="auto"/>
                <w:sz w:val="21"/>
                <w:szCs w:val="21"/>
                <w:highlight w:val="none"/>
                <w:lang w:val="en-US" w:eastAsia="zh-CN"/>
              </w:rPr>
              <w:t>0.83</w:t>
            </w:r>
          </w:p>
        </w:tc>
        <w:tc>
          <w:tcPr>
            <w:tcW w:w="295" w:type="pct"/>
            <w:tcBorders>
              <w:top w:val="single" w:color="auto" w:sz="4" w:space="0"/>
              <w:left w:val="single" w:color="auto" w:sz="4" w:space="0"/>
              <w:bottom w:val="single" w:color="auto" w:sz="4" w:space="0"/>
              <w:right w:val="single" w:color="auto" w:sz="4" w:space="0"/>
            </w:tcBorders>
            <w:noWrap w:val="0"/>
            <w:vAlign w:val="center"/>
          </w:tcPr>
          <w:p w14:paraId="6E6C2F04">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达标</w:t>
            </w:r>
          </w:p>
        </w:tc>
      </w:tr>
      <w:tr w14:paraId="6522B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4104" w:type="pct"/>
            <w:gridSpan w:val="18"/>
            <w:tcBorders>
              <w:top w:val="single" w:color="auto" w:sz="4" w:space="0"/>
              <w:left w:val="single" w:color="auto" w:sz="4" w:space="0"/>
              <w:bottom w:val="single" w:color="auto" w:sz="4" w:space="0"/>
              <w:right w:val="single" w:color="auto" w:sz="4" w:space="0"/>
            </w:tcBorders>
            <w:noWrap w:val="0"/>
            <w:vAlign w:val="center"/>
          </w:tcPr>
          <w:p w14:paraId="0FA54041">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both"/>
              <w:textAlignment w:val="auto"/>
              <w:rPr>
                <w:rFonts w:hint="default" w:ascii="Times New Roman" w:hAnsi="Times New Roman" w:cs="Times New Roman" w:eastAsiaTheme="minorEastAsia"/>
                <w:color w:val="auto"/>
                <w:sz w:val="21"/>
                <w:szCs w:val="21"/>
                <w:highlight w:val="none"/>
                <w:lang w:val="en-US" w:eastAsia="zh-CN"/>
              </w:rPr>
            </w:pPr>
            <w:r>
              <w:rPr>
                <w:rFonts w:hint="default" w:ascii="Times New Roman" w:hAnsi="Times New Roman" w:cs="Times New Roman" w:eastAsiaTheme="minorEastAsia"/>
                <w:color w:val="auto"/>
                <w:sz w:val="21"/>
                <w:szCs w:val="21"/>
                <w:highlight w:val="none"/>
                <w:lang w:val="en-US" w:eastAsia="zh-CN"/>
              </w:rPr>
              <w:t>备注：未检出项目按照检测方法检出限一半进行评价。</w:t>
            </w:r>
          </w:p>
        </w:tc>
        <w:tc>
          <w:tcPr>
            <w:tcW w:w="895" w:type="pct"/>
            <w:gridSpan w:val="3"/>
            <w:tcBorders>
              <w:top w:val="single" w:color="auto" w:sz="4" w:space="0"/>
              <w:left w:val="single" w:color="auto" w:sz="4" w:space="0"/>
              <w:bottom w:val="single" w:color="auto" w:sz="4" w:space="0"/>
              <w:right w:val="single" w:color="auto" w:sz="4" w:space="0"/>
            </w:tcBorders>
            <w:noWrap w:val="0"/>
            <w:vAlign w:val="center"/>
          </w:tcPr>
          <w:p w14:paraId="551A5D02">
            <w:pPr>
              <w:pStyle w:val="64"/>
              <w:keepNext w:val="0"/>
              <w:keepLines w:val="0"/>
              <w:pageBreakBefore w:val="0"/>
              <w:widowControl w:val="0"/>
              <w:kinsoku/>
              <w:wordWrap/>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inorEastAsia"/>
                <w:color w:val="auto"/>
                <w:sz w:val="21"/>
                <w:szCs w:val="21"/>
                <w:highlight w:val="none"/>
                <w:lang w:val="en-US" w:eastAsia="zh-CN"/>
              </w:rPr>
            </w:pPr>
          </w:p>
        </w:tc>
      </w:tr>
    </w:tbl>
    <w:p w14:paraId="28004E57">
      <w:pPr>
        <w:adjustRightInd w:val="0"/>
        <w:snapToGrid w:val="0"/>
        <w:ind w:firstLine="480"/>
        <w:rPr>
          <w:rFonts w:hint="default" w:ascii="Times New Roman" w:hAnsi="Times New Roman" w:eastAsia="宋体" w:cs="Times New Roman"/>
          <w:color w:val="auto"/>
          <w:highlight w:val="none"/>
          <w:lang w:val="en-US"/>
        </w:rPr>
      </w:pPr>
      <w:r>
        <w:rPr>
          <w:rFonts w:hint="eastAsia" w:ascii="Times New Roman" w:hAnsi="Times New Roman" w:eastAsia="宋体" w:cs="Times New Roman"/>
          <w:color w:val="auto"/>
          <w:highlight w:val="none"/>
          <w:lang w:val="en-US" w:eastAsia="zh-CN"/>
        </w:rPr>
        <w:t>根据监测结果可知，项目区地下水环境质量现状均达到《地下水质量标准》（GB/T14848-2017）Ⅲ类标准，《地下水质量标准》（GB/T14848-2017）内无总磷标准值，因此总磷参考对照《地表水环境质量标准》（GB3838-2002）Ⅲ类标准进行分析，对照可知项目区地下水环境质量现状总磷满足《地表水环境质量标准》（GB3838-2002）Ⅲ类标准要求。低于检出限按照检出限二分之一进行评价。</w:t>
      </w:r>
    </w:p>
    <w:p w14:paraId="28C64431">
      <w:pPr>
        <w:adjustRightInd w:val="0"/>
        <w:snapToGrid w:val="0"/>
        <w:ind w:firstLine="480"/>
        <w:rPr>
          <w:rFonts w:ascii="Times New Roman"/>
          <w:color w:val="auto"/>
          <w:highlight w:val="none"/>
        </w:rPr>
      </w:pPr>
      <w:r>
        <w:rPr>
          <w:rFonts w:ascii="Times New Roman"/>
          <w:color w:val="auto"/>
          <w:highlight w:val="none"/>
        </w:rPr>
        <w:t>本次评价采用以下公式对项目区地下水环境中阴阳离子平衡关系进行计算：</w:t>
      </w:r>
    </w:p>
    <w:p w14:paraId="2E453930">
      <w:pPr>
        <w:adjustRightInd w:val="0"/>
        <w:snapToGrid w:val="0"/>
        <w:ind w:firstLine="480"/>
        <w:jc w:val="center"/>
        <w:rPr>
          <w:rFonts w:ascii="Times New Roman"/>
          <w:color w:val="auto"/>
          <w:highlight w:val="none"/>
        </w:rPr>
      </w:pPr>
      <w:r>
        <w:rPr>
          <w:rFonts w:ascii="Times New Roman"/>
          <w:color w:val="auto"/>
          <w:highlight w:val="none"/>
        </w:rPr>
        <w:drawing>
          <wp:inline distT="0" distB="0" distL="114300" distR="114300">
            <wp:extent cx="1783080" cy="655320"/>
            <wp:effectExtent l="0" t="0" r="7620" b="11430"/>
            <wp:docPr id="19" name="图片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18"/>
                    <pic:cNvPicPr>
                      <a:picLocks noChangeAspect="1"/>
                    </pic:cNvPicPr>
                  </pic:nvPicPr>
                  <pic:blipFill>
                    <a:blip r:embed="rId10"/>
                    <a:stretch>
                      <a:fillRect/>
                    </a:stretch>
                  </pic:blipFill>
                  <pic:spPr>
                    <a:xfrm>
                      <a:off x="0" y="0"/>
                      <a:ext cx="1783080" cy="655320"/>
                    </a:xfrm>
                    <a:prstGeom prst="rect">
                      <a:avLst/>
                    </a:prstGeom>
                    <a:noFill/>
                    <a:ln>
                      <a:noFill/>
                    </a:ln>
                  </pic:spPr>
                </pic:pic>
              </a:graphicData>
            </a:graphic>
          </wp:inline>
        </w:drawing>
      </w:r>
    </w:p>
    <w:p w14:paraId="3C0620A4">
      <w:pPr>
        <w:adjustRightInd w:val="0"/>
        <w:snapToGrid w:val="0"/>
        <w:ind w:firstLine="480"/>
        <w:rPr>
          <w:rFonts w:ascii="Times New Roman"/>
          <w:color w:val="auto"/>
          <w:highlight w:val="none"/>
        </w:rPr>
      </w:pPr>
      <w:r>
        <w:rPr>
          <w:rFonts w:ascii="Times New Roman"/>
          <w:color w:val="auto"/>
          <w:highlight w:val="none"/>
        </w:rPr>
        <w:t>式中：E——相对误差，Na</w:t>
      </w:r>
      <w:r>
        <w:rPr>
          <w:rFonts w:ascii="Times New Roman"/>
          <w:color w:val="auto"/>
          <w:highlight w:val="none"/>
          <w:vertAlign w:val="superscript"/>
        </w:rPr>
        <w:t>+</w:t>
      </w:r>
      <w:r>
        <w:rPr>
          <w:rFonts w:ascii="Times New Roman"/>
          <w:color w:val="auto"/>
          <w:highlight w:val="none"/>
        </w:rPr>
        <w:t>、K</w:t>
      </w:r>
      <w:r>
        <w:rPr>
          <w:rFonts w:ascii="Times New Roman"/>
          <w:color w:val="auto"/>
          <w:highlight w:val="none"/>
          <w:vertAlign w:val="superscript"/>
        </w:rPr>
        <w:t>+</w:t>
      </w:r>
      <w:r>
        <w:rPr>
          <w:rFonts w:ascii="Times New Roman"/>
          <w:color w:val="auto"/>
          <w:highlight w:val="none"/>
        </w:rPr>
        <w:t>为实测值，E应小于±5%，如果Na</w:t>
      </w:r>
      <w:r>
        <w:rPr>
          <w:rFonts w:ascii="Times New Roman"/>
          <w:color w:val="auto"/>
          <w:highlight w:val="none"/>
          <w:vertAlign w:val="superscript"/>
        </w:rPr>
        <w:t>+</w:t>
      </w:r>
      <w:r>
        <w:rPr>
          <w:rFonts w:ascii="Times New Roman"/>
          <w:color w:val="auto"/>
          <w:highlight w:val="none"/>
        </w:rPr>
        <w:t>、K</w:t>
      </w:r>
      <w:r>
        <w:rPr>
          <w:rFonts w:ascii="Times New Roman"/>
          <w:color w:val="auto"/>
          <w:highlight w:val="none"/>
          <w:vertAlign w:val="superscript"/>
        </w:rPr>
        <w:t>+</w:t>
      </w:r>
      <w:r>
        <w:rPr>
          <w:rFonts w:ascii="Times New Roman"/>
          <w:color w:val="auto"/>
          <w:highlight w:val="none"/>
        </w:rPr>
        <w:t>为计算值，E应为零或接近零。</w:t>
      </w:r>
    </w:p>
    <w:p w14:paraId="2A315575">
      <w:pPr>
        <w:adjustRightInd w:val="0"/>
        <w:snapToGrid w:val="0"/>
        <w:ind w:firstLine="1200" w:firstLineChars="500"/>
        <w:rPr>
          <w:rFonts w:ascii="Times New Roman"/>
          <w:color w:val="auto"/>
          <w:highlight w:val="none"/>
        </w:rPr>
      </w:pPr>
      <w:r>
        <w:rPr>
          <w:rFonts w:ascii="Times New Roman"/>
          <w:color w:val="auto"/>
          <w:highlight w:val="none"/>
        </w:rPr>
        <w:t>Mc——阴离子的毫克当量浓度，meq/L；</w:t>
      </w:r>
    </w:p>
    <w:p w14:paraId="595F7906">
      <w:pPr>
        <w:adjustRightInd w:val="0"/>
        <w:snapToGrid w:val="0"/>
        <w:ind w:firstLine="1200" w:firstLineChars="500"/>
        <w:rPr>
          <w:rFonts w:ascii="Times New Roman"/>
          <w:color w:val="auto"/>
          <w:highlight w:val="none"/>
        </w:rPr>
      </w:pPr>
      <w:r>
        <w:rPr>
          <w:rFonts w:ascii="Times New Roman"/>
          <w:color w:val="auto"/>
          <w:highlight w:val="none"/>
        </w:rPr>
        <w:t>Ma——阳离子的毫克当量浓度，meq/L；</w:t>
      </w:r>
    </w:p>
    <w:p w14:paraId="0BC6BF88">
      <w:pPr>
        <w:adjustRightInd w:val="0"/>
        <w:snapToGrid w:val="0"/>
        <w:ind w:firstLine="1205" w:firstLineChars="500"/>
        <w:rPr>
          <w:rFonts w:ascii="Times New Roman"/>
          <w:b/>
          <w:bCs/>
          <w:color w:val="auto"/>
          <w:highlight w:val="none"/>
        </w:rPr>
      </w:pPr>
      <w:r>
        <w:rPr>
          <w:rFonts w:ascii="Times New Roman"/>
          <w:b/>
          <w:bCs/>
          <w:color w:val="auto"/>
          <w:highlight w:val="none"/>
        </w:rPr>
        <w:t>毫克当量</w:t>
      </w:r>
      <w:r>
        <w:rPr>
          <w:rFonts w:hint="eastAsia" w:ascii="Times New Roman"/>
          <w:b/>
          <w:bCs/>
          <w:color w:val="auto"/>
          <w:highlight w:val="none"/>
        </w:rPr>
        <w:t>（</w:t>
      </w:r>
      <w:r>
        <w:rPr>
          <w:rFonts w:ascii="Times New Roman"/>
          <w:b/>
          <w:bCs/>
          <w:color w:val="auto"/>
          <w:highlight w:val="none"/>
        </w:rPr>
        <w:t>meq/L</w:t>
      </w:r>
      <w:r>
        <w:rPr>
          <w:rFonts w:hint="eastAsia" w:ascii="Times New Roman"/>
          <w:b/>
          <w:bCs/>
          <w:color w:val="auto"/>
          <w:highlight w:val="none"/>
        </w:rPr>
        <w:t>）</w:t>
      </w:r>
      <w:r>
        <w:rPr>
          <w:rFonts w:ascii="Times New Roman"/>
          <w:b/>
          <w:bCs/>
          <w:color w:val="auto"/>
          <w:highlight w:val="none"/>
        </w:rPr>
        <w:t>=质量浓度</w:t>
      </w:r>
      <w:r>
        <w:rPr>
          <w:rFonts w:hint="eastAsia" w:ascii="Times New Roman"/>
          <w:b/>
          <w:bCs/>
          <w:color w:val="auto"/>
          <w:highlight w:val="none"/>
        </w:rPr>
        <w:t>（</w:t>
      </w:r>
      <w:r>
        <w:rPr>
          <w:rFonts w:ascii="Times New Roman"/>
          <w:b/>
          <w:bCs/>
          <w:color w:val="auto"/>
          <w:highlight w:val="none"/>
        </w:rPr>
        <w:t>mg/L</w:t>
      </w:r>
      <w:r>
        <w:rPr>
          <w:rFonts w:hint="eastAsia" w:ascii="Times New Roman"/>
          <w:b/>
          <w:bCs/>
          <w:color w:val="auto"/>
          <w:highlight w:val="none"/>
        </w:rPr>
        <w:t>）</w:t>
      </w:r>
      <w:r>
        <w:rPr>
          <w:rFonts w:ascii="Times New Roman"/>
          <w:b/>
          <w:bCs/>
          <w:color w:val="auto"/>
          <w:highlight w:val="none"/>
        </w:rPr>
        <w:t>×离子的化合价÷离子的原子量</w:t>
      </w:r>
    </w:p>
    <w:p w14:paraId="7B3DD461">
      <w:pPr>
        <w:bidi w:val="0"/>
        <w:rPr>
          <w:rFonts w:ascii="Times New Roman"/>
          <w:color w:val="auto"/>
          <w:sz w:val="24"/>
          <w:szCs w:val="24"/>
          <w:highlight w:val="none"/>
        </w:rPr>
      </w:pPr>
      <w:r>
        <w:rPr>
          <w:rFonts w:ascii="Times New Roman"/>
          <w:color w:val="auto"/>
          <w:highlight w:val="none"/>
        </w:rPr>
        <w:t>项目区域地下水环境中阴阳离子监测结果及计算详见下表：</w:t>
      </w:r>
    </w:p>
    <w:p w14:paraId="487EE656">
      <w:pPr>
        <w:pStyle w:val="71"/>
        <w:keepNext w:val="0"/>
        <w:keepLines w:val="0"/>
        <w:pageBreakBefore w:val="0"/>
        <w:numPr>
          <w:ilvl w:val="0"/>
          <w:numId w:val="0"/>
        </w:numPr>
        <w:kinsoku/>
        <w:wordWrap/>
        <w:overflowPunct/>
        <w:topLinePunct w:val="0"/>
        <w:autoSpaceDE/>
        <w:autoSpaceDN/>
        <w:bidi w:val="0"/>
        <w:adjustRightInd w:val="0"/>
        <w:spacing w:line="240" w:lineRule="auto"/>
        <w:ind w:firstLine="0" w:firstLineChars="0"/>
        <w:jc w:val="center"/>
        <w:textAlignment w:val="auto"/>
        <w:rPr>
          <w:rFonts w:hint="eastAsia" w:ascii="Times New Roman" w:hAnsi="Times New Roman" w:eastAsia="宋体" w:cs="Times New Roman"/>
          <w:b/>
          <w:bCs/>
          <w:color w:val="auto"/>
          <w:kern w:val="24"/>
          <w:sz w:val="21"/>
          <w:szCs w:val="21"/>
          <w:highlight w:val="none"/>
          <w:lang w:val="en-US" w:eastAsia="zh-CN" w:bidi="ar"/>
        </w:rPr>
      </w:pPr>
      <w:r>
        <w:rPr>
          <w:rFonts w:hint="eastAsia" w:ascii="Times New Roman" w:hAnsi="Times New Roman" w:eastAsia="宋体" w:cs="Times New Roman"/>
          <w:b/>
          <w:bCs/>
          <w:color w:val="auto"/>
          <w:kern w:val="24"/>
          <w:sz w:val="24"/>
          <w:szCs w:val="24"/>
          <w:highlight w:val="none"/>
          <w:lang w:val="en-US" w:eastAsia="zh-CN" w:bidi="ar"/>
        </w:rPr>
        <w:t>表3-12  项目区域地下水环境阴阳离子监测、分析结果</w:t>
      </w:r>
    </w:p>
    <w:tbl>
      <w:tblPr>
        <w:tblStyle w:val="4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69"/>
        <w:gridCol w:w="2819"/>
        <w:gridCol w:w="4323"/>
        <w:gridCol w:w="1952"/>
      </w:tblGrid>
      <w:tr w14:paraId="1CA9F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pct"/>
            <w:vMerge w:val="restart"/>
            <w:tcBorders>
              <w:tl2br w:val="single" w:color="auto" w:sz="4" w:space="0"/>
            </w:tcBorders>
            <w:noWrap w:val="0"/>
            <w:vAlign w:val="center"/>
          </w:tcPr>
          <w:p w14:paraId="2ED8BFF7">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color w:val="auto"/>
                <w:highlight w:val="none"/>
              </w:rPr>
              <w:t>监测点位</w:t>
            </w:r>
          </w:p>
          <w:p w14:paraId="66779B8B">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rPr>
            </w:pPr>
          </w:p>
          <w:p w14:paraId="0E851F17">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color w:val="auto"/>
                <w:highlight w:val="none"/>
              </w:rPr>
              <w:t>监测项目</w:t>
            </w:r>
          </w:p>
        </w:tc>
        <w:tc>
          <w:tcPr>
            <w:tcW w:w="3210" w:type="pct"/>
            <w:gridSpan w:val="3"/>
            <w:noWrap w:val="0"/>
            <w:vAlign w:val="center"/>
          </w:tcPr>
          <w:p w14:paraId="12C7F18D">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bCs/>
                <w:color w:val="auto"/>
                <w:sz w:val="21"/>
                <w:highlight w:val="none"/>
                <w:lang w:val="en-US" w:eastAsia="zh-CN"/>
              </w:rPr>
              <w:t>D1</w:t>
            </w:r>
          </w:p>
        </w:tc>
      </w:tr>
      <w:tr w14:paraId="693E64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pct"/>
            <w:vMerge w:val="continue"/>
            <w:noWrap w:val="0"/>
            <w:vAlign w:val="center"/>
          </w:tcPr>
          <w:p w14:paraId="0CE38000">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rPr>
            </w:pPr>
          </w:p>
        </w:tc>
        <w:tc>
          <w:tcPr>
            <w:tcW w:w="995" w:type="pct"/>
            <w:noWrap w:val="0"/>
            <w:vAlign w:val="center"/>
          </w:tcPr>
          <w:p w14:paraId="40ADF5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val="0"/>
                <w:color w:val="auto"/>
                <w:sz w:val="21"/>
                <w:szCs w:val="21"/>
                <w:highlight w:val="none"/>
                <w:lang w:val="en-US" w:eastAsia="zh-CN"/>
              </w:rPr>
              <w:t>W25071707DX-3-1-1</w:t>
            </w:r>
          </w:p>
        </w:tc>
        <w:tc>
          <w:tcPr>
            <w:tcW w:w="1526" w:type="pct"/>
            <w:noWrap w:val="0"/>
            <w:vAlign w:val="center"/>
          </w:tcPr>
          <w:p w14:paraId="7EBBF4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val="0"/>
                <w:color w:val="auto"/>
                <w:sz w:val="21"/>
                <w:szCs w:val="21"/>
                <w:highlight w:val="none"/>
                <w:lang w:val="en-US" w:eastAsia="zh-CN"/>
              </w:rPr>
              <w:t>W25071707DX-3-2-1</w:t>
            </w:r>
          </w:p>
        </w:tc>
        <w:tc>
          <w:tcPr>
            <w:tcW w:w="689" w:type="pct"/>
            <w:noWrap w:val="0"/>
            <w:vAlign w:val="center"/>
          </w:tcPr>
          <w:p w14:paraId="150A9419">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color w:val="auto"/>
                <w:highlight w:val="none"/>
              </w:rPr>
              <w:t>平均值</w:t>
            </w:r>
          </w:p>
        </w:tc>
      </w:tr>
      <w:tr w14:paraId="561AB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9" w:type="pct"/>
            <w:noWrap w:val="0"/>
            <w:vAlign w:val="center"/>
          </w:tcPr>
          <w:p w14:paraId="4E90D1F5">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rPr>
              <w:t>K</w:t>
            </w:r>
            <w:r>
              <w:rPr>
                <w:rFonts w:hint="default" w:ascii="Times New Roman" w:hAnsi="Times New Roman" w:cs="Times New Roman" w:eastAsiaTheme="majorEastAsia"/>
                <w:color w:val="auto"/>
                <w:sz w:val="21"/>
                <w:highlight w:val="none"/>
                <w:vertAlign w:val="superscript"/>
              </w:rPr>
              <w:t>+</w:t>
            </w:r>
            <w:r>
              <w:rPr>
                <w:rFonts w:hint="default" w:ascii="Times New Roman" w:hAnsi="Times New Roman" w:cs="Times New Roman" w:eastAsiaTheme="majorEastAsia"/>
                <w:color w:val="auto"/>
                <w:sz w:val="21"/>
                <w:highlight w:val="none"/>
              </w:rPr>
              <w:t>（mg/L）</w:t>
            </w:r>
          </w:p>
        </w:tc>
        <w:tc>
          <w:tcPr>
            <w:tcW w:w="995" w:type="pct"/>
            <w:noWrap w:val="0"/>
            <w:vAlign w:val="center"/>
          </w:tcPr>
          <w:p w14:paraId="29ADD7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2.81</w:t>
            </w:r>
          </w:p>
        </w:tc>
        <w:tc>
          <w:tcPr>
            <w:tcW w:w="1526" w:type="pct"/>
            <w:noWrap w:val="0"/>
            <w:vAlign w:val="center"/>
          </w:tcPr>
          <w:p w14:paraId="3680FB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2.78</w:t>
            </w:r>
          </w:p>
        </w:tc>
        <w:tc>
          <w:tcPr>
            <w:tcW w:w="689" w:type="pct"/>
            <w:noWrap w:val="0"/>
            <w:vAlign w:val="center"/>
          </w:tcPr>
          <w:p w14:paraId="0B643C2E">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2.795</w:t>
            </w:r>
          </w:p>
        </w:tc>
      </w:tr>
      <w:tr w14:paraId="3475D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pct"/>
            <w:noWrap w:val="0"/>
            <w:vAlign w:val="center"/>
          </w:tcPr>
          <w:p w14:paraId="12782347">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rPr>
              <w:t>Na</w:t>
            </w:r>
            <w:r>
              <w:rPr>
                <w:rFonts w:hint="default" w:ascii="Times New Roman" w:hAnsi="Times New Roman" w:cs="Times New Roman" w:eastAsiaTheme="majorEastAsia"/>
                <w:color w:val="auto"/>
                <w:sz w:val="21"/>
                <w:highlight w:val="none"/>
                <w:vertAlign w:val="superscript"/>
              </w:rPr>
              <w:t>+</w:t>
            </w:r>
            <w:r>
              <w:rPr>
                <w:rFonts w:hint="default" w:ascii="Times New Roman" w:hAnsi="Times New Roman" w:cs="Times New Roman" w:eastAsiaTheme="majorEastAsia"/>
                <w:color w:val="auto"/>
                <w:sz w:val="21"/>
                <w:highlight w:val="none"/>
              </w:rPr>
              <w:t>（mg/L）</w:t>
            </w:r>
          </w:p>
        </w:tc>
        <w:tc>
          <w:tcPr>
            <w:tcW w:w="995" w:type="pct"/>
            <w:noWrap w:val="0"/>
            <w:vAlign w:val="center"/>
          </w:tcPr>
          <w:p w14:paraId="5F2A59E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29.5</w:t>
            </w:r>
          </w:p>
        </w:tc>
        <w:tc>
          <w:tcPr>
            <w:tcW w:w="1526" w:type="pct"/>
            <w:noWrap w:val="0"/>
            <w:vAlign w:val="center"/>
          </w:tcPr>
          <w:p w14:paraId="3BDD542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27.4</w:t>
            </w:r>
          </w:p>
        </w:tc>
        <w:tc>
          <w:tcPr>
            <w:tcW w:w="689" w:type="pct"/>
            <w:noWrap w:val="0"/>
            <w:vAlign w:val="center"/>
          </w:tcPr>
          <w:p w14:paraId="04317063">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28.45</w:t>
            </w:r>
          </w:p>
        </w:tc>
      </w:tr>
      <w:tr w14:paraId="080DB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pct"/>
            <w:noWrap w:val="0"/>
            <w:vAlign w:val="center"/>
          </w:tcPr>
          <w:p w14:paraId="56E5B3F5">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rPr>
              <w:t>Ca</w:t>
            </w:r>
            <w:r>
              <w:rPr>
                <w:rFonts w:hint="default" w:ascii="Times New Roman" w:hAnsi="Times New Roman" w:cs="Times New Roman" w:eastAsiaTheme="majorEastAsia"/>
                <w:color w:val="auto"/>
                <w:sz w:val="21"/>
                <w:highlight w:val="none"/>
                <w:vertAlign w:val="superscript"/>
              </w:rPr>
              <w:t>2+</w:t>
            </w:r>
            <w:r>
              <w:rPr>
                <w:rFonts w:hint="default" w:ascii="Times New Roman" w:hAnsi="Times New Roman" w:cs="Times New Roman" w:eastAsiaTheme="majorEastAsia"/>
                <w:color w:val="auto"/>
                <w:sz w:val="21"/>
                <w:highlight w:val="none"/>
              </w:rPr>
              <w:t>（mg/L）</w:t>
            </w:r>
          </w:p>
        </w:tc>
        <w:tc>
          <w:tcPr>
            <w:tcW w:w="995" w:type="pct"/>
            <w:noWrap w:val="0"/>
            <w:vAlign w:val="center"/>
          </w:tcPr>
          <w:p w14:paraId="5B16761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58.1</w:t>
            </w:r>
          </w:p>
        </w:tc>
        <w:tc>
          <w:tcPr>
            <w:tcW w:w="1526" w:type="pct"/>
            <w:noWrap w:val="0"/>
            <w:vAlign w:val="center"/>
          </w:tcPr>
          <w:p w14:paraId="15DB0D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56.7</w:t>
            </w:r>
          </w:p>
        </w:tc>
        <w:tc>
          <w:tcPr>
            <w:tcW w:w="689" w:type="pct"/>
            <w:noWrap w:val="0"/>
            <w:vAlign w:val="center"/>
          </w:tcPr>
          <w:p w14:paraId="10FA4F2B">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58.4</w:t>
            </w:r>
          </w:p>
        </w:tc>
      </w:tr>
      <w:tr w14:paraId="3C5BF1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pct"/>
            <w:noWrap w:val="0"/>
            <w:vAlign w:val="center"/>
          </w:tcPr>
          <w:p w14:paraId="61523B75">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rPr>
              <w:t>Mg</w:t>
            </w:r>
            <w:r>
              <w:rPr>
                <w:rFonts w:hint="default" w:ascii="Times New Roman" w:hAnsi="Times New Roman" w:cs="Times New Roman" w:eastAsiaTheme="majorEastAsia"/>
                <w:color w:val="auto"/>
                <w:sz w:val="21"/>
                <w:highlight w:val="none"/>
                <w:vertAlign w:val="superscript"/>
              </w:rPr>
              <w:t>2+</w:t>
            </w:r>
            <w:r>
              <w:rPr>
                <w:rFonts w:hint="default" w:ascii="Times New Roman" w:hAnsi="Times New Roman" w:cs="Times New Roman" w:eastAsiaTheme="majorEastAsia"/>
                <w:color w:val="auto"/>
                <w:sz w:val="21"/>
                <w:highlight w:val="none"/>
              </w:rPr>
              <w:t>（mg/L）</w:t>
            </w:r>
          </w:p>
        </w:tc>
        <w:tc>
          <w:tcPr>
            <w:tcW w:w="995" w:type="pct"/>
            <w:noWrap w:val="0"/>
            <w:vAlign w:val="center"/>
          </w:tcPr>
          <w:p w14:paraId="75ABDC0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8.06</w:t>
            </w:r>
          </w:p>
        </w:tc>
        <w:tc>
          <w:tcPr>
            <w:tcW w:w="1526" w:type="pct"/>
            <w:noWrap w:val="0"/>
            <w:vAlign w:val="center"/>
          </w:tcPr>
          <w:p w14:paraId="4002A08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7.50</w:t>
            </w:r>
          </w:p>
        </w:tc>
        <w:tc>
          <w:tcPr>
            <w:tcW w:w="689" w:type="pct"/>
            <w:noWrap w:val="0"/>
            <w:vAlign w:val="center"/>
          </w:tcPr>
          <w:p w14:paraId="469FE782">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7.78</w:t>
            </w:r>
          </w:p>
        </w:tc>
      </w:tr>
      <w:tr w14:paraId="770A7B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pct"/>
            <w:noWrap w:val="0"/>
            <w:vAlign w:val="center"/>
          </w:tcPr>
          <w:p w14:paraId="68D11A10">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rPr>
              <w:t>CO</w:t>
            </w:r>
            <w:r>
              <w:rPr>
                <w:rFonts w:hint="default" w:ascii="Times New Roman" w:hAnsi="Times New Roman" w:cs="Times New Roman" w:eastAsiaTheme="majorEastAsia"/>
                <w:color w:val="auto"/>
                <w:sz w:val="21"/>
                <w:highlight w:val="none"/>
                <w:vertAlign w:val="subscript"/>
              </w:rPr>
              <w:t>3</w:t>
            </w:r>
            <w:r>
              <w:rPr>
                <w:rFonts w:hint="default" w:ascii="Times New Roman" w:hAnsi="Times New Roman" w:cs="Times New Roman" w:eastAsiaTheme="majorEastAsia"/>
                <w:color w:val="auto"/>
                <w:sz w:val="21"/>
                <w:highlight w:val="none"/>
                <w:vertAlign w:val="superscript"/>
              </w:rPr>
              <w:t>2-</w:t>
            </w:r>
            <w:r>
              <w:rPr>
                <w:rFonts w:hint="default" w:ascii="Times New Roman" w:hAnsi="Times New Roman" w:cs="Times New Roman" w:eastAsiaTheme="majorEastAsia"/>
                <w:color w:val="auto"/>
                <w:sz w:val="21"/>
                <w:highlight w:val="none"/>
              </w:rPr>
              <w:t>（mg/L）</w:t>
            </w:r>
          </w:p>
        </w:tc>
        <w:tc>
          <w:tcPr>
            <w:tcW w:w="995" w:type="pct"/>
            <w:noWrap w:val="0"/>
            <w:vAlign w:val="center"/>
          </w:tcPr>
          <w:p w14:paraId="25EB4D9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5</w:t>
            </w:r>
          </w:p>
        </w:tc>
        <w:tc>
          <w:tcPr>
            <w:tcW w:w="1526" w:type="pct"/>
            <w:noWrap w:val="0"/>
            <w:vAlign w:val="center"/>
          </w:tcPr>
          <w:p w14:paraId="6CD82FB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5</w:t>
            </w:r>
          </w:p>
        </w:tc>
        <w:tc>
          <w:tcPr>
            <w:tcW w:w="689" w:type="pct"/>
            <w:noWrap w:val="0"/>
            <w:vAlign w:val="center"/>
          </w:tcPr>
          <w:p w14:paraId="6104FB66">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5</w:t>
            </w:r>
          </w:p>
        </w:tc>
      </w:tr>
      <w:tr w14:paraId="1582D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pct"/>
            <w:noWrap w:val="0"/>
            <w:vAlign w:val="center"/>
          </w:tcPr>
          <w:p w14:paraId="7F146ED6">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rPr>
              <w:t>HCO</w:t>
            </w:r>
            <w:r>
              <w:rPr>
                <w:rFonts w:hint="default" w:ascii="Times New Roman" w:hAnsi="Times New Roman" w:cs="Times New Roman" w:eastAsiaTheme="majorEastAsia"/>
                <w:color w:val="auto"/>
                <w:sz w:val="21"/>
                <w:highlight w:val="none"/>
                <w:vertAlign w:val="subscript"/>
              </w:rPr>
              <w:t>3</w:t>
            </w:r>
            <w:r>
              <w:rPr>
                <w:rFonts w:hint="default" w:ascii="Times New Roman" w:hAnsi="Times New Roman" w:cs="Times New Roman" w:eastAsiaTheme="majorEastAsia"/>
                <w:color w:val="auto"/>
                <w:sz w:val="21"/>
                <w:highlight w:val="none"/>
                <w:vertAlign w:val="superscript"/>
                <w:lang w:val="en-US" w:eastAsia="zh-CN"/>
              </w:rPr>
              <w:t>-</w:t>
            </w:r>
            <w:r>
              <w:rPr>
                <w:rFonts w:hint="default" w:ascii="Times New Roman" w:hAnsi="Times New Roman" w:cs="Times New Roman" w:eastAsiaTheme="majorEastAsia"/>
                <w:color w:val="auto"/>
                <w:sz w:val="21"/>
                <w:highlight w:val="none"/>
              </w:rPr>
              <w:t>（mg/L）</w:t>
            </w:r>
          </w:p>
        </w:tc>
        <w:tc>
          <w:tcPr>
            <w:tcW w:w="995" w:type="pct"/>
            <w:noWrap w:val="0"/>
            <w:vAlign w:val="center"/>
          </w:tcPr>
          <w:p w14:paraId="18B4BD4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258</w:t>
            </w:r>
          </w:p>
        </w:tc>
        <w:tc>
          <w:tcPr>
            <w:tcW w:w="1526" w:type="pct"/>
            <w:noWrap w:val="0"/>
            <w:vAlign w:val="center"/>
          </w:tcPr>
          <w:p w14:paraId="2AEAC6A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262</w:t>
            </w:r>
          </w:p>
        </w:tc>
        <w:tc>
          <w:tcPr>
            <w:tcW w:w="689" w:type="pct"/>
            <w:noWrap w:val="0"/>
            <w:vAlign w:val="center"/>
          </w:tcPr>
          <w:p w14:paraId="5531C05C">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260</w:t>
            </w:r>
          </w:p>
        </w:tc>
      </w:tr>
      <w:tr w14:paraId="7E5B30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789" w:type="pct"/>
            <w:noWrap w:val="0"/>
            <w:vAlign w:val="center"/>
          </w:tcPr>
          <w:p w14:paraId="68543992">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lang w:val="en-US" w:eastAsia="zh-CN"/>
              </w:rPr>
              <w:t>Cl</w:t>
            </w:r>
            <w:r>
              <w:rPr>
                <w:rFonts w:hint="default" w:ascii="Times New Roman" w:hAnsi="Times New Roman" w:cs="Times New Roman" w:eastAsiaTheme="majorEastAsia"/>
                <w:color w:val="auto"/>
                <w:sz w:val="21"/>
                <w:highlight w:val="none"/>
                <w:vertAlign w:val="superscript"/>
                <w:lang w:val="en-US" w:eastAsia="zh-CN"/>
              </w:rPr>
              <w:t>-</w:t>
            </w:r>
            <w:r>
              <w:rPr>
                <w:rFonts w:hint="default" w:ascii="Times New Roman" w:hAnsi="Times New Roman" w:cs="Times New Roman" w:eastAsiaTheme="majorEastAsia"/>
                <w:color w:val="auto"/>
                <w:sz w:val="21"/>
                <w:highlight w:val="none"/>
              </w:rPr>
              <w:t>（mg/L）</w:t>
            </w:r>
          </w:p>
        </w:tc>
        <w:tc>
          <w:tcPr>
            <w:tcW w:w="995" w:type="pct"/>
            <w:noWrap w:val="0"/>
            <w:vAlign w:val="center"/>
          </w:tcPr>
          <w:p w14:paraId="4ECE14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22.2</w:t>
            </w:r>
          </w:p>
        </w:tc>
        <w:tc>
          <w:tcPr>
            <w:tcW w:w="1526" w:type="pct"/>
            <w:noWrap w:val="0"/>
            <w:vAlign w:val="center"/>
          </w:tcPr>
          <w:p w14:paraId="706C05D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22.5</w:t>
            </w:r>
          </w:p>
        </w:tc>
        <w:tc>
          <w:tcPr>
            <w:tcW w:w="689" w:type="pct"/>
            <w:noWrap w:val="0"/>
            <w:vAlign w:val="center"/>
          </w:tcPr>
          <w:p w14:paraId="1198310A">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22.35</w:t>
            </w:r>
          </w:p>
        </w:tc>
      </w:tr>
      <w:tr w14:paraId="54C63D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6" w:hRule="atLeast"/>
          <w:jc w:val="center"/>
        </w:trPr>
        <w:tc>
          <w:tcPr>
            <w:tcW w:w="1789" w:type="pct"/>
            <w:noWrap w:val="0"/>
            <w:vAlign w:val="center"/>
          </w:tcPr>
          <w:p w14:paraId="25646A89">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lang w:val="en-US" w:eastAsia="zh-CN"/>
              </w:rPr>
              <w:t>SO</w:t>
            </w:r>
            <w:r>
              <w:rPr>
                <w:rFonts w:hint="default" w:ascii="Times New Roman" w:hAnsi="Times New Roman" w:cs="Times New Roman" w:eastAsiaTheme="majorEastAsia"/>
                <w:color w:val="auto"/>
                <w:sz w:val="21"/>
                <w:highlight w:val="none"/>
                <w:vertAlign w:val="subscript"/>
                <w:lang w:val="en-US" w:eastAsia="zh-CN"/>
              </w:rPr>
              <w:t>4</w:t>
            </w:r>
            <w:r>
              <w:rPr>
                <w:rFonts w:hint="default" w:ascii="Times New Roman" w:hAnsi="Times New Roman" w:cs="Times New Roman" w:eastAsiaTheme="majorEastAsia"/>
                <w:color w:val="auto"/>
                <w:sz w:val="21"/>
                <w:highlight w:val="none"/>
                <w:vertAlign w:val="superscript"/>
                <w:lang w:val="en-US" w:eastAsia="zh-CN"/>
              </w:rPr>
              <w:t>2-</w:t>
            </w:r>
            <w:r>
              <w:rPr>
                <w:rFonts w:hint="default" w:ascii="Times New Roman" w:hAnsi="Times New Roman" w:cs="Times New Roman" w:eastAsiaTheme="majorEastAsia"/>
                <w:color w:val="auto"/>
                <w:sz w:val="21"/>
                <w:highlight w:val="none"/>
              </w:rPr>
              <w:t>（mg/L）</w:t>
            </w:r>
          </w:p>
        </w:tc>
        <w:tc>
          <w:tcPr>
            <w:tcW w:w="995" w:type="pct"/>
            <w:noWrap w:val="0"/>
            <w:vAlign w:val="center"/>
          </w:tcPr>
          <w:p w14:paraId="63DAE2B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7.36</w:t>
            </w:r>
          </w:p>
        </w:tc>
        <w:tc>
          <w:tcPr>
            <w:tcW w:w="1526" w:type="pct"/>
            <w:noWrap w:val="0"/>
            <w:vAlign w:val="center"/>
          </w:tcPr>
          <w:p w14:paraId="0193152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val="0"/>
                <w:color w:val="auto"/>
                <w:sz w:val="21"/>
                <w:szCs w:val="21"/>
                <w:highlight w:val="none"/>
                <w:lang w:val="en-US" w:eastAsia="zh-CN"/>
              </w:rPr>
              <w:t>7.11</w:t>
            </w:r>
          </w:p>
        </w:tc>
        <w:tc>
          <w:tcPr>
            <w:tcW w:w="689" w:type="pct"/>
            <w:noWrap w:val="0"/>
            <w:vAlign w:val="center"/>
          </w:tcPr>
          <w:p w14:paraId="6FCDAAC3">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7.235</w:t>
            </w:r>
          </w:p>
        </w:tc>
      </w:tr>
      <w:tr w14:paraId="70675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noWrap w:val="0"/>
            <w:vAlign w:val="center"/>
          </w:tcPr>
          <w:p w14:paraId="042FC33D">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color w:val="auto"/>
                <w:highlight w:val="none"/>
              </w:rPr>
              <w:t>阴阳离子平衡计算结果%</w:t>
            </w:r>
          </w:p>
        </w:tc>
        <w:tc>
          <w:tcPr>
            <w:tcW w:w="3210" w:type="pct"/>
            <w:gridSpan w:val="3"/>
            <w:noWrap w:val="0"/>
            <w:vAlign w:val="center"/>
          </w:tcPr>
          <w:p w14:paraId="0DBF03AC">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3.</w:t>
            </w:r>
            <w:r>
              <w:rPr>
                <w:rFonts w:hint="eastAsia" w:ascii="Times New Roman" w:hAnsi="Times New Roman" w:cs="Times New Roman" w:eastAsiaTheme="majorEastAsia"/>
                <w:b w:val="0"/>
                <w:bCs/>
                <w:color w:val="auto"/>
                <w:highlight w:val="none"/>
                <w:lang w:val="en-US" w:eastAsia="zh-CN"/>
              </w:rPr>
              <w:t>4</w:t>
            </w:r>
          </w:p>
        </w:tc>
      </w:tr>
      <w:tr w14:paraId="0844E0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6" w:hRule="atLeast"/>
          <w:jc w:val="center"/>
        </w:trPr>
        <w:tc>
          <w:tcPr>
            <w:tcW w:w="1789" w:type="pct"/>
            <w:vMerge w:val="restart"/>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67B170E6">
            <w:pPr>
              <w:pStyle w:val="88"/>
              <w:keepNext w:val="0"/>
              <w:keepLines w:val="0"/>
              <w:pageBreakBefore w:val="0"/>
              <w:widowControl w:val="0"/>
              <w:kinsoku/>
              <w:overflowPunct/>
              <w:topLinePunct w:val="0"/>
              <w:autoSpaceDE/>
              <w:autoSpaceDN/>
              <w:bidi w:val="0"/>
              <w:spacing w:line="240" w:lineRule="auto"/>
              <w:ind w:firstLine="0" w:firstLineChars="0"/>
              <w:jc w:val="both"/>
              <w:textAlignment w:val="auto"/>
              <w:rPr>
                <w:rFonts w:hint="default" w:ascii="Times New Roman" w:hAnsi="Times New Roman" w:cs="Times New Roman" w:eastAsiaTheme="majorEastAsia"/>
                <w:b w:val="0"/>
                <w:bCs/>
                <w:color w:val="auto"/>
                <w:highlight w:val="none"/>
              </w:rPr>
            </w:pPr>
          </w:p>
          <w:p w14:paraId="38BFFC07">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mc:AlternateContent>
                <mc:Choice Requires="wpsCustomData">
                  <wpsCustomData:diagonalParaType/>
                </mc:Choice>
              </mc:AlternateContent>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color w:val="auto"/>
                <w:highlight w:val="none"/>
              </w:rPr>
              <w:t>监测项目</w:t>
            </w:r>
          </w:p>
          <w:p w14:paraId="57F58B56">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color w:val="auto"/>
                <w:highlight w:val="none"/>
              </w:rPr>
              <w:t>监测点位</w:t>
            </w:r>
          </w:p>
        </w:tc>
        <w:tc>
          <w:tcPr>
            <w:tcW w:w="3210" w:type="pct"/>
            <w:gridSpan w:val="3"/>
            <w:noWrap w:val="0"/>
            <w:vAlign w:val="center"/>
          </w:tcPr>
          <w:p w14:paraId="45BB9A1A">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rPr>
            </w:pPr>
            <w:r>
              <w:rPr>
                <w:rFonts w:hint="default" w:ascii="Times New Roman" w:hAnsi="Times New Roman" w:cs="Times New Roman" w:eastAsiaTheme="majorEastAsia"/>
                <w:b/>
                <w:bCs/>
                <w:color w:val="auto"/>
                <w:sz w:val="21"/>
                <w:highlight w:val="none"/>
                <w:lang w:val="en-US" w:eastAsia="zh-CN"/>
              </w:rPr>
              <w:t>D2</w:t>
            </w:r>
          </w:p>
        </w:tc>
      </w:tr>
      <w:tr w14:paraId="0CCAD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9" w:type="pct"/>
            <w:vMerge w:val="continue"/>
            <w:noWrap w:val="0"/>
            <w:vAlign w:val="center"/>
          </w:tcPr>
          <w:p w14:paraId="49C9BA38">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rPr>
            </w:pPr>
          </w:p>
        </w:tc>
        <w:tc>
          <w:tcPr>
            <w:tcW w:w="995" w:type="pct"/>
            <w:noWrap w:val="0"/>
            <w:vAlign w:val="center"/>
          </w:tcPr>
          <w:p w14:paraId="2CFA04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W25071707DX-4-1-1</w:t>
            </w:r>
          </w:p>
        </w:tc>
        <w:tc>
          <w:tcPr>
            <w:tcW w:w="1526" w:type="pct"/>
            <w:noWrap w:val="0"/>
            <w:vAlign w:val="center"/>
          </w:tcPr>
          <w:p w14:paraId="19B2316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W25071707DX-4-2-1</w:t>
            </w:r>
          </w:p>
        </w:tc>
        <w:tc>
          <w:tcPr>
            <w:tcW w:w="689" w:type="pct"/>
            <w:noWrap w:val="0"/>
            <w:vAlign w:val="center"/>
          </w:tcPr>
          <w:p w14:paraId="7B0C38F5">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color w:val="auto"/>
                <w:highlight w:val="none"/>
              </w:rPr>
              <w:t>平均值</w:t>
            </w:r>
          </w:p>
        </w:tc>
      </w:tr>
      <w:tr w14:paraId="524A2C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noWrap w:val="0"/>
            <w:vAlign w:val="center"/>
          </w:tcPr>
          <w:p w14:paraId="451F43D0">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rPr>
              <w:t>K</w:t>
            </w:r>
            <w:r>
              <w:rPr>
                <w:rFonts w:hint="default" w:ascii="Times New Roman" w:hAnsi="Times New Roman" w:cs="Times New Roman" w:eastAsiaTheme="majorEastAsia"/>
                <w:color w:val="auto"/>
                <w:sz w:val="21"/>
                <w:highlight w:val="none"/>
                <w:vertAlign w:val="superscript"/>
              </w:rPr>
              <w:t>+</w:t>
            </w:r>
            <w:r>
              <w:rPr>
                <w:rFonts w:hint="default" w:ascii="Times New Roman" w:hAnsi="Times New Roman" w:cs="Times New Roman" w:eastAsiaTheme="majorEastAsia"/>
                <w:color w:val="auto"/>
                <w:sz w:val="21"/>
                <w:highlight w:val="none"/>
              </w:rPr>
              <w:t>（mg/L）</w:t>
            </w:r>
          </w:p>
        </w:tc>
        <w:tc>
          <w:tcPr>
            <w:tcW w:w="995" w:type="pct"/>
            <w:noWrap w:val="0"/>
            <w:vAlign w:val="center"/>
          </w:tcPr>
          <w:p w14:paraId="150ED13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2.84</w:t>
            </w:r>
          </w:p>
        </w:tc>
        <w:tc>
          <w:tcPr>
            <w:tcW w:w="1526" w:type="pct"/>
            <w:noWrap w:val="0"/>
            <w:vAlign w:val="center"/>
          </w:tcPr>
          <w:p w14:paraId="5455B54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2.83</w:t>
            </w:r>
          </w:p>
        </w:tc>
        <w:tc>
          <w:tcPr>
            <w:tcW w:w="689" w:type="pct"/>
            <w:noWrap w:val="0"/>
            <w:vAlign w:val="center"/>
          </w:tcPr>
          <w:p w14:paraId="2C9F7067">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2.835</w:t>
            </w:r>
          </w:p>
        </w:tc>
      </w:tr>
      <w:tr w14:paraId="711C6E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noWrap w:val="0"/>
            <w:vAlign w:val="center"/>
          </w:tcPr>
          <w:p w14:paraId="4B387DB9">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rPr>
              <w:t>Na</w:t>
            </w:r>
            <w:r>
              <w:rPr>
                <w:rFonts w:hint="default" w:ascii="Times New Roman" w:hAnsi="Times New Roman" w:cs="Times New Roman" w:eastAsiaTheme="majorEastAsia"/>
                <w:color w:val="auto"/>
                <w:sz w:val="21"/>
                <w:highlight w:val="none"/>
                <w:vertAlign w:val="superscript"/>
              </w:rPr>
              <w:t>+</w:t>
            </w:r>
            <w:r>
              <w:rPr>
                <w:rFonts w:hint="default" w:ascii="Times New Roman" w:hAnsi="Times New Roman" w:cs="Times New Roman" w:eastAsiaTheme="majorEastAsia"/>
                <w:color w:val="auto"/>
                <w:sz w:val="21"/>
                <w:highlight w:val="none"/>
              </w:rPr>
              <w:t>（mg/L）</w:t>
            </w:r>
          </w:p>
        </w:tc>
        <w:tc>
          <w:tcPr>
            <w:tcW w:w="995" w:type="pct"/>
            <w:noWrap w:val="0"/>
            <w:vAlign w:val="center"/>
          </w:tcPr>
          <w:p w14:paraId="5FE09E0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28.7</w:t>
            </w:r>
          </w:p>
        </w:tc>
        <w:tc>
          <w:tcPr>
            <w:tcW w:w="1526" w:type="pct"/>
            <w:noWrap w:val="0"/>
            <w:vAlign w:val="center"/>
          </w:tcPr>
          <w:p w14:paraId="7202EB3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27.5</w:t>
            </w:r>
          </w:p>
        </w:tc>
        <w:tc>
          <w:tcPr>
            <w:tcW w:w="689" w:type="pct"/>
            <w:noWrap w:val="0"/>
            <w:vAlign w:val="center"/>
          </w:tcPr>
          <w:p w14:paraId="561263DE">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28.1</w:t>
            </w:r>
          </w:p>
        </w:tc>
      </w:tr>
      <w:tr w14:paraId="3D4DB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noWrap w:val="0"/>
            <w:vAlign w:val="center"/>
          </w:tcPr>
          <w:p w14:paraId="3357C7C7">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rPr>
              <w:t>Ca</w:t>
            </w:r>
            <w:r>
              <w:rPr>
                <w:rFonts w:hint="default" w:ascii="Times New Roman" w:hAnsi="Times New Roman" w:cs="Times New Roman" w:eastAsiaTheme="majorEastAsia"/>
                <w:color w:val="auto"/>
                <w:sz w:val="21"/>
                <w:highlight w:val="none"/>
                <w:vertAlign w:val="superscript"/>
              </w:rPr>
              <w:t>2+</w:t>
            </w:r>
            <w:r>
              <w:rPr>
                <w:rFonts w:hint="default" w:ascii="Times New Roman" w:hAnsi="Times New Roman" w:cs="Times New Roman" w:eastAsiaTheme="majorEastAsia"/>
                <w:color w:val="auto"/>
                <w:sz w:val="21"/>
                <w:highlight w:val="none"/>
              </w:rPr>
              <w:t>（mg/L）</w:t>
            </w:r>
          </w:p>
        </w:tc>
        <w:tc>
          <w:tcPr>
            <w:tcW w:w="995" w:type="pct"/>
            <w:noWrap w:val="0"/>
            <w:vAlign w:val="center"/>
          </w:tcPr>
          <w:p w14:paraId="699559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57.6</w:t>
            </w:r>
          </w:p>
        </w:tc>
        <w:tc>
          <w:tcPr>
            <w:tcW w:w="1526" w:type="pct"/>
            <w:noWrap w:val="0"/>
            <w:vAlign w:val="center"/>
          </w:tcPr>
          <w:p w14:paraId="2F13308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57.0</w:t>
            </w:r>
          </w:p>
        </w:tc>
        <w:tc>
          <w:tcPr>
            <w:tcW w:w="689" w:type="pct"/>
            <w:noWrap w:val="0"/>
            <w:vAlign w:val="center"/>
          </w:tcPr>
          <w:p w14:paraId="070C4D1A">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57.3</w:t>
            </w:r>
          </w:p>
        </w:tc>
      </w:tr>
      <w:tr w14:paraId="1A60A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noWrap w:val="0"/>
            <w:vAlign w:val="center"/>
          </w:tcPr>
          <w:p w14:paraId="1FAAF7F7">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rPr>
              <w:t>Mg</w:t>
            </w:r>
            <w:r>
              <w:rPr>
                <w:rFonts w:hint="default" w:ascii="Times New Roman" w:hAnsi="Times New Roman" w:cs="Times New Roman" w:eastAsiaTheme="majorEastAsia"/>
                <w:color w:val="auto"/>
                <w:sz w:val="21"/>
                <w:highlight w:val="none"/>
                <w:vertAlign w:val="superscript"/>
              </w:rPr>
              <w:t>2+</w:t>
            </w:r>
            <w:r>
              <w:rPr>
                <w:rFonts w:hint="default" w:ascii="Times New Roman" w:hAnsi="Times New Roman" w:cs="Times New Roman" w:eastAsiaTheme="majorEastAsia"/>
                <w:color w:val="auto"/>
                <w:sz w:val="21"/>
                <w:highlight w:val="none"/>
              </w:rPr>
              <w:t>（mg/L）</w:t>
            </w:r>
          </w:p>
        </w:tc>
        <w:tc>
          <w:tcPr>
            <w:tcW w:w="995" w:type="pct"/>
            <w:noWrap w:val="0"/>
            <w:vAlign w:val="center"/>
          </w:tcPr>
          <w:p w14:paraId="35EC2C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7.85</w:t>
            </w:r>
          </w:p>
        </w:tc>
        <w:tc>
          <w:tcPr>
            <w:tcW w:w="1526" w:type="pct"/>
            <w:noWrap w:val="0"/>
            <w:vAlign w:val="center"/>
          </w:tcPr>
          <w:p w14:paraId="085A80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7.50</w:t>
            </w:r>
          </w:p>
        </w:tc>
        <w:tc>
          <w:tcPr>
            <w:tcW w:w="689" w:type="pct"/>
            <w:noWrap w:val="0"/>
            <w:vAlign w:val="center"/>
          </w:tcPr>
          <w:p w14:paraId="25D75FE9">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7.675</w:t>
            </w:r>
          </w:p>
        </w:tc>
      </w:tr>
      <w:tr w14:paraId="4332FC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noWrap w:val="0"/>
            <w:vAlign w:val="center"/>
          </w:tcPr>
          <w:p w14:paraId="74CD541A">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rPr>
              <w:t>CO</w:t>
            </w:r>
            <w:r>
              <w:rPr>
                <w:rFonts w:hint="default" w:ascii="Times New Roman" w:hAnsi="Times New Roman" w:cs="Times New Roman" w:eastAsiaTheme="majorEastAsia"/>
                <w:color w:val="auto"/>
                <w:sz w:val="21"/>
                <w:highlight w:val="none"/>
                <w:vertAlign w:val="subscript"/>
              </w:rPr>
              <w:t>3</w:t>
            </w:r>
            <w:r>
              <w:rPr>
                <w:rFonts w:hint="default" w:ascii="Times New Roman" w:hAnsi="Times New Roman" w:cs="Times New Roman" w:eastAsiaTheme="majorEastAsia"/>
                <w:color w:val="auto"/>
                <w:sz w:val="21"/>
                <w:highlight w:val="none"/>
                <w:vertAlign w:val="superscript"/>
              </w:rPr>
              <w:t>2-</w:t>
            </w:r>
            <w:r>
              <w:rPr>
                <w:rFonts w:hint="default" w:ascii="Times New Roman" w:hAnsi="Times New Roman" w:cs="Times New Roman" w:eastAsiaTheme="majorEastAsia"/>
                <w:color w:val="auto"/>
                <w:sz w:val="21"/>
                <w:highlight w:val="none"/>
              </w:rPr>
              <w:t>（mg/L）</w:t>
            </w:r>
          </w:p>
        </w:tc>
        <w:tc>
          <w:tcPr>
            <w:tcW w:w="995" w:type="pct"/>
            <w:noWrap w:val="0"/>
            <w:vAlign w:val="center"/>
          </w:tcPr>
          <w:p w14:paraId="4F3D906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5</w:t>
            </w:r>
          </w:p>
        </w:tc>
        <w:tc>
          <w:tcPr>
            <w:tcW w:w="1526" w:type="pct"/>
            <w:noWrap w:val="0"/>
            <w:vAlign w:val="center"/>
          </w:tcPr>
          <w:p w14:paraId="32B9D36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5</w:t>
            </w:r>
          </w:p>
        </w:tc>
        <w:tc>
          <w:tcPr>
            <w:tcW w:w="689" w:type="pct"/>
            <w:noWrap w:val="0"/>
            <w:vAlign w:val="center"/>
          </w:tcPr>
          <w:p w14:paraId="2A54F412">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5</w:t>
            </w:r>
          </w:p>
        </w:tc>
      </w:tr>
      <w:tr w14:paraId="1179FD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noWrap w:val="0"/>
            <w:vAlign w:val="center"/>
          </w:tcPr>
          <w:p w14:paraId="6AB349C6">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rPr>
              <w:t>HCO</w:t>
            </w:r>
            <w:r>
              <w:rPr>
                <w:rFonts w:hint="default" w:ascii="Times New Roman" w:hAnsi="Times New Roman" w:cs="Times New Roman" w:eastAsiaTheme="majorEastAsia"/>
                <w:color w:val="auto"/>
                <w:sz w:val="21"/>
                <w:highlight w:val="none"/>
                <w:vertAlign w:val="subscript"/>
              </w:rPr>
              <w:t>3</w:t>
            </w:r>
            <w:r>
              <w:rPr>
                <w:rFonts w:hint="default" w:ascii="Times New Roman" w:hAnsi="Times New Roman" w:cs="Times New Roman" w:eastAsiaTheme="majorEastAsia"/>
                <w:color w:val="auto"/>
                <w:sz w:val="21"/>
                <w:highlight w:val="none"/>
                <w:vertAlign w:val="superscript"/>
                <w:lang w:val="en-US" w:eastAsia="zh-CN"/>
              </w:rPr>
              <w:t>-</w:t>
            </w:r>
            <w:r>
              <w:rPr>
                <w:rFonts w:hint="default" w:ascii="Times New Roman" w:hAnsi="Times New Roman" w:cs="Times New Roman" w:eastAsiaTheme="majorEastAsia"/>
                <w:color w:val="auto"/>
                <w:sz w:val="21"/>
                <w:highlight w:val="none"/>
              </w:rPr>
              <w:t>（mg/L）</w:t>
            </w:r>
          </w:p>
        </w:tc>
        <w:tc>
          <w:tcPr>
            <w:tcW w:w="995" w:type="pct"/>
            <w:noWrap w:val="0"/>
            <w:vAlign w:val="center"/>
          </w:tcPr>
          <w:p w14:paraId="6FCD4B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262</w:t>
            </w:r>
          </w:p>
        </w:tc>
        <w:tc>
          <w:tcPr>
            <w:tcW w:w="1526" w:type="pct"/>
            <w:noWrap w:val="0"/>
            <w:vAlign w:val="center"/>
          </w:tcPr>
          <w:p w14:paraId="22AFF07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254</w:t>
            </w:r>
          </w:p>
        </w:tc>
        <w:tc>
          <w:tcPr>
            <w:tcW w:w="689" w:type="pct"/>
            <w:noWrap w:val="0"/>
            <w:vAlign w:val="center"/>
          </w:tcPr>
          <w:p w14:paraId="016D1CCC">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258</w:t>
            </w:r>
          </w:p>
        </w:tc>
      </w:tr>
      <w:tr w14:paraId="0E1CDF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noWrap w:val="0"/>
            <w:vAlign w:val="center"/>
          </w:tcPr>
          <w:p w14:paraId="0D28BB8D">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lang w:val="en-US" w:eastAsia="zh-CN"/>
              </w:rPr>
              <w:t>Cl</w:t>
            </w:r>
            <w:r>
              <w:rPr>
                <w:rFonts w:hint="default" w:ascii="Times New Roman" w:hAnsi="Times New Roman" w:cs="Times New Roman" w:eastAsiaTheme="majorEastAsia"/>
                <w:color w:val="auto"/>
                <w:sz w:val="21"/>
                <w:highlight w:val="none"/>
                <w:vertAlign w:val="superscript"/>
                <w:lang w:val="en-US" w:eastAsia="zh-CN"/>
              </w:rPr>
              <w:t>-</w:t>
            </w:r>
            <w:r>
              <w:rPr>
                <w:rFonts w:hint="default" w:ascii="Times New Roman" w:hAnsi="Times New Roman" w:cs="Times New Roman" w:eastAsiaTheme="majorEastAsia"/>
                <w:color w:val="auto"/>
                <w:sz w:val="21"/>
                <w:highlight w:val="none"/>
              </w:rPr>
              <w:t>（mg/L）</w:t>
            </w:r>
          </w:p>
        </w:tc>
        <w:tc>
          <w:tcPr>
            <w:tcW w:w="995" w:type="pct"/>
            <w:noWrap w:val="0"/>
            <w:vAlign w:val="center"/>
          </w:tcPr>
          <w:p w14:paraId="684933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23.7</w:t>
            </w:r>
          </w:p>
        </w:tc>
        <w:tc>
          <w:tcPr>
            <w:tcW w:w="1526" w:type="pct"/>
            <w:noWrap w:val="0"/>
            <w:vAlign w:val="center"/>
          </w:tcPr>
          <w:p w14:paraId="2C31E3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23.2</w:t>
            </w:r>
          </w:p>
        </w:tc>
        <w:tc>
          <w:tcPr>
            <w:tcW w:w="689" w:type="pct"/>
            <w:noWrap w:val="0"/>
            <w:vAlign w:val="center"/>
          </w:tcPr>
          <w:p w14:paraId="7024A699">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23.45</w:t>
            </w:r>
          </w:p>
        </w:tc>
      </w:tr>
      <w:tr w14:paraId="4AA2F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noWrap w:val="0"/>
            <w:vAlign w:val="center"/>
          </w:tcPr>
          <w:p w14:paraId="2FC3FB94">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lang w:val="en-US" w:eastAsia="zh-CN"/>
              </w:rPr>
              <w:t>SO</w:t>
            </w:r>
            <w:r>
              <w:rPr>
                <w:rFonts w:hint="default" w:ascii="Times New Roman" w:hAnsi="Times New Roman" w:cs="Times New Roman" w:eastAsiaTheme="majorEastAsia"/>
                <w:color w:val="auto"/>
                <w:sz w:val="21"/>
                <w:highlight w:val="none"/>
                <w:vertAlign w:val="subscript"/>
                <w:lang w:val="en-US" w:eastAsia="zh-CN"/>
              </w:rPr>
              <w:t>4</w:t>
            </w:r>
            <w:r>
              <w:rPr>
                <w:rFonts w:hint="default" w:ascii="Times New Roman" w:hAnsi="Times New Roman" w:cs="Times New Roman" w:eastAsiaTheme="majorEastAsia"/>
                <w:color w:val="auto"/>
                <w:sz w:val="21"/>
                <w:highlight w:val="none"/>
                <w:vertAlign w:val="superscript"/>
                <w:lang w:val="en-US" w:eastAsia="zh-CN"/>
              </w:rPr>
              <w:t>2-</w:t>
            </w:r>
            <w:r>
              <w:rPr>
                <w:rFonts w:hint="default" w:ascii="Times New Roman" w:hAnsi="Times New Roman" w:cs="Times New Roman" w:eastAsiaTheme="majorEastAsia"/>
                <w:color w:val="auto"/>
                <w:sz w:val="21"/>
                <w:highlight w:val="none"/>
              </w:rPr>
              <w:t>（mg/L）</w:t>
            </w:r>
          </w:p>
        </w:tc>
        <w:tc>
          <w:tcPr>
            <w:tcW w:w="995" w:type="pct"/>
            <w:noWrap w:val="0"/>
            <w:vAlign w:val="center"/>
          </w:tcPr>
          <w:p w14:paraId="6CF162A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6.27</w:t>
            </w:r>
          </w:p>
        </w:tc>
        <w:tc>
          <w:tcPr>
            <w:tcW w:w="1526" w:type="pct"/>
            <w:noWrap w:val="0"/>
            <w:vAlign w:val="center"/>
          </w:tcPr>
          <w:p w14:paraId="2A073C2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6.43</w:t>
            </w:r>
          </w:p>
        </w:tc>
        <w:tc>
          <w:tcPr>
            <w:tcW w:w="689" w:type="pct"/>
            <w:noWrap w:val="0"/>
            <w:vAlign w:val="center"/>
          </w:tcPr>
          <w:p w14:paraId="11C97B33">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6.35</w:t>
            </w:r>
          </w:p>
        </w:tc>
      </w:tr>
      <w:tr w14:paraId="0E3E5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noWrap w:val="0"/>
            <w:vAlign w:val="center"/>
          </w:tcPr>
          <w:p w14:paraId="45FC48FC">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color w:val="auto"/>
                <w:highlight w:val="none"/>
              </w:rPr>
              <w:t>阴阳离子平衡计算结果%</w:t>
            </w:r>
          </w:p>
        </w:tc>
        <w:tc>
          <w:tcPr>
            <w:tcW w:w="3210" w:type="pct"/>
            <w:gridSpan w:val="3"/>
            <w:noWrap w:val="0"/>
            <w:vAlign w:val="center"/>
          </w:tcPr>
          <w:p w14:paraId="655C8C67">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eastAsia" w:ascii="Times New Roman" w:hAnsi="Times New Roman" w:cs="Times New Roman" w:eastAsiaTheme="majorEastAsia"/>
                <w:b w:val="0"/>
                <w:bCs/>
                <w:color w:val="auto"/>
                <w:highlight w:val="none"/>
                <w:lang w:val="en-US" w:eastAsia="zh-CN"/>
              </w:rPr>
              <w:t>4.1</w:t>
            </w:r>
          </w:p>
        </w:tc>
      </w:tr>
      <w:tr w14:paraId="78D016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jc w:val="center"/>
        </w:trPr>
        <w:tc>
          <w:tcPr>
            <w:tcW w:w="1789" w:type="pct"/>
            <w:vMerge w:val="restart"/>
            <w:noWrap w:val="0"/>
            <w:vAlign w:val="center"/>
            <mc:AlternateContent>
              <mc:Choice Requires="wpsCustomData">
                <wpsCustomData:diagonals>
                  <wpsCustomData:diagonal from="10000" to="27700">
                    <wpsCustomData:border w:val="single" w:color="auto" w:sz="4" w:space="0"/>
                  </wpsCustomData:diagonal>
                </wpsCustomData:diagonals>
              </mc:Choice>
            </mc:AlternateContent>
          </w:tcPr>
          <w:p w14:paraId="42D61D20">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rPr>
            </w:pPr>
          </w:p>
          <w:p w14:paraId="4C414AC0">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mc:AlternateContent>
                <mc:Choice Requires="wpsCustomData">
                  <wpsCustomData:diagonalParaType/>
                </mc:Choice>
              </mc:AlternateContent>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color w:val="auto"/>
                <w:highlight w:val="none"/>
              </w:rPr>
              <w:t>监测项目</w:t>
            </w:r>
          </w:p>
          <w:p w14:paraId="68DD0D97">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color w:val="auto"/>
                <w:highlight w:val="none"/>
              </w:rPr>
              <w:t>监测点位</w:t>
            </w:r>
          </w:p>
        </w:tc>
        <w:tc>
          <w:tcPr>
            <w:tcW w:w="3210" w:type="pct"/>
            <w:gridSpan w:val="3"/>
            <w:noWrap w:val="0"/>
            <w:vAlign w:val="center"/>
          </w:tcPr>
          <w:p w14:paraId="72190D78">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rPr>
            </w:pPr>
            <w:r>
              <w:rPr>
                <w:rFonts w:hint="default" w:ascii="Times New Roman" w:hAnsi="Times New Roman" w:cs="Times New Roman" w:eastAsiaTheme="majorEastAsia"/>
                <w:b/>
                <w:bCs/>
                <w:color w:val="auto"/>
                <w:sz w:val="21"/>
                <w:highlight w:val="none"/>
                <w:lang w:val="en-US" w:eastAsia="zh-CN"/>
              </w:rPr>
              <w:t>D3</w:t>
            </w:r>
          </w:p>
        </w:tc>
      </w:tr>
      <w:tr w14:paraId="72CEEC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vMerge w:val="continue"/>
            <w:noWrap w:val="0"/>
            <w:vAlign w:val="center"/>
          </w:tcPr>
          <w:p w14:paraId="0BB1B9F0">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rPr>
            </w:pPr>
          </w:p>
        </w:tc>
        <w:tc>
          <w:tcPr>
            <w:tcW w:w="995" w:type="pct"/>
            <w:noWrap w:val="0"/>
            <w:vAlign w:val="center"/>
          </w:tcPr>
          <w:p w14:paraId="6A423CE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val="0"/>
                <w:color w:val="auto"/>
                <w:sz w:val="21"/>
                <w:szCs w:val="21"/>
                <w:highlight w:val="none"/>
                <w:lang w:val="en-US" w:eastAsia="zh-CN"/>
              </w:rPr>
              <w:t>W25071707DX-2-1-1</w:t>
            </w:r>
          </w:p>
        </w:tc>
        <w:tc>
          <w:tcPr>
            <w:tcW w:w="1526" w:type="pct"/>
            <w:noWrap w:val="0"/>
            <w:vAlign w:val="center"/>
          </w:tcPr>
          <w:p w14:paraId="13E5B0A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val="0"/>
                <w:color w:val="auto"/>
                <w:sz w:val="21"/>
                <w:szCs w:val="21"/>
                <w:highlight w:val="none"/>
                <w:lang w:val="en-US" w:eastAsia="zh-CN"/>
              </w:rPr>
              <w:t>W25071707DX-2-2-1</w:t>
            </w:r>
          </w:p>
        </w:tc>
        <w:tc>
          <w:tcPr>
            <w:tcW w:w="689" w:type="pct"/>
            <w:noWrap w:val="0"/>
            <w:vAlign w:val="center"/>
          </w:tcPr>
          <w:p w14:paraId="3A879EB5">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平均值</w:t>
            </w:r>
          </w:p>
        </w:tc>
      </w:tr>
      <w:tr w14:paraId="723BEA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noWrap w:val="0"/>
            <w:vAlign w:val="center"/>
          </w:tcPr>
          <w:p w14:paraId="10CD6690">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rPr>
              <w:t>K</w:t>
            </w:r>
            <w:r>
              <w:rPr>
                <w:rFonts w:hint="default" w:ascii="Times New Roman" w:hAnsi="Times New Roman" w:cs="Times New Roman" w:eastAsiaTheme="majorEastAsia"/>
                <w:color w:val="auto"/>
                <w:sz w:val="21"/>
                <w:highlight w:val="none"/>
                <w:vertAlign w:val="superscript"/>
              </w:rPr>
              <w:t>+</w:t>
            </w:r>
            <w:r>
              <w:rPr>
                <w:rFonts w:hint="default" w:ascii="Times New Roman" w:hAnsi="Times New Roman" w:cs="Times New Roman" w:eastAsiaTheme="majorEastAsia"/>
                <w:color w:val="auto"/>
                <w:sz w:val="21"/>
                <w:highlight w:val="none"/>
              </w:rPr>
              <w:t>（mg/L）</w:t>
            </w:r>
          </w:p>
        </w:tc>
        <w:tc>
          <w:tcPr>
            <w:tcW w:w="2819" w:type="dxa"/>
            <w:noWrap w:val="0"/>
            <w:vAlign w:val="center"/>
          </w:tcPr>
          <w:p w14:paraId="5B87843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val="0"/>
                <w:color w:val="auto"/>
                <w:sz w:val="21"/>
                <w:szCs w:val="21"/>
                <w:highlight w:val="none"/>
                <w:lang w:val="en-US" w:eastAsia="zh-CN"/>
              </w:rPr>
            </w:pPr>
            <w:r>
              <w:rPr>
                <w:rFonts w:hint="eastAsia" w:ascii="Times New Roman" w:hAnsi="Times New Roman" w:cs="Times New Roman" w:eastAsiaTheme="majorEastAsia"/>
                <w:b w:val="0"/>
                <w:bCs w:val="0"/>
                <w:color w:val="auto"/>
                <w:sz w:val="21"/>
                <w:szCs w:val="21"/>
                <w:highlight w:val="none"/>
                <w:lang w:val="en-US" w:eastAsia="zh-CN"/>
              </w:rPr>
              <w:t>0.89</w:t>
            </w:r>
          </w:p>
        </w:tc>
        <w:tc>
          <w:tcPr>
            <w:tcW w:w="4323" w:type="dxa"/>
            <w:noWrap w:val="0"/>
            <w:vAlign w:val="center"/>
          </w:tcPr>
          <w:p w14:paraId="4BCF83F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val="0"/>
                <w:color w:val="auto"/>
                <w:sz w:val="21"/>
                <w:szCs w:val="21"/>
                <w:highlight w:val="none"/>
                <w:lang w:val="en-US" w:eastAsia="zh-CN"/>
              </w:rPr>
            </w:pPr>
            <w:r>
              <w:rPr>
                <w:rFonts w:hint="eastAsia" w:ascii="Times New Roman" w:hAnsi="Times New Roman" w:cs="Times New Roman" w:eastAsiaTheme="majorEastAsia"/>
                <w:b w:val="0"/>
                <w:bCs w:val="0"/>
                <w:color w:val="auto"/>
                <w:sz w:val="21"/>
                <w:szCs w:val="21"/>
                <w:highlight w:val="none"/>
                <w:lang w:val="en-US" w:eastAsia="zh-CN"/>
              </w:rPr>
              <w:t>0.89</w:t>
            </w:r>
          </w:p>
        </w:tc>
        <w:tc>
          <w:tcPr>
            <w:tcW w:w="689" w:type="pct"/>
            <w:noWrap w:val="0"/>
            <w:vAlign w:val="center"/>
          </w:tcPr>
          <w:p w14:paraId="21896D03">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0.89</w:t>
            </w:r>
          </w:p>
        </w:tc>
      </w:tr>
      <w:tr w14:paraId="7AD74D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noWrap w:val="0"/>
            <w:vAlign w:val="center"/>
          </w:tcPr>
          <w:p w14:paraId="0EE93DF2">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rPr>
              <w:t>Na</w:t>
            </w:r>
            <w:r>
              <w:rPr>
                <w:rFonts w:hint="default" w:ascii="Times New Roman" w:hAnsi="Times New Roman" w:cs="Times New Roman" w:eastAsiaTheme="majorEastAsia"/>
                <w:color w:val="auto"/>
                <w:sz w:val="21"/>
                <w:highlight w:val="none"/>
                <w:vertAlign w:val="superscript"/>
              </w:rPr>
              <w:t>+</w:t>
            </w:r>
            <w:r>
              <w:rPr>
                <w:rFonts w:hint="default" w:ascii="Times New Roman" w:hAnsi="Times New Roman" w:cs="Times New Roman" w:eastAsiaTheme="majorEastAsia"/>
                <w:color w:val="auto"/>
                <w:sz w:val="21"/>
                <w:highlight w:val="none"/>
              </w:rPr>
              <w:t>（mg/L）</w:t>
            </w:r>
          </w:p>
        </w:tc>
        <w:tc>
          <w:tcPr>
            <w:tcW w:w="2819" w:type="dxa"/>
            <w:noWrap w:val="0"/>
            <w:vAlign w:val="center"/>
          </w:tcPr>
          <w:p w14:paraId="71E7FE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val="0"/>
                <w:color w:val="auto"/>
                <w:sz w:val="21"/>
                <w:szCs w:val="21"/>
                <w:highlight w:val="none"/>
                <w:lang w:val="en-US" w:eastAsia="zh-CN"/>
              </w:rPr>
            </w:pPr>
            <w:r>
              <w:rPr>
                <w:rFonts w:hint="eastAsia" w:ascii="Times New Roman" w:hAnsi="Times New Roman" w:cs="Times New Roman" w:eastAsiaTheme="majorEastAsia"/>
                <w:b w:val="0"/>
                <w:bCs w:val="0"/>
                <w:color w:val="auto"/>
                <w:sz w:val="21"/>
                <w:szCs w:val="21"/>
                <w:highlight w:val="none"/>
                <w:lang w:val="en-US" w:eastAsia="zh-CN"/>
              </w:rPr>
              <w:t>1.20</w:t>
            </w:r>
          </w:p>
        </w:tc>
        <w:tc>
          <w:tcPr>
            <w:tcW w:w="4323" w:type="dxa"/>
            <w:noWrap w:val="0"/>
            <w:vAlign w:val="center"/>
          </w:tcPr>
          <w:p w14:paraId="1AF0C84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val="0"/>
                <w:color w:val="auto"/>
                <w:sz w:val="21"/>
                <w:szCs w:val="21"/>
                <w:highlight w:val="none"/>
                <w:lang w:val="en-US" w:eastAsia="zh-CN"/>
              </w:rPr>
            </w:pPr>
            <w:r>
              <w:rPr>
                <w:rFonts w:hint="eastAsia" w:ascii="Times New Roman" w:hAnsi="Times New Roman" w:cs="Times New Roman" w:eastAsiaTheme="majorEastAsia"/>
                <w:b w:val="0"/>
                <w:bCs w:val="0"/>
                <w:color w:val="auto"/>
                <w:sz w:val="21"/>
                <w:szCs w:val="21"/>
                <w:highlight w:val="none"/>
                <w:lang w:val="en-US" w:eastAsia="zh-CN"/>
              </w:rPr>
              <w:t>1.19</w:t>
            </w:r>
          </w:p>
        </w:tc>
        <w:tc>
          <w:tcPr>
            <w:tcW w:w="689" w:type="pct"/>
            <w:noWrap w:val="0"/>
            <w:vAlign w:val="center"/>
          </w:tcPr>
          <w:p w14:paraId="4D082ADB">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1.195</w:t>
            </w:r>
          </w:p>
        </w:tc>
      </w:tr>
      <w:tr w14:paraId="02F46B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noWrap w:val="0"/>
            <w:vAlign w:val="center"/>
          </w:tcPr>
          <w:p w14:paraId="011CFF15">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rPr>
              <w:t>Ca</w:t>
            </w:r>
            <w:r>
              <w:rPr>
                <w:rFonts w:hint="default" w:ascii="Times New Roman" w:hAnsi="Times New Roman" w:cs="Times New Roman" w:eastAsiaTheme="majorEastAsia"/>
                <w:color w:val="auto"/>
                <w:sz w:val="21"/>
                <w:highlight w:val="none"/>
                <w:vertAlign w:val="superscript"/>
              </w:rPr>
              <w:t>2+</w:t>
            </w:r>
            <w:r>
              <w:rPr>
                <w:rFonts w:hint="default" w:ascii="Times New Roman" w:hAnsi="Times New Roman" w:cs="Times New Roman" w:eastAsiaTheme="majorEastAsia"/>
                <w:color w:val="auto"/>
                <w:sz w:val="21"/>
                <w:highlight w:val="none"/>
              </w:rPr>
              <w:t>（mg/L）</w:t>
            </w:r>
          </w:p>
        </w:tc>
        <w:tc>
          <w:tcPr>
            <w:tcW w:w="2819" w:type="dxa"/>
            <w:noWrap w:val="0"/>
            <w:vAlign w:val="center"/>
          </w:tcPr>
          <w:p w14:paraId="335C236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val="0"/>
                <w:color w:val="auto"/>
                <w:sz w:val="21"/>
                <w:szCs w:val="21"/>
                <w:highlight w:val="none"/>
                <w:lang w:val="en-US" w:eastAsia="zh-CN"/>
              </w:rPr>
            </w:pPr>
            <w:r>
              <w:rPr>
                <w:rFonts w:hint="eastAsia" w:ascii="Times New Roman" w:hAnsi="Times New Roman" w:cs="Times New Roman" w:eastAsiaTheme="majorEastAsia"/>
                <w:b w:val="0"/>
                <w:bCs w:val="0"/>
                <w:color w:val="auto"/>
                <w:sz w:val="21"/>
                <w:szCs w:val="21"/>
                <w:highlight w:val="none"/>
                <w:lang w:val="en-US" w:eastAsia="zh-CN"/>
              </w:rPr>
              <w:t>1.18</w:t>
            </w:r>
          </w:p>
        </w:tc>
        <w:tc>
          <w:tcPr>
            <w:tcW w:w="4323" w:type="dxa"/>
            <w:noWrap w:val="0"/>
            <w:vAlign w:val="center"/>
          </w:tcPr>
          <w:p w14:paraId="45C7029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val="0"/>
                <w:color w:val="auto"/>
                <w:sz w:val="21"/>
                <w:szCs w:val="21"/>
                <w:highlight w:val="none"/>
                <w:lang w:val="en-US" w:eastAsia="zh-CN"/>
              </w:rPr>
            </w:pPr>
            <w:r>
              <w:rPr>
                <w:rFonts w:hint="eastAsia" w:ascii="Times New Roman" w:hAnsi="Times New Roman" w:cs="Times New Roman" w:eastAsiaTheme="majorEastAsia"/>
                <w:b w:val="0"/>
                <w:bCs w:val="0"/>
                <w:color w:val="auto"/>
                <w:sz w:val="21"/>
                <w:szCs w:val="21"/>
                <w:highlight w:val="none"/>
                <w:lang w:val="en-US" w:eastAsia="zh-CN"/>
              </w:rPr>
              <w:t>1.17</w:t>
            </w:r>
          </w:p>
        </w:tc>
        <w:tc>
          <w:tcPr>
            <w:tcW w:w="689" w:type="pct"/>
            <w:noWrap w:val="0"/>
            <w:vAlign w:val="center"/>
          </w:tcPr>
          <w:p w14:paraId="0E1E39B4">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1.175</w:t>
            </w:r>
          </w:p>
        </w:tc>
      </w:tr>
      <w:tr w14:paraId="5E1DE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noWrap w:val="0"/>
            <w:vAlign w:val="center"/>
          </w:tcPr>
          <w:p w14:paraId="6D72F687">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rPr>
              <w:t>Mg</w:t>
            </w:r>
            <w:r>
              <w:rPr>
                <w:rFonts w:hint="default" w:ascii="Times New Roman" w:hAnsi="Times New Roman" w:cs="Times New Roman" w:eastAsiaTheme="majorEastAsia"/>
                <w:color w:val="auto"/>
                <w:sz w:val="21"/>
                <w:highlight w:val="none"/>
                <w:vertAlign w:val="superscript"/>
              </w:rPr>
              <w:t>2+</w:t>
            </w:r>
            <w:r>
              <w:rPr>
                <w:rFonts w:hint="default" w:ascii="Times New Roman" w:hAnsi="Times New Roman" w:cs="Times New Roman" w:eastAsiaTheme="majorEastAsia"/>
                <w:color w:val="auto"/>
                <w:sz w:val="21"/>
                <w:highlight w:val="none"/>
              </w:rPr>
              <w:t>（mg/L）</w:t>
            </w:r>
          </w:p>
        </w:tc>
        <w:tc>
          <w:tcPr>
            <w:tcW w:w="2819" w:type="dxa"/>
            <w:noWrap w:val="0"/>
            <w:vAlign w:val="center"/>
          </w:tcPr>
          <w:p w14:paraId="7BE8051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val="0"/>
                <w:color w:val="auto"/>
                <w:sz w:val="21"/>
                <w:szCs w:val="21"/>
                <w:highlight w:val="none"/>
                <w:lang w:val="en-US" w:eastAsia="zh-CN"/>
              </w:rPr>
            </w:pPr>
            <w:r>
              <w:rPr>
                <w:rFonts w:hint="eastAsia" w:ascii="Times New Roman" w:hAnsi="Times New Roman" w:cs="Times New Roman" w:eastAsiaTheme="majorEastAsia"/>
                <w:b w:val="0"/>
                <w:bCs w:val="0"/>
                <w:color w:val="auto"/>
                <w:sz w:val="21"/>
                <w:szCs w:val="21"/>
                <w:highlight w:val="none"/>
                <w:lang w:val="en-US" w:eastAsia="zh-CN"/>
              </w:rPr>
              <w:t>2.59</w:t>
            </w:r>
          </w:p>
        </w:tc>
        <w:tc>
          <w:tcPr>
            <w:tcW w:w="4323" w:type="dxa"/>
            <w:noWrap w:val="0"/>
            <w:vAlign w:val="center"/>
          </w:tcPr>
          <w:p w14:paraId="4E876D4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val="0"/>
                <w:color w:val="auto"/>
                <w:sz w:val="21"/>
                <w:szCs w:val="21"/>
                <w:highlight w:val="none"/>
                <w:lang w:val="en-US" w:eastAsia="zh-CN"/>
              </w:rPr>
            </w:pPr>
            <w:r>
              <w:rPr>
                <w:rFonts w:hint="eastAsia" w:ascii="Times New Roman" w:hAnsi="Times New Roman" w:cs="Times New Roman" w:eastAsiaTheme="majorEastAsia"/>
                <w:b w:val="0"/>
                <w:bCs w:val="0"/>
                <w:color w:val="auto"/>
                <w:sz w:val="21"/>
                <w:szCs w:val="21"/>
                <w:highlight w:val="none"/>
                <w:lang w:val="en-US" w:eastAsia="zh-CN"/>
              </w:rPr>
              <w:t>2.90</w:t>
            </w:r>
          </w:p>
        </w:tc>
        <w:tc>
          <w:tcPr>
            <w:tcW w:w="689" w:type="pct"/>
            <w:noWrap w:val="0"/>
            <w:vAlign w:val="center"/>
          </w:tcPr>
          <w:p w14:paraId="4A7B62EB">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2.745</w:t>
            </w:r>
          </w:p>
        </w:tc>
      </w:tr>
      <w:tr w14:paraId="05C5BF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noWrap w:val="0"/>
            <w:vAlign w:val="center"/>
          </w:tcPr>
          <w:p w14:paraId="54B7546E">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rPr>
              <w:t>CO</w:t>
            </w:r>
            <w:r>
              <w:rPr>
                <w:rFonts w:hint="default" w:ascii="Times New Roman" w:hAnsi="Times New Roman" w:cs="Times New Roman" w:eastAsiaTheme="majorEastAsia"/>
                <w:color w:val="auto"/>
                <w:sz w:val="21"/>
                <w:highlight w:val="none"/>
                <w:vertAlign w:val="subscript"/>
              </w:rPr>
              <w:t>3</w:t>
            </w:r>
            <w:r>
              <w:rPr>
                <w:rFonts w:hint="default" w:ascii="Times New Roman" w:hAnsi="Times New Roman" w:cs="Times New Roman" w:eastAsiaTheme="majorEastAsia"/>
                <w:color w:val="auto"/>
                <w:sz w:val="21"/>
                <w:highlight w:val="none"/>
                <w:vertAlign w:val="superscript"/>
              </w:rPr>
              <w:t>2-</w:t>
            </w:r>
            <w:r>
              <w:rPr>
                <w:rFonts w:hint="default" w:ascii="Times New Roman" w:hAnsi="Times New Roman" w:cs="Times New Roman" w:eastAsiaTheme="majorEastAsia"/>
                <w:color w:val="auto"/>
                <w:sz w:val="21"/>
                <w:highlight w:val="none"/>
              </w:rPr>
              <w:t>（mg/L）</w:t>
            </w:r>
          </w:p>
        </w:tc>
        <w:tc>
          <w:tcPr>
            <w:tcW w:w="2819" w:type="dxa"/>
            <w:noWrap w:val="0"/>
            <w:vAlign w:val="center"/>
          </w:tcPr>
          <w:p w14:paraId="0ED46EF7">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val="0"/>
                <w:color w:val="auto"/>
                <w:sz w:val="21"/>
                <w:szCs w:val="21"/>
                <w:highlight w:val="none"/>
                <w:lang w:val="en-US" w:eastAsia="zh-CN"/>
              </w:rPr>
            </w:pPr>
            <w:r>
              <w:rPr>
                <w:rFonts w:hint="eastAsia" w:ascii="Times New Roman" w:hAnsi="Times New Roman" w:cs="Times New Roman" w:eastAsiaTheme="majorEastAsia"/>
                <w:b w:val="0"/>
                <w:bCs w:val="0"/>
                <w:color w:val="auto"/>
                <w:sz w:val="21"/>
                <w:szCs w:val="21"/>
                <w:highlight w:val="none"/>
                <w:lang w:val="en-US" w:eastAsia="zh-CN"/>
              </w:rPr>
              <w:t>5L</w:t>
            </w:r>
          </w:p>
        </w:tc>
        <w:tc>
          <w:tcPr>
            <w:tcW w:w="4323" w:type="dxa"/>
            <w:noWrap w:val="0"/>
            <w:vAlign w:val="center"/>
          </w:tcPr>
          <w:p w14:paraId="363FA47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val="0"/>
                <w:color w:val="auto"/>
                <w:sz w:val="21"/>
                <w:szCs w:val="21"/>
                <w:highlight w:val="none"/>
                <w:lang w:val="en-US" w:eastAsia="zh-CN"/>
              </w:rPr>
            </w:pPr>
            <w:r>
              <w:rPr>
                <w:rFonts w:hint="eastAsia" w:ascii="Times New Roman" w:hAnsi="Times New Roman" w:cs="Times New Roman" w:eastAsiaTheme="majorEastAsia"/>
                <w:b w:val="0"/>
                <w:bCs w:val="0"/>
                <w:color w:val="auto"/>
                <w:sz w:val="21"/>
                <w:szCs w:val="21"/>
                <w:highlight w:val="none"/>
                <w:lang w:val="en-US" w:eastAsia="zh-CN"/>
              </w:rPr>
              <w:t>5L</w:t>
            </w:r>
          </w:p>
        </w:tc>
        <w:tc>
          <w:tcPr>
            <w:tcW w:w="689" w:type="pct"/>
            <w:noWrap w:val="0"/>
            <w:vAlign w:val="center"/>
          </w:tcPr>
          <w:p w14:paraId="70996D15">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eastAsia" w:cs="Times New Roman" w:eastAsiaTheme="majorEastAsia"/>
                <w:b w:val="0"/>
                <w:bCs/>
                <w:color w:val="auto"/>
                <w:highlight w:val="none"/>
                <w:lang w:val="en-US" w:eastAsia="zh-CN"/>
              </w:rPr>
              <w:t>2.5</w:t>
            </w:r>
          </w:p>
        </w:tc>
      </w:tr>
      <w:tr w14:paraId="4AD1CC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noWrap w:val="0"/>
            <w:vAlign w:val="center"/>
          </w:tcPr>
          <w:p w14:paraId="5D346E36">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rPr>
              <w:t>HCO</w:t>
            </w:r>
            <w:r>
              <w:rPr>
                <w:rFonts w:hint="default" w:ascii="Times New Roman" w:hAnsi="Times New Roman" w:cs="Times New Roman" w:eastAsiaTheme="majorEastAsia"/>
                <w:color w:val="auto"/>
                <w:sz w:val="21"/>
                <w:highlight w:val="none"/>
                <w:vertAlign w:val="subscript"/>
              </w:rPr>
              <w:t>3</w:t>
            </w:r>
            <w:r>
              <w:rPr>
                <w:rFonts w:hint="default" w:ascii="Times New Roman" w:hAnsi="Times New Roman" w:cs="Times New Roman" w:eastAsiaTheme="majorEastAsia"/>
                <w:color w:val="auto"/>
                <w:sz w:val="21"/>
                <w:highlight w:val="none"/>
                <w:vertAlign w:val="superscript"/>
                <w:lang w:val="en-US" w:eastAsia="zh-CN"/>
              </w:rPr>
              <w:t>-</w:t>
            </w:r>
            <w:r>
              <w:rPr>
                <w:rFonts w:hint="default" w:ascii="Times New Roman" w:hAnsi="Times New Roman" w:cs="Times New Roman" w:eastAsiaTheme="majorEastAsia"/>
                <w:color w:val="auto"/>
                <w:sz w:val="21"/>
                <w:highlight w:val="none"/>
              </w:rPr>
              <w:t>（mg/L）</w:t>
            </w:r>
          </w:p>
        </w:tc>
        <w:tc>
          <w:tcPr>
            <w:tcW w:w="2819" w:type="dxa"/>
            <w:noWrap w:val="0"/>
            <w:vAlign w:val="center"/>
          </w:tcPr>
          <w:p w14:paraId="3B31662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val="0"/>
                <w:color w:val="auto"/>
                <w:sz w:val="21"/>
                <w:szCs w:val="21"/>
                <w:highlight w:val="none"/>
                <w:lang w:val="en-US" w:eastAsia="zh-CN"/>
              </w:rPr>
            </w:pPr>
            <w:r>
              <w:rPr>
                <w:rFonts w:hint="eastAsia" w:ascii="Times New Roman" w:hAnsi="Times New Roman" w:cs="Times New Roman" w:eastAsiaTheme="majorEastAsia"/>
                <w:b w:val="0"/>
                <w:bCs w:val="0"/>
                <w:color w:val="auto"/>
                <w:sz w:val="21"/>
                <w:szCs w:val="21"/>
                <w:highlight w:val="none"/>
                <w:lang w:val="en-US" w:eastAsia="zh-CN"/>
              </w:rPr>
              <w:t>23</w:t>
            </w:r>
          </w:p>
        </w:tc>
        <w:tc>
          <w:tcPr>
            <w:tcW w:w="4323" w:type="dxa"/>
            <w:noWrap w:val="0"/>
            <w:vAlign w:val="center"/>
          </w:tcPr>
          <w:p w14:paraId="442AE7C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val="0"/>
                <w:color w:val="auto"/>
                <w:sz w:val="21"/>
                <w:szCs w:val="21"/>
                <w:highlight w:val="none"/>
                <w:lang w:val="en-US" w:eastAsia="zh-CN"/>
              </w:rPr>
            </w:pPr>
            <w:r>
              <w:rPr>
                <w:rFonts w:hint="eastAsia" w:ascii="Times New Roman" w:hAnsi="Times New Roman" w:cs="Times New Roman" w:eastAsiaTheme="majorEastAsia"/>
                <w:b w:val="0"/>
                <w:bCs w:val="0"/>
                <w:color w:val="auto"/>
                <w:sz w:val="21"/>
                <w:szCs w:val="21"/>
                <w:highlight w:val="none"/>
                <w:lang w:val="en-US" w:eastAsia="zh-CN"/>
              </w:rPr>
              <w:t>25</w:t>
            </w:r>
          </w:p>
        </w:tc>
        <w:tc>
          <w:tcPr>
            <w:tcW w:w="689" w:type="pct"/>
            <w:noWrap w:val="0"/>
            <w:vAlign w:val="center"/>
          </w:tcPr>
          <w:p w14:paraId="2418A808">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24</w:t>
            </w:r>
          </w:p>
        </w:tc>
      </w:tr>
      <w:tr w14:paraId="50821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noWrap w:val="0"/>
            <w:vAlign w:val="center"/>
          </w:tcPr>
          <w:p w14:paraId="46F4F0BD">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lang w:val="en-US" w:eastAsia="zh-CN"/>
              </w:rPr>
              <w:t>Cl</w:t>
            </w:r>
            <w:r>
              <w:rPr>
                <w:rFonts w:hint="default" w:ascii="Times New Roman" w:hAnsi="Times New Roman" w:cs="Times New Roman" w:eastAsiaTheme="majorEastAsia"/>
                <w:color w:val="auto"/>
                <w:sz w:val="21"/>
                <w:highlight w:val="none"/>
                <w:vertAlign w:val="superscript"/>
                <w:lang w:val="en-US" w:eastAsia="zh-CN"/>
              </w:rPr>
              <w:t>-</w:t>
            </w:r>
            <w:r>
              <w:rPr>
                <w:rFonts w:hint="default" w:ascii="Times New Roman" w:hAnsi="Times New Roman" w:cs="Times New Roman" w:eastAsiaTheme="majorEastAsia"/>
                <w:color w:val="auto"/>
                <w:sz w:val="21"/>
                <w:highlight w:val="none"/>
              </w:rPr>
              <w:t>（mg/L）</w:t>
            </w:r>
          </w:p>
        </w:tc>
        <w:tc>
          <w:tcPr>
            <w:tcW w:w="2819" w:type="dxa"/>
            <w:noWrap w:val="0"/>
            <w:vAlign w:val="center"/>
          </w:tcPr>
          <w:p w14:paraId="37C0A1F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val="0"/>
                <w:color w:val="auto"/>
                <w:sz w:val="21"/>
                <w:szCs w:val="21"/>
                <w:highlight w:val="none"/>
                <w:lang w:val="en-US" w:eastAsia="zh-CN"/>
              </w:rPr>
            </w:pPr>
            <w:r>
              <w:rPr>
                <w:rFonts w:hint="eastAsia" w:ascii="Times New Roman" w:hAnsi="Times New Roman" w:cs="Times New Roman" w:eastAsiaTheme="majorEastAsia"/>
                <w:b w:val="0"/>
                <w:bCs w:val="0"/>
                <w:color w:val="auto"/>
                <w:sz w:val="21"/>
                <w:szCs w:val="21"/>
                <w:highlight w:val="none"/>
                <w:lang w:val="en-US" w:eastAsia="zh-CN"/>
              </w:rPr>
              <w:t>0.563</w:t>
            </w:r>
          </w:p>
        </w:tc>
        <w:tc>
          <w:tcPr>
            <w:tcW w:w="4323" w:type="dxa"/>
            <w:noWrap w:val="0"/>
            <w:vAlign w:val="center"/>
          </w:tcPr>
          <w:p w14:paraId="743AABD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val="0"/>
                <w:color w:val="auto"/>
                <w:sz w:val="21"/>
                <w:szCs w:val="21"/>
                <w:highlight w:val="none"/>
                <w:lang w:val="en-US" w:eastAsia="zh-CN"/>
              </w:rPr>
            </w:pPr>
            <w:r>
              <w:rPr>
                <w:rFonts w:hint="eastAsia" w:ascii="Times New Roman" w:hAnsi="Times New Roman" w:cs="Times New Roman" w:eastAsiaTheme="majorEastAsia"/>
                <w:b w:val="0"/>
                <w:bCs w:val="0"/>
                <w:color w:val="auto"/>
                <w:sz w:val="21"/>
                <w:szCs w:val="21"/>
                <w:highlight w:val="none"/>
                <w:lang w:val="en-US" w:eastAsia="zh-CN"/>
              </w:rPr>
              <w:t>0.577</w:t>
            </w:r>
          </w:p>
        </w:tc>
        <w:tc>
          <w:tcPr>
            <w:tcW w:w="689" w:type="pct"/>
            <w:noWrap w:val="0"/>
            <w:vAlign w:val="center"/>
          </w:tcPr>
          <w:p w14:paraId="74A1E1C3">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0.57</w:t>
            </w:r>
          </w:p>
        </w:tc>
      </w:tr>
      <w:tr w14:paraId="655100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noWrap w:val="0"/>
            <w:vAlign w:val="center"/>
          </w:tcPr>
          <w:p w14:paraId="1F1C1AB7">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color w:val="auto"/>
                <w:sz w:val="21"/>
                <w:highlight w:val="none"/>
                <w:lang w:val="en-US" w:eastAsia="zh-CN"/>
              </w:rPr>
              <w:t>SO</w:t>
            </w:r>
            <w:r>
              <w:rPr>
                <w:rFonts w:hint="default" w:ascii="Times New Roman" w:hAnsi="Times New Roman" w:cs="Times New Roman" w:eastAsiaTheme="majorEastAsia"/>
                <w:color w:val="auto"/>
                <w:sz w:val="21"/>
                <w:highlight w:val="none"/>
                <w:vertAlign w:val="subscript"/>
                <w:lang w:val="en-US" w:eastAsia="zh-CN"/>
              </w:rPr>
              <w:t>4</w:t>
            </w:r>
            <w:r>
              <w:rPr>
                <w:rFonts w:hint="default" w:ascii="Times New Roman" w:hAnsi="Times New Roman" w:cs="Times New Roman" w:eastAsiaTheme="majorEastAsia"/>
                <w:color w:val="auto"/>
                <w:sz w:val="21"/>
                <w:highlight w:val="none"/>
                <w:vertAlign w:val="superscript"/>
                <w:lang w:val="en-US" w:eastAsia="zh-CN"/>
              </w:rPr>
              <w:t>2-</w:t>
            </w:r>
            <w:r>
              <w:rPr>
                <w:rFonts w:hint="default" w:ascii="Times New Roman" w:hAnsi="Times New Roman" w:cs="Times New Roman" w:eastAsiaTheme="majorEastAsia"/>
                <w:color w:val="auto"/>
                <w:sz w:val="21"/>
                <w:highlight w:val="none"/>
              </w:rPr>
              <w:t>（mg/L）</w:t>
            </w:r>
          </w:p>
        </w:tc>
        <w:tc>
          <w:tcPr>
            <w:tcW w:w="2819" w:type="dxa"/>
            <w:noWrap w:val="0"/>
            <w:vAlign w:val="center"/>
          </w:tcPr>
          <w:p w14:paraId="2FB4057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val="0"/>
                <w:color w:val="auto"/>
                <w:sz w:val="21"/>
                <w:szCs w:val="21"/>
                <w:highlight w:val="none"/>
                <w:lang w:val="en-US" w:eastAsia="zh-CN"/>
              </w:rPr>
            </w:pPr>
            <w:r>
              <w:rPr>
                <w:rFonts w:hint="eastAsia" w:ascii="Times New Roman" w:hAnsi="Times New Roman" w:cs="Times New Roman" w:eastAsiaTheme="majorEastAsia"/>
                <w:b w:val="0"/>
                <w:bCs w:val="0"/>
                <w:color w:val="auto"/>
                <w:sz w:val="21"/>
                <w:szCs w:val="21"/>
                <w:highlight w:val="none"/>
                <w:lang w:val="en-US" w:eastAsia="zh-CN"/>
              </w:rPr>
              <w:t>0.856</w:t>
            </w:r>
          </w:p>
        </w:tc>
        <w:tc>
          <w:tcPr>
            <w:tcW w:w="4323" w:type="dxa"/>
            <w:noWrap w:val="0"/>
            <w:vAlign w:val="center"/>
          </w:tcPr>
          <w:p w14:paraId="691B84A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val="0"/>
                <w:color w:val="auto"/>
                <w:sz w:val="21"/>
                <w:szCs w:val="21"/>
                <w:highlight w:val="none"/>
                <w:lang w:val="en-US" w:eastAsia="zh-CN"/>
              </w:rPr>
            </w:pPr>
            <w:r>
              <w:rPr>
                <w:rFonts w:hint="eastAsia" w:ascii="Times New Roman" w:hAnsi="Times New Roman" w:cs="Times New Roman" w:eastAsiaTheme="majorEastAsia"/>
                <w:b w:val="0"/>
                <w:bCs w:val="0"/>
                <w:color w:val="auto"/>
                <w:sz w:val="21"/>
                <w:szCs w:val="21"/>
                <w:highlight w:val="none"/>
                <w:lang w:val="en-US" w:eastAsia="zh-CN"/>
              </w:rPr>
              <w:t>0.889</w:t>
            </w:r>
          </w:p>
        </w:tc>
        <w:tc>
          <w:tcPr>
            <w:tcW w:w="689" w:type="pct"/>
            <w:noWrap w:val="0"/>
            <w:vAlign w:val="center"/>
          </w:tcPr>
          <w:p w14:paraId="349F2D16">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0.8725</w:t>
            </w:r>
          </w:p>
        </w:tc>
      </w:tr>
      <w:tr w14:paraId="1A6808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1789" w:type="pct"/>
            <w:noWrap w:val="0"/>
            <w:vAlign w:val="center"/>
          </w:tcPr>
          <w:p w14:paraId="49221F4F">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rPr>
            </w:pPr>
            <w:r>
              <w:rPr>
                <w:rFonts w:hint="default" w:ascii="Times New Roman" w:hAnsi="Times New Roman" w:cs="Times New Roman" w:eastAsiaTheme="majorEastAsia"/>
                <w:b w:val="0"/>
                <w:bCs/>
                <w:color w:val="auto"/>
                <w:highlight w:val="none"/>
              </w:rPr>
              <w:t>阴阳离子平衡计算结果%</w:t>
            </w:r>
          </w:p>
        </w:tc>
        <w:tc>
          <w:tcPr>
            <w:tcW w:w="3210" w:type="pct"/>
            <w:gridSpan w:val="3"/>
            <w:noWrap w:val="0"/>
            <w:vAlign w:val="center"/>
          </w:tcPr>
          <w:p w14:paraId="7E573D59">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4.6</w:t>
            </w:r>
          </w:p>
        </w:tc>
      </w:tr>
      <w:tr w14:paraId="475C63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1789" w:type="pct"/>
            <w:vMerge w:val="restart"/>
            <w:shd w:val="clear" w:color="auto" w:fill="auto"/>
            <w:noWrap w:val="0"/>
            <w:vAlign w:val="center"/>
            <mc:AlternateContent>
              <mc:Choice Requires="wpsCustomData">
                <wpsCustomData:diagonals>
                  <wpsCustomData:diagonal from="10000" to="30000">
                    <wpsCustomData:border w:val="single" w:color="auto" w:sz="4" w:space="0"/>
                  </wpsCustomData:diagonal>
                </wpsCustomData:diagonals>
              </mc:Choice>
            </mc:AlternateContent>
          </w:tcPr>
          <w:p w14:paraId="6EF15950">
            <w:pPr>
              <w:pStyle w:val="88"/>
              <w:keepNext w:val="0"/>
              <w:keepLines w:val="0"/>
              <w:pageBreakBefore w:val="0"/>
              <w:widowControl w:val="0"/>
              <w:kinsoku/>
              <w:overflowPunct/>
              <w:topLinePunct w:val="0"/>
              <w:autoSpaceDE/>
              <w:autoSpaceDN/>
              <w:bidi w:val="0"/>
              <w:snapToGrid w:val="0"/>
              <w:spacing w:line="240" w:lineRule="auto"/>
              <w:ind w:firstLine="0" w:firstLineChars="0"/>
              <w:jc w:val="center"/>
              <w:textAlignment w:val="auto"/>
              <mc:AlternateContent>
                <mc:Choice Requires="wpsCustomData">
                  <wpsCustomData:diagonalParaType/>
                </mc:Choice>
              </mc:AlternateContent>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sz w:val="21"/>
              </w:rPr>
              <mc:AlternateContent>
                <mc:Choice Requires="wps">
                  <w:drawing>
                    <wp:anchor distT="0" distB="0" distL="114300" distR="114300" simplePos="0" relativeHeight="251663360" behindDoc="0" locked="0" layoutInCell="1" allowOverlap="1">
                      <wp:simplePos x="0" y="0"/>
                      <wp:positionH relativeFrom="column">
                        <wp:posOffset>932180</wp:posOffset>
                      </wp:positionH>
                      <wp:positionV relativeFrom="paragraph">
                        <wp:posOffset>1287145</wp:posOffset>
                      </wp:positionV>
                      <wp:extent cx="1293495" cy="335915"/>
                      <wp:effectExtent l="0" t="0" r="0" b="0"/>
                      <wp:wrapNone/>
                      <wp:docPr id="43" name="文本框 43"/>
                      <wp:cNvGraphicFramePr/>
                      <a:graphic xmlns:a="http://schemas.openxmlformats.org/drawingml/2006/main">
                        <a:graphicData uri="http://schemas.microsoft.com/office/word/2010/wordprocessingShape">
                          <wps:wsp>
                            <wps:cNvSpPr txBox="1"/>
                            <wps:spPr>
                              <a:xfrm>
                                <a:off x="1412875" y="6162040"/>
                                <a:ext cx="1293495" cy="3359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147DCEF">
                                  <w:pPr>
                                    <w:rPr>
                                      <w:rFonts w:hint="eastAsia" w:eastAsia="宋体"/>
                                      <w:sz w:val="21"/>
                                      <w:szCs w:val="21"/>
                                      <w:lang w:val="en-US" w:eastAsia="zh-CN"/>
                                    </w:rPr>
                                  </w:pPr>
                                  <w:r>
                                    <w:rPr>
                                      <w:rFonts w:hint="eastAsia"/>
                                      <w:sz w:val="21"/>
                                      <w:szCs w:val="21"/>
                                      <w:lang w:val="en-US" w:eastAsia="zh-CN"/>
                                    </w:rPr>
                                    <w:t>监测项目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73.4pt;margin-top:101.35pt;height:26.45pt;width:101.85pt;z-index:251663360;mso-width-relative:page;mso-height-relative:page;" filled="f" stroked="f" coordsize="21600,21600" o:gfxdata="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">
                      <v:fill on="f" focussize="0,0"/>
                      <v:stroke on="f" weight="0.5pt"/>
                      <v:imagedata o:title=""/>
                      <o:lock v:ext="edit" aspectratio="f"/>
                      <v:textbox>
                        <w:txbxContent>
                          <w:p w14:paraId="6147DCEF">
                            <w:pPr>
                              <w:rPr>
                                <w:rFonts w:hint="eastAsia" w:eastAsia="宋体"/>
                                <w:sz w:val="21"/>
                                <w:szCs w:val="21"/>
                                <w:lang w:val="en-US" w:eastAsia="zh-CN"/>
                              </w:rPr>
                            </w:pPr>
                            <w:r>
                              <w:rPr>
                                <w:rFonts w:hint="eastAsia"/>
                                <w:sz w:val="21"/>
                                <w:szCs w:val="21"/>
                                <w:lang w:val="en-US" w:eastAsia="zh-CN"/>
                              </w:rPr>
                              <w:t>监测项目</w:t>
                            </w:r>
                          </w:p>
                        </w:txbxContent>
                      </v:textbox>
                    </v:shape>
                  </w:pict>
                </mc:Fallback>
              </mc:AlternateContent>
            </w:r>
          </w:p>
          <w:p w14:paraId="0C0D7B1D">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rPr>
              <w:t>监测点位</w:t>
            </w:r>
          </w:p>
          <w:p w14:paraId="4CC8055D">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p>
        </w:tc>
        <w:tc>
          <w:tcPr>
            <w:tcW w:w="3210" w:type="pct"/>
            <w:gridSpan w:val="3"/>
            <w:shd w:val="clear" w:color="auto" w:fill="auto"/>
            <w:noWrap w:val="0"/>
            <w:vAlign w:val="center"/>
          </w:tcPr>
          <w:p w14:paraId="6A53C2D1">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bCs/>
                <w:color w:val="auto"/>
                <w:sz w:val="21"/>
                <w:highlight w:val="none"/>
                <w:lang w:val="en-US" w:eastAsia="zh-CN"/>
              </w:rPr>
              <w:t>D4</w:t>
            </w:r>
          </w:p>
        </w:tc>
      </w:tr>
      <w:tr w14:paraId="7B68C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89" w:type="pct"/>
            <w:vMerge w:val="continue"/>
            <w:vAlign w:val="center"/>
          </w:tcPr>
          <w:p w14:paraId="527E8F2F">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rPr>
            </w:pPr>
          </w:p>
        </w:tc>
        <w:tc>
          <w:tcPr>
            <w:tcW w:w="995" w:type="pct"/>
            <w:shd w:val="clear" w:color="auto" w:fill="auto"/>
            <w:vAlign w:val="center"/>
          </w:tcPr>
          <w:p w14:paraId="133A616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W25071707DX-1-1-1</w:t>
            </w:r>
          </w:p>
        </w:tc>
        <w:tc>
          <w:tcPr>
            <w:tcW w:w="1526" w:type="pct"/>
            <w:shd w:val="clear" w:color="auto" w:fill="auto"/>
            <w:vAlign w:val="center"/>
          </w:tcPr>
          <w:p w14:paraId="281E739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W25071707DX-1-2-1</w:t>
            </w:r>
          </w:p>
        </w:tc>
        <w:tc>
          <w:tcPr>
            <w:tcW w:w="0" w:type="auto"/>
            <w:shd w:val="clear" w:color="auto" w:fill="auto"/>
            <w:vAlign w:val="center"/>
          </w:tcPr>
          <w:p w14:paraId="1F8D2297">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平均值</w:t>
            </w:r>
          </w:p>
        </w:tc>
      </w:tr>
      <w:tr w14:paraId="1D289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6D73D9A8">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rPr>
              <w:t>K</w:t>
            </w:r>
            <w:r>
              <w:rPr>
                <w:rFonts w:hint="default" w:ascii="Times New Roman" w:hAnsi="Times New Roman" w:cs="Times New Roman" w:eastAsiaTheme="majorEastAsia"/>
                <w:color w:val="auto"/>
                <w:sz w:val="21"/>
                <w:highlight w:val="none"/>
                <w:vertAlign w:val="superscript"/>
              </w:rPr>
              <w:t>+</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5C31A3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3.48</w:t>
            </w:r>
          </w:p>
        </w:tc>
        <w:tc>
          <w:tcPr>
            <w:tcW w:w="1526" w:type="pct"/>
            <w:shd w:val="clear" w:color="auto" w:fill="auto"/>
            <w:vAlign w:val="center"/>
          </w:tcPr>
          <w:p w14:paraId="1ED040D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3.53</w:t>
            </w:r>
          </w:p>
        </w:tc>
        <w:tc>
          <w:tcPr>
            <w:tcW w:w="0" w:type="auto"/>
            <w:shd w:val="clear" w:color="auto" w:fill="auto"/>
            <w:vAlign w:val="center"/>
          </w:tcPr>
          <w:p w14:paraId="05E55A6F">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kern w:val="0"/>
                <w:sz w:val="21"/>
                <w:szCs w:val="20"/>
                <w:highlight w:val="none"/>
                <w:lang w:val="en-US" w:eastAsia="zh-CN" w:bidi="ar-SA"/>
              </w:rPr>
              <w:t>3.505</w:t>
            </w:r>
          </w:p>
        </w:tc>
      </w:tr>
      <w:tr w14:paraId="1DC73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73C99BCD">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rPr>
              <w:t>Na</w:t>
            </w:r>
            <w:r>
              <w:rPr>
                <w:rFonts w:hint="default" w:ascii="Times New Roman" w:hAnsi="Times New Roman" w:cs="Times New Roman" w:eastAsiaTheme="majorEastAsia"/>
                <w:color w:val="auto"/>
                <w:sz w:val="21"/>
                <w:highlight w:val="none"/>
                <w:vertAlign w:val="superscript"/>
              </w:rPr>
              <w:t>+</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5ACF0D9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5.77</w:t>
            </w:r>
          </w:p>
        </w:tc>
        <w:tc>
          <w:tcPr>
            <w:tcW w:w="1526" w:type="pct"/>
            <w:shd w:val="clear" w:color="auto" w:fill="auto"/>
            <w:vAlign w:val="center"/>
          </w:tcPr>
          <w:p w14:paraId="67E7FD6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5.77</w:t>
            </w:r>
          </w:p>
        </w:tc>
        <w:tc>
          <w:tcPr>
            <w:tcW w:w="0" w:type="auto"/>
            <w:shd w:val="clear" w:color="auto" w:fill="auto"/>
            <w:vAlign w:val="center"/>
          </w:tcPr>
          <w:p w14:paraId="0FA72165">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5.77</w:t>
            </w:r>
          </w:p>
        </w:tc>
      </w:tr>
      <w:tr w14:paraId="7C9FB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241ACC2B">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rPr>
              <w:t>Ca</w:t>
            </w:r>
            <w:r>
              <w:rPr>
                <w:rFonts w:hint="default" w:ascii="Times New Roman" w:hAnsi="Times New Roman" w:cs="Times New Roman" w:eastAsiaTheme="majorEastAsia"/>
                <w:color w:val="auto"/>
                <w:sz w:val="21"/>
                <w:highlight w:val="none"/>
                <w:vertAlign w:val="superscript"/>
              </w:rPr>
              <w:t>2+</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6029910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26.8</w:t>
            </w:r>
          </w:p>
        </w:tc>
        <w:tc>
          <w:tcPr>
            <w:tcW w:w="1526" w:type="pct"/>
            <w:shd w:val="clear" w:color="auto" w:fill="auto"/>
            <w:vAlign w:val="center"/>
          </w:tcPr>
          <w:p w14:paraId="6655D56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26.8</w:t>
            </w:r>
          </w:p>
        </w:tc>
        <w:tc>
          <w:tcPr>
            <w:tcW w:w="0" w:type="auto"/>
            <w:shd w:val="clear" w:color="auto" w:fill="auto"/>
            <w:vAlign w:val="center"/>
          </w:tcPr>
          <w:p w14:paraId="70A2809B">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26.8</w:t>
            </w:r>
          </w:p>
        </w:tc>
      </w:tr>
      <w:tr w14:paraId="533868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3BA43DB8">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rPr>
              <w:t>Mg</w:t>
            </w:r>
            <w:r>
              <w:rPr>
                <w:rFonts w:hint="default" w:ascii="Times New Roman" w:hAnsi="Times New Roman" w:cs="Times New Roman" w:eastAsiaTheme="majorEastAsia"/>
                <w:color w:val="auto"/>
                <w:sz w:val="21"/>
                <w:highlight w:val="none"/>
                <w:vertAlign w:val="superscript"/>
              </w:rPr>
              <w:t>2+</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569AD97B">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1.05</w:t>
            </w:r>
          </w:p>
        </w:tc>
        <w:tc>
          <w:tcPr>
            <w:tcW w:w="1526" w:type="pct"/>
            <w:shd w:val="clear" w:color="auto" w:fill="auto"/>
            <w:vAlign w:val="center"/>
          </w:tcPr>
          <w:p w14:paraId="32882B99">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1.02</w:t>
            </w:r>
          </w:p>
        </w:tc>
        <w:tc>
          <w:tcPr>
            <w:tcW w:w="0" w:type="auto"/>
            <w:shd w:val="clear" w:color="auto" w:fill="auto"/>
            <w:vAlign w:val="center"/>
          </w:tcPr>
          <w:p w14:paraId="086A5C24">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1.035</w:t>
            </w:r>
          </w:p>
        </w:tc>
      </w:tr>
      <w:tr w14:paraId="7931DE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0988BF84">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rPr>
              <w:t>CO</w:t>
            </w:r>
            <w:r>
              <w:rPr>
                <w:rFonts w:hint="default" w:ascii="Times New Roman" w:hAnsi="Times New Roman" w:cs="Times New Roman" w:eastAsiaTheme="majorEastAsia"/>
                <w:color w:val="auto"/>
                <w:sz w:val="21"/>
                <w:highlight w:val="none"/>
                <w:vertAlign w:val="subscript"/>
              </w:rPr>
              <w:t>3</w:t>
            </w:r>
            <w:r>
              <w:rPr>
                <w:rFonts w:hint="default" w:ascii="Times New Roman" w:hAnsi="Times New Roman" w:cs="Times New Roman" w:eastAsiaTheme="majorEastAsia"/>
                <w:color w:val="auto"/>
                <w:sz w:val="21"/>
                <w:highlight w:val="none"/>
                <w:vertAlign w:val="superscript"/>
              </w:rPr>
              <w:t>2-</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7510B39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5</w:t>
            </w:r>
          </w:p>
        </w:tc>
        <w:tc>
          <w:tcPr>
            <w:tcW w:w="1526" w:type="pct"/>
            <w:shd w:val="clear" w:color="auto" w:fill="auto"/>
            <w:vAlign w:val="center"/>
          </w:tcPr>
          <w:p w14:paraId="7C9DEE7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5</w:t>
            </w:r>
          </w:p>
        </w:tc>
        <w:tc>
          <w:tcPr>
            <w:tcW w:w="0" w:type="auto"/>
            <w:shd w:val="clear" w:color="auto" w:fill="auto"/>
            <w:vAlign w:val="center"/>
          </w:tcPr>
          <w:p w14:paraId="7C3845B4">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5</w:t>
            </w:r>
          </w:p>
        </w:tc>
      </w:tr>
      <w:tr w14:paraId="38E298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3CF0FF3E">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rPr>
              <w:t>HCO</w:t>
            </w:r>
            <w:r>
              <w:rPr>
                <w:rFonts w:hint="default" w:ascii="Times New Roman" w:hAnsi="Times New Roman" w:cs="Times New Roman" w:eastAsiaTheme="majorEastAsia"/>
                <w:color w:val="auto"/>
                <w:sz w:val="21"/>
                <w:highlight w:val="none"/>
                <w:vertAlign w:val="subscript"/>
              </w:rPr>
              <w:t>3</w:t>
            </w:r>
            <w:r>
              <w:rPr>
                <w:rFonts w:hint="default" w:ascii="Times New Roman" w:hAnsi="Times New Roman" w:cs="Times New Roman" w:eastAsiaTheme="majorEastAsia"/>
                <w:color w:val="auto"/>
                <w:sz w:val="21"/>
                <w:highlight w:val="none"/>
                <w:vertAlign w:val="superscript"/>
                <w:lang w:val="en-US" w:eastAsia="zh-CN"/>
              </w:rPr>
              <w:t>-</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2D976C5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110</w:t>
            </w:r>
          </w:p>
        </w:tc>
        <w:tc>
          <w:tcPr>
            <w:tcW w:w="1526" w:type="pct"/>
            <w:shd w:val="clear" w:color="auto" w:fill="auto"/>
            <w:vAlign w:val="center"/>
          </w:tcPr>
          <w:p w14:paraId="13F7D4D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112</w:t>
            </w:r>
          </w:p>
        </w:tc>
        <w:tc>
          <w:tcPr>
            <w:tcW w:w="0" w:type="auto"/>
            <w:shd w:val="clear" w:color="auto" w:fill="auto"/>
            <w:vAlign w:val="center"/>
          </w:tcPr>
          <w:p w14:paraId="6BC5CDBF">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111</w:t>
            </w:r>
          </w:p>
        </w:tc>
      </w:tr>
      <w:tr w14:paraId="204819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6576489B">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lang w:val="en-US" w:eastAsia="zh-CN"/>
              </w:rPr>
              <w:t>Cl</w:t>
            </w:r>
            <w:r>
              <w:rPr>
                <w:rFonts w:hint="default" w:ascii="Times New Roman" w:hAnsi="Times New Roman" w:cs="Times New Roman" w:eastAsiaTheme="majorEastAsia"/>
                <w:color w:val="auto"/>
                <w:sz w:val="21"/>
                <w:highlight w:val="none"/>
                <w:vertAlign w:val="superscript"/>
                <w:lang w:val="en-US" w:eastAsia="zh-CN"/>
              </w:rPr>
              <w:t>-</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254ED5C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1.80</w:t>
            </w:r>
          </w:p>
        </w:tc>
        <w:tc>
          <w:tcPr>
            <w:tcW w:w="1526" w:type="pct"/>
            <w:shd w:val="clear" w:color="auto" w:fill="auto"/>
            <w:vAlign w:val="center"/>
          </w:tcPr>
          <w:p w14:paraId="4BE04F0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1.71</w:t>
            </w:r>
          </w:p>
        </w:tc>
        <w:tc>
          <w:tcPr>
            <w:tcW w:w="0" w:type="auto"/>
            <w:shd w:val="clear" w:color="auto" w:fill="auto"/>
            <w:vAlign w:val="center"/>
          </w:tcPr>
          <w:p w14:paraId="0AA7F5A8">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1.755</w:t>
            </w:r>
          </w:p>
        </w:tc>
      </w:tr>
      <w:tr w14:paraId="38364E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484A4722">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lang w:val="en-US" w:eastAsia="zh-CN"/>
              </w:rPr>
              <w:t>SO</w:t>
            </w:r>
            <w:r>
              <w:rPr>
                <w:rFonts w:hint="default" w:ascii="Times New Roman" w:hAnsi="Times New Roman" w:cs="Times New Roman" w:eastAsiaTheme="majorEastAsia"/>
                <w:color w:val="auto"/>
                <w:sz w:val="21"/>
                <w:highlight w:val="none"/>
                <w:vertAlign w:val="subscript"/>
                <w:lang w:val="en-US" w:eastAsia="zh-CN"/>
              </w:rPr>
              <w:t>4</w:t>
            </w:r>
            <w:r>
              <w:rPr>
                <w:rFonts w:hint="default" w:ascii="Times New Roman" w:hAnsi="Times New Roman" w:cs="Times New Roman" w:eastAsiaTheme="majorEastAsia"/>
                <w:color w:val="auto"/>
                <w:sz w:val="21"/>
                <w:highlight w:val="none"/>
                <w:vertAlign w:val="superscript"/>
                <w:lang w:val="en-US" w:eastAsia="zh-CN"/>
              </w:rPr>
              <w:t>2-</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1C6ABCC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1.18</w:t>
            </w:r>
          </w:p>
        </w:tc>
        <w:tc>
          <w:tcPr>
            <w:tcW w:w="1526" w:type="pct"/>
            <w:shd w:val="clear" w:color="auto" w:fill="auto"/>
            <w:vAlign w:val="center"/>
          </w:tcPr>
          <w:p w14:paraId="79F6FF3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1.17</w:t>
            </w:r>
          </w:p>
        </w:tc>
        <w:tc>
          <w:tcPr>
            <w:tcW w:w="0" w:type="auto"/>
            <w:shd w:val="clear" w:color="auto" w:fill="auto"/>
            <w:vAlign w:val="center"/>
          </w:tcPr>
          <w:p w14:paraId="19C3171A">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kern w:val="0"/>
                <w:sz w:val="21"/>
                <w:szCs w:val="20"/>
                <w:highlight w:val="none"/>
                <w:lang w:val="en-US" w:eastAsia="zh-CN" w:bidi="ar-SA"/>
              </w:rPr>
              <w:t>1.175</w:t>
            </w:r>
          </w:p>
        </w:tc>
      </w:tr>
      <w:tr w14:paraId="60956C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49AA31F8">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rPr>
              <w:t>阴阳离子平衡计算结果%</w:t>
            </w:r>
          </w:p>
        </w:tc>
        <w:tc>
          <w:tcPr>
            <w:tcW w:w="3210" w:type="pct"/>
            <w:gridSpan w:val="3"/>
            <w:shd w:val="clear" w:color="auto" w:fill="auto"/>
            <w:vAlign w:val="center"/>
          </w:tcPr>
          <w:p w14:paraId="5EE76BBC">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lang w:val="en-US" w:eastAsia="zh-CN"/>
              </w:rPr>
              <w:t>7.7</w:t>
            </w:r>
          </w:p>
        </w:tc>
      </w:tr>
      <w:tr w14:paraId="001CC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0" w:type="auto"/>
            <w:shd w:val="clear" w:color="auto" w:fill="auto"/>
            <w:vAlign w:val="center"/>
            <mc:AlternateContent>
              <mc:Choice Requires="wpsCustomData">
                <wpsCustomData:diagonals>
                  <wpsCustomData:diagonal from="10000" to="30000">
                    <wpsCustomData:border w:val="single" w:color="auto" w:sz="4" w:space="0"/>
                  </wpsCustomData:diagonal>
                </wpsCustomData:diagonals>
              </mc:Choice>
            </mc:AlternateContent>
          </w:tcPr>
          <w:p w14:paraId="5552F45F">
            <w:pPr>
              <w:pStyle w:val="88"/>
              <w:keepNext w:val="0"/>
              <w:keepLines w:val="0"/>
              <w:pageBreakBefore w:val="0"/>
              <w:widowControl w:val="0"/>
              <w:kinsoku/>
              <w:overflowPunct/>
              <w:topLinePunct w:val="0"/>
              <w:autoSpaceDE/>
              <w:autoSpaceDN/>
              <w:bidi w:val="0"/>
              <w:snapToGrid w:val="0"/>
              <w:spacing w:line="240" w:lineRule="auto"/>
              <w:ind w:firstLine="0" w:firstLineChars="0"/>
              <w:jc w:val="center"/>
              <w:textAlignment w:val="auto"/>
              <mc:AlternateContent>
                <mc:Choice Requires="wpsCustomData">
                  <wpsCustomData:diagonalParaType/>
                </mc:Choice>
              </mc:AlternateContent>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sz w:val="21"/>
              </w:rPr>
              <mc:AlternateContent>
                <mc:Choice Requires="wps">
                  <w:drawing>
                    <wp:anchor distT="0" distB="0" distL="114300" distR="114300" simplePos="0" relativeHeight="251664384" behindDoc="0" locked="0" layoutInCell="1" allowOverlap="1">
                      <wp:simplePos x="0" y="0"/>
                      <wp:positionH relativeFrom="column">
                        <wp:posOffset>114935</wp:posOffset>
                      </wp:positionH>
                      <wp:positionV relativeFrom="paragraph">
                        <wp:posOffset>88265</wp:posOffset>
                      </wp:positionV>
                      <wp:extent cx="1293495" cy="335915"/>
                      <wp:effectExtent l="0" t="0" r="0" b="0"/>
                      <wp:wrapNone/>
                      <wp:docPr id="45" name="文本框 45"/>
                      <wp:cNvGraphicFramePr/>
                      <a:graphic xmlns:a="http://schemas.openxmlformats.org/drawingml/2006/main">
                        <a:graphicData uri="http://schemas.microsoft.com/office/word/2010/wordprocessingShape">
                          <wps:wsp>
                            <wps:cNvSpPr txBox="1"/>
                            <wps:spPr>
                              <a:xfrm>
                                <a:off x="1412875" y="6162040"/>
                                <a:ext cx="1293495" cy="3359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3B02A1A">
                                  <w:pPr>
                                    <w:rPr>
                                      <w:rFonts w:hint="eastAsia" w:eastAsia="宋体"/>
                                      <w:sz w:val="21"/>
                                      <w:szCs w:val="21"/>
                                      <w:lang w:val="en-US" w:eastAsia="zh-CN"/>
                                    </w:rPr>
                                  </w:pPr>
                                  <w:r>
                                    <w:rPr>
                                      <w:rFonts w:hint="eastAsia"/>
                                      <w:sz w:val="21"/>
                                      <w:szCs w:val="21"/>
                                      <w:lang w:val="en-US" w:eastAsia="zh-CN"/>
                                    </w:rPr>
                                    <w:t>监测项目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05pt;margin-top:6.95pt;height:26.45pt;width:101.85pt;z-index:251664384;mso-width-relative:page;mso-height-relative:page;" filled="f" stroked="f" coordsize="21600,21600" o:gfxdata="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">
                      <v:fill on="f" focussize="0,0"/>
                      <v:stroke on="f" weight="0.5pt"/>
                      <v:imagedata o:title=""/>
                      <o:lock v:ext="edit" aspectratio="f"/>
                      <v:textbox>
                        <w:txbxContent>
                          <w:p w14:paraId="53B02A1A">
                            <w:pPr>
                              <w:rPr>
                                <w:rFonts w:hint="eastAsia" w:eastAsia="宋体"/>
                                <w:sz w:val="21"/>
                                <w:szCs w:val="21"/>
                                <w:lang w:val="en-US" w:eastAsia="zh-CN"/>
                              </w:rPr>
                            </w:pPr>
                            <w:r>
                              <w:rPr>
                                <w:rFonts w:hint="eastAsia"/>
                                <w:sz w:val="21"/>
                                <w:szCs w:val="21"/>
                                <w:lang w:val="en-US" w:eastAsia="zh-CN"/>
                              </w:rPr>
                              <w:t>监测项目</w:t>
                            </w:r>
                          </w:p>
                        </w:txbxContent>
                      </v:textbox>
                    </v:shape>
                  </w:pict>
                </mc:Fallback>
              </mc:AlternateContent>
            </w:r>
          </w:p>
          <w:p w14:paraId="5FE9CA5E">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rPr>
              <w:t>监测点位</w:t>
            </w:r>
          </w:p>
          <w:p w14:paraId="7B1F3D6B">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p>
        </w:tc>
        <w:tc>
          <w:tcPr>
            <w:tcW w:w="3210" w:type="pct"/>
            <w:gridSpan w:val="3"/>
            <w:shd w:val="clear" w:color="auto" w:fill="auto"/>
            <w:vAlign w:val="center"/>
          </w:tcPr>
          <w:p w14:paraId="66B39E06">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bCs/>
                <w:color w:val="auto"/>
                <w:sz w:val="21"/>
                <w:highlight w:val="none"/>
                <w:lang w:val="en-US" w:eastAsia="zh-CN"/>
              </w:rPr>
              <w:t>D5</w:t>
            </w:r>
          </w:p>
        </w:tc>
      </w:tr>
      <w:tr w14:paraId="0C8C6F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vAlign w:val="center"/>
          </w:tcPr>
          <w:p w14:paraId="32B55BE4">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rPr>
            </w:pPr>
          </w:p>
        </w:tc>
        <w:tc>
          <w:tcPr>
            <w:tcW w:w="995" w:type="pct"/>
            <w:shd w:val="clear" w:color="auto" w:fill="auto"/>
            <w:vAlign w:val="center"/>
          </w:tcPr>
          <w:p w14:paraId="5213727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W25071707DX-5-1-1</w:t>
            </w:r>
          </w:p>
        </w:tc>
        <w:tc>
          <w:tcPr>
            <w:tcW w:w="1526" w:type="pct"/>
            <w:shd w:val="clear" w:color="auto" w:fill="auto"/>
            <w:vAlign w:val="center"/>
          </w:tcPr>
          <w:p w14:paraId="07D1CBD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W25071707DX-5-2-1</w:t>
            </w:r>
          </w:p>
        </w:tc>
        <w:tc>
          <w:tcPr>
            <w:tcW w:w="0" w:type="auto"/>
            <w:shd w:val="clear" w:color="auto" w:fill="auto"/>
            <w:vAlign w:val="center"/>
          </w:tcPr>
          <w:p w14:paraId="30B6B6E3">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平均值</w:t>
            </w:r>
          </w:p>
        </w:tc>
      </w:tr>
      <w:tr w14:paraId="516F41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530E9DA1">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rPr>
              <w:t>K</w:t>
            </w:r>
            <w:r>
              <w:rPr>
                <w:rFonts w:hint="default" w:ascii="Times New Roman" w:hAnsi="Times New Roman" w:cs="Times New Roman" w:eastAsiaTheme="majorEastAsia"/>
                <w:color w:val="auto"/>
                <w:sz w:val="21"/>
                <w:highlight w:val="none"/>
                <w:vertAlign w:val="superscript"/>
              </w:rPr>
              <w:t>+</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09DD8B6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2.14</w:t>
            </w:r>
          </w:p>
        </w:tc>
        <w:tc>
          <w:tcPr>
            <w:tcW w:w="1526" w:type="pct"/>
            <w:shd w:val="clear" w:color="auto" w:fill="auto"/>
            <w:vAlign w:val="center"/>
          </w:tcPr>
          <w:p w14:paraId="2124412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2.51</w:t>
            </w:r>
          </w:p>
        </w:tc>
        <w:tc>
          <w:tcPr>
            <w:tcW w:w="0" w:type="auto"/>
            <w:shd w:val="clear" w:color="auto" w:fill="auto"/>
            <w:vAlign w:val="center"/>
          </w:tcPr>
          <w:p w14:paraId="3B48884B">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2.325</w:t>
            </w:r>
          </w:p>
        </w:tc>
      </w:tr>
      <w:tr w14:paraId="2BC7CA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03809689">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rPr>
              <w:t>Na</w:t>
            </w:r>
            <w:r>
              <w:rPr>
                <w:rFonts w:hint="default" w:ascii="Times New Roman" w:hAnsi="Times New Roman" w:cs="Times New Roman" w:eastAsiaTheme="majorEastAsia"/>
                <w:color w:val="auto"/>
                <w:sz w:val="21"/>
                <w:highlight w:val="none"/>
                <w:vertAlign w:val="superscript"/>
              </w:rPr>
              <w:t>+</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1E4E0D5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9.54</w:t>
            </w:r>
          </w:p>
        </w:tc>
        <w:tc>
          <w:tcPr>
            <w:tcW w:w="1526" w:type="pct"/>
            <w:shd w:val="clear" w:color="auto" w:fill="auto"/>
            <w:vAlign w:val="center"/>
          </w:tcPr>
          <w:p w14:paraId="1CD9BAD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11.9</w:t>
            </w:r>
          </w:p>
        </w:tc>
        <w:tc>
          <w:tcPr>
            <w:tcW w:w="0" w:type="auto"/>
            <w:shd w:val="clear" w:color="auto" w:fill="auto"/>
            <w:vAlign w:val="center"/>
          </w:tcPr>
          <w:p w14:paraId="5A6ED8FC">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10.72</w:t>
            </w:r>
          </w:p>
        </w:tc>
      </w:tr>
      <w:tr w14:paraId="012F2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11403D3D">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rPr>
              <w:t>Ca</w:t>
            </w:r>
            <w:r>
              <w:rPr>
                <w:rFonts w:hint="default" w:ascii="Times New Roman" w:hAnsi="Times New Roman" w:cs="Times New Roman" w:eastAsiaTheme="majorEastAsia"/>
                <w:color w:val="auto"/>
                <w:sz w:val="21"/>
                <w:highlight w:val="none"/>
                <w:vertAlign w:val="superscript"/>
              </w:rPr>
              <w:t>2+</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601077C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46.2</w:t>
            </w:r>
          </w:p>
        </w:tc>
        <w:tc>
          <w:tcPr>
            <w:tcW w:w="1526" w:type="pct"/>
            <w:shd w:val="clear" w:color="auto" w:fill="auto"/>
            <w:vAlign w:val="center"/>
          </w:tcPr>
          <w:p w14:paraId="08DD2F3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45.7</w:t>
            </w:r>
          </w:p>
        </w:tc>
        <w:tc>
          <w:tcPr>
            <w:tcW w:w="0" w:type="auto"/>
            <w:shd w:val="clear" w:color="auto" w:fill="auto"/>
            <w:vAlign w:val="center"/>
          </w:tcPr>
          <w:p w14:paraId="33C4E83B">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45.95</w:t>
            </w:r>
          </w:p>
        </w:tc>
      </w:tr>
      <w:tr w14:paraId="677395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58624306">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rPr>
              <w:t>Mg</w:t>
            </w:r>
            <w:r>
              <w:rPr>
                <w:rFonts w:hint="default" w:ascii="Times New Roman" w:hAnsi="Times New Roman" w:cs="Times New Roman" w:eastAsiaTheme="majorEastAsia"/>
                <w:color w:val="auto"/>
                <w:sz w:val="21"/>
                <w:highlight w:val="none"/>
                <w:vertAlign w:val="superscript"/>
              </w:rPr>
              <w:t>2+</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746775B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14.0</w:t>
            </w:r>
          </w:p>
        </w:tc>
        <w:tc>
          <w:tcPr>
            <w:tcW w:w="1526" w:type="pct"/>
            <w:shd w:val="clear" w:color="auto" w:fill="auto"/>
            <w:vAlign w:val="center"/>
          </w:tcPr>
          <w:p w14:paraId="05469B7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13.0</w:t>
            </w:r>
          </w:p>
        </w:tc>
        <w:tc>
          <w:tcPr>
            <w:tcW w:w="0" w:type="auto"/>
            <w:shd w:val="clear" w:color="auto" w:fill="auto"/>
            <w:vAlign w:val="center"/>
          </w:tcPr>
          <w:p w14:paraId="67A1ED88">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13.5</w:t>
            </w:r>
          </w:p>
        </w:tc>
      </w:tr>
      <w:tr w14:paraId="4DB16B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6C30EC87">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rPr>
              <w:t>CO</w:t>
            </w:r>
            <w:r>
              <w:rPr>
                <w:rFonts w:hint="default" w:ascii="Times New Roman" w:hAnsi="Times New Roman" w:cs="Times New Roman" w:eastAsiaTheme="majorEastAsia"/>
                <w:color w:val="auto"/>
                <w:sz w:val="21"/>
                <w:highlight w:val="none"/>
                <w:vertAlign w:val="subscript"/>
              </w:rPr>
              <w:t>3</w:t>
            </w:r>
            <w:r>
              <w:rPr>
                <w:rFonts w:hint="default" w:ascii="Times New Roman" w:hAnsi="Times New Roman" w:cs="Times New Roman" w:eastAsiaTheme="majorEastAsia"/>
                <w:color w:val="auto"/>
                <w:sz w:val="21"/>
                <w:highlight w:val="none"/>
                <w:vertAlign w:val="superscript"/>
              </w:rPr>
              <w:t>2-</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5E8D4E7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5</w:t>
            </w:r>
          </w:p>
        </w:tc>
        <w:tc>
          <w:tcPr>
            <w:tcW w:w="1526" w:type="pct"/>
            <w:shd w:val="clear" w:color="auto" w:fill="auto"/>
            <w:vAlign w:val="center"/>
          </w:tcPr>
          <w:p w14:paraId="1FACD62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5</w:t>
            </w:r>
          </w:p>
        </w:tc>
        <w:tc>
          <w:tcPr>
            <w:tcW w:w="0" w:type="auto"/>
            <w:shd w:val="clear" w:color="auto" w:fill="auto"/>
            <w:vAlign w:val="center"/>
          </w:tcPr>
          <w:p w14:paraId="71D16861">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5</w:t>
            </w:r>
          </w:p>
        </w:tc>
      </w:tr>
      <w:tr w14:paraId="70717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0CBC2F2B">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rPr>
              <w:t>HCO</w:t>
            </w:r>
            <w:r>
              <w:rPr>
                <w:rFonts w:hint="default" w:ascii="Times New Roman" w:hAnsi="Times New Roman" w:cs="Times New Roman" w:eastAsiaTheme="majorEastAsia"/>
                <w:color w:val="auto"/>
                <w:sz w:val="21"/>
                <w:highlight w:val="none"/>
                <w:vertAlign w:val="subscript"/>
              </w:rPr>
              <w:t>3</w:t>
            </w:r>
            <w:r>
              <w:rPr>
                <w:rFonts w:hint="default" w:ascii="Times New Roman" w:hAnsi="Times New Roman" w:cs="Times New Roman" w:eastAsiaTheme="majorEastAsia"/>
                <w:color w:val="auto"/>
                <w:sz w:val="21"/>
                <w:highlight w:val="none"/>
                <w:vertAlign w:val="superscript"/>
                <w:lang w:val="en-US" w:eastAsia="zh-CN"/>
              </w:rPr>
              <w:t>-</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0EC25AC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238</w:t>
            </w:r>
          </w:p>
        </w:tc>
        <w:tc>
          <w:tcPr>
            <w:tcW w:w="1526" w:type="pct"/>
            <w:shd w:val="clear" w:color="auto" w:fill="auto"/>
            <w:vAlign w:val="center"/>
          </w:tcPr>
          <w:p w14:paraId="062A17FA">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230</w:t>
            </w:r>
          </w:p>
        </w:tc>
        <w:tc>
          <w:tcPr>
            <w:tcW w:w="0" w:type="auto"/>
            <w:shd w:val="clear" w:color="auto" w:fill="auto"/>
            <w:vAlign w:val="center"/>
          </w:tcPr>
          <w:p w14:paraId="6B561A54">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234</w:t>
            </w:r>
          </w:p>
        </w:tc>
      </w:tr>
      <w:tr w14:paraId="0BD99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22F13248">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lang w:val="en-US" w:eastAsia="zh-CN"/>
              </w:rPr>
              <w:t>Cl</w:t>
            </w:r>
            <w:r>
              <w:rPr>
                <w:rFonts w:hint="default" w:ascii="Times New Roman" w:hAnsi="Times New Roman" w:cs="Times New Roman" w:eastAsiaTheme="majorEastAsia"/>
                <w:color w:val="auto"/>
                <w:sz w:val="21"/>
                <w:highlight w:val="none"/>
                <w:vertAlign w:val="superscript"/>
                <w:lang w:val="en-US" w:eastAsia="zh-CN"/>
              </w:rPr>
              <w:t>-</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5CA7C81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4.03</w:t>
            </w:r>
          </w:p>
        </w:tc>
        <w:tc>
          <w:tcPr>
            <w:tcW w:w="1526" w:type="pct"/>
            <w:shd w:val="clear" w:color="auto" w:fill="auto"/>
            <w:vAlign w:val="center"/>
          </w:tcPr>
          <w:p w14:paraId="107D3181">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4.18</w:t>
            </w:r>
          </w:p>
        </w:tc>
        <w:tc>
          <w:tcPr>
            <w:tcW w:w="0" w:type="auto"/>
            <w:shd w:val="clear" w:color="auto" w:fill="auto"/>
            <w:vAlign w:val="center"/>
          </w:tcPr>
          <w:p w14:paraId="218E7B9C">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4.105</w:t>
            </w:r>
          </w:p>
        </w:tc>
      </w:tr>
      <w:tr w14:paraId="4B67A7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0FEDFA25">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lang w:val="en-US" w:eastAsia="zh-CN"/>
              </w:rPr>
              <w:t>SO</w:t>
            </w:r>
            <w:r>
              <w:rPr>
                <w:rFonts w:hint="default" w:ascii="Times New Roman" w:hAnsi="Times New Roman" w:cs="Times New Roman" w:eastAsiaTheme="majorEastAsia"/>
                <w:color w:val="auto"/>
                <w:sz w:val="21"/>
                <w:highlight w:val="none"/>
                <w:vertAlign w:val="subscript"/>
                <w:lang w:val="en-US" w:eastAsia="zh-CN"/>
              </w:rPr>
              <w:t>4</w:t>
            </w:r>
            <w:r>
              <w:rPr>
                <w:rFonts w:hint="default" w:ascii="Times New Roman" w:hAnsi="Times New Roman" w:cs="Times New Roman" w:eastAsiaTheme="majorEastAsia"/>
                <w:color w:val="auto"/>
                <w:sz w:val="21"/>
                <w:highlight w:val="none"/>
                <w:vertAlign w:val="superscript"/>
                <w:lang w:val="en-US" w:eastAsia="zh-CN"/>
              </w:rPr>
              <w:t>2-</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66FAA8F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8.73</w:t>
            </w:r>
          </w:p>
        </w:tc>
        <w:tc>
          <w:tcPr>
            <w:tcW w:w="1526" w:type="pct"/>
            <w:shd w:val="clear" w:color="auto" w:fill="auto"/>
            <w:vAlign w:val="center"/>
          </w:tcPr>
          <w:p w14:paraId="012667CF">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8.89</w:t>
            </w:r>
          </w:p>
        </w:tc>
        <w:tc>
          <w:tcPr>
            <w:tcW w:w="0" w:type="auto"/>
            <w:shd w:val="clear" w:color="auto" w:fill="auto"/>
            <w:vAlign w:val="center"/>
          </w:tcPr>
          <w:p w14:paraId="4C352893">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kern w:val="0"/>
                <w:sz w:val="21"/>
                <w:szCs w:val="20"/>
                <w:highlight w:val="none"/>
                <w:lang w:val="en-US" w:eastAsia="zh-CN" w:bidi="ar-SA"/>
              </w:rPr>
              <w:t>8.81</w:t>
            </w:r>
          </w:p>
        </w:tc>
      </w:tr>
      <w:tr w14:paraId="113E73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0" w:type="auto"/>
            <w:shd w:val="clear" w:color="auto" w:fill="auto"/>
            <w:vAlign w:val="center"/>
          </w:tcPr>
          <w:p w14:paraId="41DE8573">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rPr>
              <w:t>阴阳离子平衡计算结果%</w:t>
            </w:r>
          </w:p>
        </w:tc>
        <w:tc>
          <w:tcPr>
            <w:tcW w:w="3210" w:type="pct"/>
            <w:gridSpan w:val="3"/>
            <w:shd w:val="clear" w:color="auto" w:fill="auto"/>
            <w:vAlign w:val="center"/>
          </w:tcPr>
          <w:p w14:paraId="31877A5B">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kern w:val="0"/>
                <w:sz w:val="21"/>
                <w:szCs w:val="20"/>
                <w:highlight w:val="none"/>
                <w:lang w:val="en-US" w:eastAsia="zh-CN" w:bidi="ar-SA"/>
              </w:rPr>
              <w:t>4.</w:t>
            </w:r>
            <w:r>
              <w:rPr>
                <w:rFonts w:hint="eastAsia" w:ascii="Times New Roman" w:hAnsi="Times New Roman" w:cs="Times New Roman" w:eastAsiaTheme="majorEastAsia"/>
                <w:b w:val="0"/>
                <w:bCs/>
                <w:color w:val="auto"/>
                <w:kern w:val="0"/>
                <w:sz w:val="21"/>
                <w:szCs w:val="20"/>
                <w:highlight w:val="none"/>
                <w:lang w:val="en-US" w:eastAsia="zh-CN" w:bidi="ar-SA"/>
              </w:rPr>
              <w:t>5</w:t>
            </w:r>
          </w:p>
        </w:tc>
      </w:tr>
      <w:tr w14:paraId="0E876A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4" w:hRule="atLeast"/>
          <w:jc w:val="center"/>
        </w:trPr>
        <w:tc>
          <w:tcPr>
            <w:tcW w:w="0" w:type="auto"/>
            <w:shd w:val="clear" w:color="auto" w:fill="auto"/>
            <w:vAlign w:val="center"/>
            <mc:AlternateContent>
              <mc:Choice Requires="wpsCustomData">
                <wpsCustomData:diagonals>
                  <wpsCustomData:diagonal from="10000" to="30000">
                    <wpsCustomData:border w:val="single" w:color="auto" w:sz="4" w:space="0"/>
                  </wpsCustomData:diagonal>
                </wpsCustomData:diagonals>
              </mc:Choice>
            </mc:AlternateContent>
          </w:tcPr>
          <w:p w14:paraId="7D3BBBA8">
            <w:pPr>
              <w:pStyle w:val="88"/>
              <w:keepNext w:val="0"/>
              <w:keepLines w:val="0"/>
              <w:pageBreakBefore w:val="0"/>
              <w:widowControl w:val="0"/>
              <w:kinsoku/>
              <w:overflowPunct/>
              <w:topLinePunct w:val="0"/>
              <w:autoSpaceDE/>
              <w:autoSpaceDN/>
              <w:bidi w:val="0"/>
              <w:snapToGrid w:val="0"/>
              <w:spacing w:line="240" w:lineRule="auto"/>
              <w:ind w:firstLine="0" w:firstLineChars="0"/>
              <w:jc w:val="center"/>
              <w:textAlignment w:val="auto"/>
              <mc:AlternateContent>
                <mc:Choice Requires="wpsCustomData">
                  <wpsCustomData:diagonalParaType/>
                </mc:Choice>
              </mc:AlternateContent>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sz w:val="21"/>
              </w:rPr>
              <mc:AlternateContent>
                <mc:Choice Requires="wps">
                  <w:drawing>
                    <wp:anchor distT="0" distB="0" distL="114300" distR="114300" simplePos="0" relativeHeight="251665408" behindDoc="0" locked="0" layoutInCell="1" allowOverlap="1">
                      <wp:simplePos x="0" y="0"/>
                      <wp:positionH relativeFrom="column">
                        <wp:posOffset>42545</wp:posOffset>
                      </wp:positionH>
                      <wp:positionV relativeFrom="paragraph">
                        <wp:posOffset>99060</wp:posOffset>
                      </wp:positionV>
                      <wp:extent cx="1293495" cy="335915"/>
                      <wp:effectExtent l="0" t="0" r="0" b="0"/>
                      <wp:wrapNone/>
                      <wp:docPr id="47" name="文本框 47"/>
                      <wp:cNvGraphicFramePr/>
                      <a:graphic xmlns:a="http://schemas.openxmlformats.org/drawingml/2006/main">
                        <a:graphicData uri="http://schemas.microsoft.com/office/word/2010/wordprocessingShape">
                          <wps:wsp>
                            <wps:cNvSpPr txBox="1"/>
                            <wps:spPr>
                              <a:xfrm>
                                <a:off x="1412875" y="6162040"/>
                                <a:ext cx="1293495" cy="33591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E0C583C">
                                  <w:pPr>
                                    <w:rPr>
                                      <w:rFonts w:hint="eastAsia" w:eastAsia="宋体"/>
                                      <w:sz w:val="21"/>
                                      <w:szCs w:val="21"/>
                                      <w:lang w:val="en-US" w:eastAsia="zh-CN"/>
                                    </w:rPr>
                                  </w:pPr>
                                  <w:r>
                                    <w:rPr>
                                      <w:rFonts w:hint="eastAsia"/>
                                      <w:sz w:val="21"/>
                                      <w:szCs w:val="21"/>
                                      <w:lang w:val="en-US" w:eastAsia="zh-CN"/>
                                    </w:rPr>
                                    <w:t>监测项目</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3.35pt;margin-top:7.8pt;height:26.45pt;width:101.85pt;z-index:251665408;mso-width-relative:page;mso-height-relative:page;" filled="f" stroked="f" coordsize="21600,21600" o:gfxdata="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">
                      <v:fill on="f" focussize="0,0"/>
                      <v:stroke on="f" weight="0.5pt"/>
                      <v:imagedata o:title=""/>
                      <o:lock v:ext="edit" aspectratio="f"/>
                      <v:textbox>
                        <w:txbxContent>
                          <w:p w14:paraId="4E0C583C">
                            <w:pPr>
                              <w:rPr>
                                <w:rFonts w:hint="eastAsia" w:eastAsia="宋体"/>
                                <w:sz w:val="21"/>
                                <w:szCs w:val="21"/>
                                <w:lang w:val="en-US" w:eastAsia="zh-CN"/>
                              </w:rPr>
                            </w:pPr>
                            <w:r>
                              <w:rPr>
                                <w:rFonts w:hint="eastAsia"/>
                                <w:sz w:val="21"/>
                                <w:szCs w:val="21"/>
                                <w:lang w:val="en-US" w:eastAsia="zh-CN"/>
                              </w:rPr>
                              <w:t>监测项目</w:t>
                            </w:r>
                          </w:p>
                        </w:txbxContent>
                      </v:textbox>
                    </v:shape>
                  </w:pict>
                </mc:Fallback>
              </mc:AlternateContent>
            </w:r>
          </w:p>
          <w:p w14:paraId="6692158B">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highlight w:val="none"/>
                <w:lang w:val="en-US" w:eastAsia="zh-CN"/>
              </w:rPr>
            </w:pPr>
            <w:r>
              <w:rPr>
                <w:rFonts w:hint="default" w:ascii="Times New Roman" w:hAnsi="Times New Roman" w:cs="Times New Roman" w:eastAsiaTheme="majorEastAsia"/>
                <w:b w:val="0"/>
                <w:bCs/>
                <w:color w:val="auto"/>
                <w:highlight w:val="none"/>
              </w:rPr>
              <w:t>监测点位</w:t>
            </w:r>
          </w:p>
          <w:p w14:paraId="32125606">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p>
        </w:tc>
        <w:tc>
          <w:tcPr>
            <w:tcW w:w="3210" w:type="pct"/>
            <w:gridSpan w:val="3"/>
            <w:shd w:val="clear" w:color="auto" w:fill="auto"/>
            <w:vAlign w:val="center"/>
          </w:tcPr>
          <w:p w14:paraId="2D6271F0">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bCs/>
                <w:color w:val="auto"/>
                <w:sz w:val="21"/>
                <w:highlight w:val="none"/>
                <w:lang w:val="en-US" w:eastAsia="zh-CN"/>
              </w:rPr>
              <w:t>D6</w:t>
            </w:r>
          </w:p>
        </w:tc>
      </w:tr>
      <w:tr w14:paraId="6E887D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296B2BB5">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p>
        </w:tc>
        <w:tc>
          <w:tcPr>
            <w:tcW w:w="995" w:type="pct"/>
            <w:shd w:val="clear" w:color="auto" w:fill="auto"/>
            <w:vAlign w:val="center"/>
          </w:tcPr>
          <w:p w14:paraId="14A8BEE3">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W25071707DX-6-1-1</w:t>
            </w:r>
          </w:p>
        </w:tc>
        <w:tc>
          <w:tcPr>
            <w:tcW w:w="1526" w:type="pct"/>
            <w:shd w:val="clear" w:color="auto" w:fill="auto"/>
            <w:vAlign w:val="center"/>
          </w:tcPr>
          <w:p w14:paraId="5780A7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W25071707DX-6-2-1</w:t>
            </w:r>
          </w:p>
        </w:tc>
        <w:tc>
          <w:tcPr>
            <w:tcW w:w="0" w:type="auto"/>
            <w:shd w:val="clear" w:color="auto" w:fill="auto"/>
            <w:vAlign w:val="center"/>
          </w:tcPr>
          <w:p w14:paraId="792AC137">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平均值</w:t>
            </w:r>
          </w:p>
        </w:tc>
      </w:tr>
      <w:tr w14:paraId="73F98F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1FD2FF27">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rPr>
              <w:t>K</w:t>
            </w:r>
            <w:r>
              <w:rPr>
                <w:rFonts w:hint="default" w:ascii="Times New Roman" w:hAnsi="Times New Roman" w:cs="Times New Roman" w:eastAsiaTheme="majorEastAsia"/>
                <w:color w:val="auto"/>
                <w:sz w:val="21"/>
                <w:highlight w:val="none"/>
                <w:vertAlign w:val="superscript"/>
              </w:rPr>
              <w:t>+</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6C01E14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5.01</w:t>
            </w:r>
          </w:p>
        </w:tc>
        <w:tc>
          <w:tcPr>
            <w:tcW w:w="1526" w:type="pct"/>
            <w:shd w:val="clear" w:color="auto" w:fill="auto"/>
            <w:vAlign w:val="center"/>
          </w:tcPr>
          <w:p w14:paraId="5C6B28F4">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2.06</w:t>
            </w:r>
          </w:p>
        </w:tc>
        <w:tc>
          <w:tcPr>
            <w:tcW w:w="0" w:type="auto"/>
            <w:shd w:val="clear" w:color="auto" w:fill="auto"/>
            <w:vAlign w:val="center"/>
          </w:tcPr>
          <w:p w14:paraId="0E6DFD19">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3.535</w:t>
            </w:r>
          </w:p>
        </w:tc>
      </w:tr>
      <w:tr w14:paraId="33BD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3E489827">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rPr>
              <w:t>Na</w:t>
            </w:r>
            <w:r>
              <w:rPr>
                <w:rFonts w:hint="default" w:ascii="Times New Roman" w:hAnsi="Times New Roman" w:cs="Times New Roman" w:eastAsiaTheme="majorEastAsia"/>
                <w:color w:val="auto"/>
                <w:sz w:val="21"/>
                <w:highlight w:val="none"/>
                <w:vertAlign w:val="superscript"/>
              </w:rPr>
              <w:t>+</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0E03B4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64.5</w:t>
            </w:r>
          </w:p>
        </w:tc>
        <w:tc>
          <w:tcPr>
            <w:tcW w:w="1526" w:type="pct"/>
            <w:shd w:val="clear" w:color="auto" w:fill="auto"/>
            <w:vAlign w:val="center"/>
          </w:tcPr>
          <w:p w14:paraId="05955FA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80.4</w:t>
            </w:r>
          </w:p>
        </w:tc>
        <w:tc>
          <w:tcPr>
            <w:tcW w:w="0" w:type="auto"/>
            <w:shd w:val="clear" w:color="auto" w:fill="auto"/>
            <w:vAlign w:val="center"/>
          </w:tcPr>
          <w:p w14:paraId="34D4A1CB">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72.45</w:t>
            </w:r>
          </w:p>
        </w:tc>
      </w:tr>
      <w:tr w14:paraId="705E2B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37A996B3">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rPr>
              <w:t>Ca</w:t>
            </w:r>
            <w:r>
              <w:rPr>
                <w:rFonts w:hint="default" w:ascii="Times New Roman" w:hAnsi="Times New Roman" w:cs="Times New Roman" w:eastAsiaTheme="majorEastAsia"/>
                <w:color w:val="auto"/>
                <w:sz w:val="21"/>
                <w:highlight w:val="none"/>
                <w:vertAlign w:val="superscript"/>
              </w:rPr>
              <w:t>2+</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75A43EFD">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55.4</w:t>
            </w:r>
          </w:p>
        </w:tc>
        <w:tc>
          <w:tcPr>
            <w:tcW w:w="1526" w:type="pct"/>
            <w:shd w:val="clear" w:color="auto" w:fill="auto"/>
            <w:vAlign w:val="center"/>
          </w:tcPr>
          <w:p w14:paraId="79BBB22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55.4</w:t>
            </w:r>
          </w:p>
        </w:tc>
        <w:tc>
          <w:tcPr>
            <w:tcW w:w="0" w:type="auto"/>
            <w:shd w:val="clear" w:color="auto" w:fill="auto"/>
            <w:vAlign w:val="center"/>
          </w:tcPr>
          <w:p w14:paraId="2BB398EC">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55.4</w:t>
            </w:r>
          </w:p>
        </w:tc>
      </w:tr>
      <w:tr w14:paraId="5A91BF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5061860F">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rPr>
              <w:t>Mg</w:t>
            </w:r>
            <w:r>
              <w:rPr>
                <w:rFonts w:hint="default" w:ascii="Times New Roman" w:hAnsi="Times New Roman" w:cs="Times New Roman" w:eastAsiaTheme="majorEastAsia"/>
                <w:color w:val="auto"/>
                <w:sz w:val="21"/>
                <w:highlight w:val="none"/>
                <w:vertAlign w:val="superscript"/>
              </w:rPr>
              <w:t>2+</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5547C99C">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12.6</w:t>
            </w:r>
          </w:p>
        </w:tc>
        <w:tc>
          <w:tcPr>
            <w:tcW w:w="1526" w:type="pct"/>
            <w:shd w:val="clear" w:color="auto" w:fill="auto"/>
            <w:vAlign w:val="center"/>
          </w:tcPr>
          <w:p w14:paraId="591E1BD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10.8</w:t>
            </w:r>
          </w:p>
        </w:tc>
        <w:tc>
          <w:tcPr>
            <w:tcW w:w="0" w:type="auto"/>
            <w:shd w:val="clear" w:color="auto" w:fill="auto"/>
            <w:vAlign w:val="center"/>
          </w:tcPr>
          <w:p w14:paraId="1FC7605A">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11.7</w:t>
            </w:r>
          </w:p>
        </w:tc>
      </w:tr>
      <w:tr w14:paraId="0D364D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1E60EE30">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rPr>
              <w:t>CO</w:t>
            </w:r>
            <w:r>
              <w:rPr>
                <w:rFonts w:hint="default" w:ascii="Times New Roman" w:hAnsi="Times New Roman" w:cs="Times New Roman" w:eastAsiaTheme="majorEastAsia"/>
                <w:color w:val="auto"/>
                <w:sz w:val="21"/>
                <w:highlight w:val="none"/>
                <w:vertAlign w:val="subscript"/>
              </w:rPr>
              <w:t>3</w:t>
            </w:r>
            <w:r>
              <w:rPr>
                <w:rFonts w:hint="default" w:ascii="Times New Roman" w:hAnsi="Times New Roman" w:cs="Times New Roman" w:eastAsiaTheme="majorEastAsia"/>
                <w:color w:val="auto"/>
                <w:sz w:val="21"/>
                <w:highlight w:val="none"/>
                <w:vertAlign w:val="superscript"/>
              </w:rPr>
              <w:t>2-</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013F2B90">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5</w:t>
            </w:r>
          </w:p>
        </w:tc>
        <w:tc>
          <w:tcPr>
            <w:tcW w:w="1526" w:type="pct"/>
            <w:shd w:val="clear" w:color="auto" w:fill="auto"/>
            <w:vAlign w:val="center"/>
          </w:tcPr>
          <w:p w14:paraId="6BBD68B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5</w:t>
            </w:r>
          </w:p>
        </w:tc>
        <w:tc>
          <w:tcPr>
            <w:tcW w:w="0" w:type="auto"/>
            <w:shd w:val="clear" w:color="auto" w:fill="auto"/>
            <w:vAlign w:val="center"/>
          </w:tcPr>
          <w:p w14:paraId="487D8B08">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5</w:t>
            </w:r>
          </w:p>
        </w:tc>
      </w:tr>
      <w:tr w14:paraId="166DE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05948ADA">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rPr>
              <w:t>HCO</w:t>
            </w:r>
            <w:r>
              <w:rPr>
                <w:rFonts w:hint="default" w:ascii="Times New Roman" w:hAnsi="Times New Roman" w:cs="Times New Roman" w:eastAsiaTheme="majorEastAsia"/>
                <w:color w:val="auto"/>
                <w:sz w:val="21"/>
                <w:highlight w:val="none"/>
                <w:vertAlign w:val="subscript"/>
              </w:rPr>
              <w:t>3</w:t>
            </w:r>
            <w:r>
              <w:rPr>
                <w:rFonts w:hint="default" w:ascii="Times New Roman" w:hAnsi="Times New Roman" w:cs="Times New Roman" w:eastAsiaTheme="majorEastAsia"/>
                <w:color w:val="auto"/>
                <w:sz w:val="21"/>
                <w:highlight w:val="none"/>
                <w:vertAlign w:val="superscript"/>
                <w:lang w:val="en-US" w:eastAsia="zh-CN"/>
              </w:rPr>
              <w:t>-</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5B3A8F8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326</w:t>
            </w:r>
          </w:p>
        </w:tc>
        <w:tc>
          <w:tcPr>
            <w:tcW w:w="1526" w:type="pct"/>
            <w:shd w:val="clear" w:color="auto" w:fill="auto"/>
            <w:vAlign w:val="center"/>
          </w:tcPr>
          <w:p w14:paraId="6B7485C6">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355</w:t>
            </w:r>
          </w:p>
        </w:tc>
        <w:tc>
          <w:tcPr>
            <w:tcW w:w="0" w:type="auto"/>
            <w:shd w:val="clear" w:color="auto" w:fill="auto"/>
            <w:vAlign w:val="center"/>
          </w:tcPr>
          <w:p w14:paraId="42CE0A73">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340.5</w:t>
            </w:r>
          </w:p>
        </w:tc>
      </w:tr>
      <w:tr w14:paraId="310354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24E106DA">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lang w:val="en-US" w:eastAsia="zh-CN"/>
              </w:rPr>
              <w:t>Cl</w:t>
            </w:r>
            <w:r>
              <w:rPr>
                <w:rFonts w:hint="default" w:ascii="Times New Roman" w:hAnsi="Times New Roman" w:cs="Times New Roman" w:eastAsiaTheme="majorEastAsia"/>
                <w:color w:val="auto"/>
                <w:sz w:val="21"/>
                <w:highlight w:val="none"/>
                <w:vertAlign w:val="superscript"/>
                <w:lang w:val="en-US" w:eastAsia="zh-CN"/>
              </w:rPr>
              <w:t>-</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1884BB32">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7.70</w:t>
            </w:r>
          </w:p>
        </w:tc>
        <w:tc>
          <w:tcPr>
            <w:tcW w:w="1526" w:type="pct"/>
            <w:shd w:val="clear" w:color="auto" w:fill="auto"/>
            <w:vAlign w:val="center"/>
          </w:tcPr>
          <w:p w14:paraId="4ACAEB8E">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7.52</w:t>
            </w:r>
          </w:p>
        </w:tc>
        <w:tc>
          <w:tcPr>
            <w:tcW w:w="0" w:type="auto"/>
            <w:shd w:val="clear" w:color="auto" w:fill="auto"/>
            <w:vAlign w:val="center"/>
          </w:tcPr>
          <w:p w14:paraId="1BC25B6D">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7.61</w:t>
            </w:r>
          </w:p>
        </w:tc>
      </w:tr>
      <w:tr w14:paraId="774D5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0B565787">
            <w:pPr>
              <w:pStyle w:val="64"/>
              <w:keepNext w:val="0"/>
              <w:keepLines w:val="0"/>
              <w:pageBreakBefore w:val="0"/>
              <w:widowControl w:val="0"/>
              <w:kinsoku/>
              <w:overflowPunct/>
              <w:topLinePunct w:val="0"/>
              <w:autoSpaceDE/>
              <w:autoSpaceDN/>
              <w:bidi w:val="0"/>
              <w:spacing w:beforeLines="0" w:afterLines="0" w:line="240" w:lineRule="auto"/>
              <w:ind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color w:val="auto"/>
                <w:sz w:val="21"/>
                <w:highlight w:val="none"/>
                <w:lang w:val="en-US" w:eastAsia="zh-CN"/>
              </w:rPr>
              <w:t>SO</w:t>
            </w:r>
            <w:r>
              <w:rPr>
                <w:rFonts w:hint="default" w:ascii="Times New Roman" w:hAnsi="Times New Roman" w:cs="Times New Roman" w:eastAsiaTheme="majorEastAsia"/>
                <w:color w:val="auto"/>
                <w:sz w:val="21"/>
                <w:highlight w:val="none"/>
                <w:vertAlign w:val="subscript"/>
                <w:lang w:val="en-US" w:eastAsia="zh-CN"/>
              </w:rPr>
              <w:t>4</w:t>
            </w:r>
            <w:r>
              <w:rPr>
                <w:rFonts w:hint="default" w:ascii="Times New Roman" w:hAnsi="Times New Roman" w:cs="Times New Roman" w:eastAsiaTheme="majorEastAsia"/>
                <w:color w:val="auto"/>
                <w:sz w:val="21"/>
                <w:highlight w:val="none"/>
                <w:vertAlign w:val="superscript"/>
                <w:lang w:val="en-US" w:eastAsia="zh-CN"/>
              </w:rPr>
              <w:t>2-</w:t>
            </w:r>
            <w:r>
              <w:rPr>
                <w:rFonts w:hint="default" w:ascii="Times New Roman" w:hAnsi="Times New Roman" w:cs="Times New Roman" w:eastAsiaTheme="majorEastAsia"/>
                <w:color w:val="auto"/>
                <w:sz w:val="21"/>
                <w:highlight w:val="none"/>
              </w:rPr>
              <w:t>（mg/L）</w:t>
            </w:r>
          </w:p>
        </w:tc>
        <w:tc>
          <w:tcPr>
            <w:tcW w:w="995" w:type="pct"/>
            <w:shd w:val="clear" w:color="auto" w:fill="auto"/>
            <w:vAlign w:val="center"/>
          </w:tcPr>
          <w:p w14:paraId="5FE92B45">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50.9</w:t>
            </w:r>
          </w:p>
        </w:tc>
        <w:tc>
          <w:tcPr>
            <w:tcW w:w="1526" w:type="pct"/>
            <w:shd w:val="clear" w:color="auto" w:fill="auto"/>
            <w:vAlign w:val="center"/>
          </w:tcPr>
          <w:p w14:paraId="64B08B08">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cs="Times New Roman" w:eastAsiaTheme="majorEastAsia"/>
                <w:b w:val="0"/>
                <w:bCs/>
                <w:color w:val="auto"/>
                <w:kern w:val="0"/>
                <w:sz w:val="20"/>
                <w:szCs w:val="21"/>
                <w:highlight w:val="none"/>
                <w:lang w:val="en-US" w:eastAsia="zh-CN" w:bidi="ar-SA"/>
              </w:rPr>
            </w:pPr>
            <w:r>
              <w:rPr>
                <w:rFonts w:hint="default" w:ascii="Times New Roman" w:hAnsi="Times New Roman" w:cs="Times New Roman" w:eastAsiaTheme="majorEastAsia"/>
                <w:b w:val="0"/>
                <w:bCs w:val="0"/>
                <w:color w:val="auto"/>
                <w:sz w:val="21"/>
                <w:szCs w:val="21"/>
                <w:highlight w:val="none"/>
                <w:lang w:val="en-US" w:eastAsia="zh-CN"/>
              </w:rPr>
              <w:t>51.5</w:t>
            </w:r>
          </w:p>
        </w:tc>
        <w:tc>
          <w:tcPr>
            <w:tcW w:w="0" w:type="auto"/>
            <w:shd w:val="clear" w:color="auto" w:fill="auto"/>
            <w:vAlign w:val="center"/>
          </w:tcPr>
          <w:p w14:paraId="694E829D">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auto"/>
                <w:kern w:val="0"/>
                <w:sz w:val="21"/>
                <w:szCs w:val="20"/>
                <w:highlight w:val="none"/>
                <w:lang w:val="en-US" w:eastAsia="zh-CN" w:bidi="ar-SA"/>
              </w:rPr>
            </w:pPr>
            <w:r>
              <w:rPr>
                <w:rFonts w:hint="default" w:ascii="Times New Roman" w:hAnsi="Times New Roman" w:cs="Times New Roman" w:eastAsiaTheme="majorEastAsia"/>
                <w:b w:val="0"/>
                <w:bCs/>
                <w:color w:val="auto"/>
                <w:highlight w:val="none"/>
                <w:lang w:val="en-US" w:eastAsia="zh-CN"/>
              </w:rPr>
              <w:t>51.2</w:t>
            </w:r>
          </w:p>
        </w:tc>
      </w:tr>
      <w:tr w14:paraId="15150D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4" w:hRule="atLeast"/>
          <w:jc w:val="center"/>
        </w:trPr>
        <w:tc>
          <w:tcPr>
            <w:tcW w:w="0" w:type="auto"/>
            <w:shd w:val="clear" w:color="auto" w:fill="auto"/>
            <w:vAlign w:val="center"/>
          </w:tcPr>
          <w:p w14:paraId="11251296">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000000" w:themeColor="text1"/>
                <w:kern w:val="0"/>
                <w:sz w:val="21"/>
                <w:szCs w:val="20"/>
                <w:highlight w:val="none"/>
                <w:lang w:val="en-US" w:eastAsia="zh-CN" w:bidi="ar-SA"/>
                <w14:textFill>
                  <w14:solidFill>
                    <w14:schemeClr w14:val="tx1"/>
                  </w14:solidFill>
                </w14:textFill>
              </w:rPr>
            </w:pPr>
            <w:r>
              <w:rPr>
                <w:rFonts w:hint="default" w:ascii="Times New Roman" w:hAnsi="Times New Roman" w:cs="Times New Roman" w:eastAsiaTheme="majorEastAsia"/>
                <w:b w:val="0"/>
                <w:bCs/>
                <w:color w:val="000000" w:themeColor="text1"/>
                <w:highlight w:val="none"/>
                <w14:textFill>
                  <w14:solidFill>
                    <w14:schemeClr w14:val="tx1"/>
                  </w14:solidFill>
                </w14:textFill>
              </w:rPr>
              <w:t>阴阳离子平衡计算结果%</w:t>
            </w:r>
          </w:p>
        </w:tc>
        <w:tc>
          <w:tcPr>
            <w:tcW w:w="3210" w:type="pct"/>
            <w:gridSpan w:val="3"/>
            <w:shd w:val="clear" w:color="auto" w:fill="auto"/>
            <w:vAlign w:val="center"/>
          </w:tcPr>
          <w:p w14:paraId="1F49A6AB">
            <w:pPr>
              <w:pStyle w:val="88"/>
              <w:keepNext w:val="0"/>
              <w:keepLines w:val="0"/>
              <w:pageBreakBefore w:val="0"/>
              <w:widowControl w:val="0"/>
              <w:kinsoku/>
              <w:overflowPunct/>
              <w:topLinePunct w:val="0"/>
              <w:autoSpaceDE/>
              <w:autoSpaceDN/>
              <w:bidi w:val="0"/>
              <w:spacing w:line="240" w:lineRule="auto"/>
              <w:ind w:firstLine="0" w:firstLineChars="0"/>
              <w:jc w:val="center"/>
              <w:textAlignment w:val="auto"/>
              <w:rPr>
                <w:rFonts w:hint="default" w:ascii="Times New Roman" w:hAnsi="Times New Roman" w:cs="Times New Roman" w:eastAsiaTheme="majorEastAsia"/>
                <w:b w:val="0"/>
                <w:bCs/>
                <w:color w:val="000000" w:themeColor="text1"/>
                <w:kern w:val="0"/>
                <w:sz w:val="21"/>
                <w:szCs w:val="20"/>
                <w:highlight w:val="none"/>
                <w:lang w:val="en-US" w:eastAsia="zh-CN" w:bidi="ar-SA"/>
                <w14:textFill>
                  <w14:solidFill>
                    <w14:schemeClr w14:val="tx1"/>
                  </w14:solidFill>
                </w14:textFill>
              </w:rPr>
            </w:pPr>
            <w:r>
              <w:rPr>
                <w:rFonts w:hint="eastAsia" w:ascii="Times New Roman" w:hAnsi="Times New Roman" w:cs="Times New Roman" w:eastAsiaTheme="majorEastAsia"/>
                <w:b w:val="0"/>
                <w:bCs/>
                <w:color w:val="000000" w:themeColor="text1"/>
                <w:highlight w:val="none"/>
                <w:lang w:val="en-US" w:eastAsia="zh-CN"/>
                <w14:textFill>
                  <w14:solidFill>
                    <w14:schemeClr w14:val="tx1"/>
                  </w14:solidFill>
                </w14:textFill>
              </w:rPr>
              <w:t>0.76</w:t>
            </w:r>
          </w:p>
        </w:tc>
      </w:tr>
    </w:tbl>
    <w:p w14:paraId="5CD27774">
      <w:pPr>
        <w:keepNext w:val="0"/>
        <w:keepLines w:val="0"/>
        <w:pageBreakBefore w:val="0"/>
        <w:widowControl w:val="0"/>
        <w:kinsoku/>
        <w:wordWrap/>
        <w:overflowPunct/>
        <w:topLinePunct w:val="0"/>
        <w:autoSpaceDE/>
        <w:autoSpaceDN/>
        <w:bidi w:val="0"/>
        <w:adjustRightInd/>
        <w:snapToGrid/>
        <w:ind w:firstLine="480" w:firstLineChars="200"/>
        <w:textAlignment w:val="auto"/>
        <w:rPr>
          <w:rFonts w:hint="eastAsia" w:ascii="Times New Roman" w:hAnsi="Times New Roman" w:cs="Times New Roman" w:eastAsiaTheme="minorEastAsia"/>
          <w:color w:val="000000" w:themeColor="text1"/>
          <w:sz w:val="24"/>
          <w:szCs w:val="24"/>
          <w:highlight w:val="none"/>
          <w:lang w:val="en-US" w:eastAsia="zh-CN"/>
          <w14:textFill>
            <w14:solidFill>
              <w14:schemeClr w14:val="tx1"/>
            </w14:solidFill>
          </w14:textFill>
        </w:rPr>
      </w:pP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由上述公式计算得，</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D1、D2、D</w:t>
      </w:r>
      <w:r>
        <w:rPr>
          <w:rFonts w:hint="eastAsia" w:cs="Times New Roman" w:eastAsiaTheme="minorEastAsia"/>
          <w:color w:val="000000" w:themeColor="text1"/>
          <w:sz w:val="24"/>
          <w:szCs w:val="24"/>
          <w:highlight w:val="none"/>
          <w:lang w:val="en-US" w:eastAsia="zh-CN"/>
          <w14:textFill>
            <w14:solidFill>
              <w14:schemeClr w14:val="tx1"/>
            </w14:solidFill>
          </w14:textFill>
        </w:rPr>
        <w:t>3</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w:t>
      </w:r>
      <w:r>
        <w:rPr>
          <w:rFonts w:hint="eastAsia" w:cs="Times New Roman" w:eastAsiaTheme="minorEastAsia"/>
          <w:color w:val="000000" w:themeColor="text1"/>
          <w:sz w:val="24"/>
          <w:szCs w:val="24"/>
          <w:highlight w:val="none"/>
          <w:lang w:val="en-US" w:eastAsia="zh-CN"/>
          <w14:textFill>
            <w14:solidFill>
              <w14:schemeClr w14:val="tx1"/>
            </w14:solidFill>
          </w14:textFill>
        </w:rPr>
        <w:t>4</w:t>
      </w:r>
      <w:r>
        <w:rPr>
          <w:rFonts w:hint="default" w:ascii="Times New Roman" w:hAnsi="Times New Roman" w:cs="Times New Roman" w:eastAsiaTheme="minorEastAsia"/>
          <w:color w:val="000000" w:themeColor="text1"/>
          <w:sz w:val="24"/>
          <w:szCs w:val="24"/>
          <w:highlight w:val="none"/>
          <w:lang w:val="en-US" w:eastAsia="zh-CN"/>
          <w14:textFill>
            <w14:solidFill>
              <w14:schemeClr w14:val="tx1"/>
            </w14:solidFill>
          </w14:textFill>
        </w:rPr>
        <w:t>、D5、D6</w:t>
      </w:r>
      <w:r>
        <w:rPr>
          <w:rFonts w:hint="default" w:ascii="Times New Roman" w:hAnsi="Times New Roman" w:cs="Times New Roman" w:eastAsiaTheme="minorEastAsia"/>
          <w:color w:val="000000" w:themeColor="text1"/>
          <w:sz w:val="24"/>
          <w:szCs w:val="24"/>
          <w:highlight w:val="none"/>
          <w14:textFill>
            <w14:solidFill>
              <w14:schemeClr w14:val="tx1"/>
            </w14:solidFill>
          </w14:textFill>
        </w:rPr>
        <w:t>水井阴阳离子相对误差小于±5%，地下水监测数据有效</w:t>
      </w:r>
      <w:r>
        <w:rPr>
          <w:rFonts w:hint="eastAsia" w:cs="Times New Roman" w:eastAsiaTheme="minorEastAsia"/>
          <w:color w:val="000000" w:themeColor="text1"/>
          <w:sz w:val="24"/>
          <w:szCs w:val="24"/>
          <w:highlight w:val="none"/>
          <w:lang w:eastAsia="zh-CN"/>
          <w14:textFill>
            <w14:solidFill>
              <w14:schemeClr w14:val="tx1"/>
            </w14:solidFill>
          </w14:textFill>
        </w:rPr>
        <w:t>。</w:t>
      </w:r>
    </w:p>
    <w:p w14:paraId="2378677D">
      <w:pPr>
        <w:ind w:firstLine="0" w:firstLineChars="0"/>
        <w:sectPr>
          <w:pgSz w:w="16838" w:h="11906" w:orient="landscape"/>
          <w:pgMar w:top="1800" w:right="1440" w:bottom="1800" w:left="1440" w:header="851" w:footer="1077" w:gutter="0"/>
          <w:pgBorders>
            <w:top w:val="none" w:sz="0" w:space="0"/>
            <w:left w:val="none" w:sz="0" w:space="0"/>
            <w:bottom w:val="none" w:sz="0" w:space="0"/>
            <w:right w:val="none" w:sz="0" w:space="0"/>
          </w:pgBorders>
          <w:cols w:space="720" w:num="1"/>
          <w:docGrid w:linePitch="312" w:charSpace="0"/>
        </w:sectPr>
      </w:pPr>
    </w:p>
    <w:tbl>
      <w:tblPr>
        <w:tblStyle w:val="41"/>
        <w:tblW w:w="85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56"/>
        <w:gridCol w:w="8511"/>
      </w:tblGrid>
      <w:tr w14:paraId="7B139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Align w:val="center"/>
          </w:tcPr>
          <w:p w14:paraId="11E0D8CE">
            <w:pPr>
              <w:adjustRightInd w:val="0"/>
              <w:snapToGrid w:val="0"/>
              <w:spacing w:line="240" w:lineRule="auto"/>
              <w:ind w:firstLine="0" w:firstLineChars="0"/>
              <w:jc w:val="center"/>
              <w:rPr>
                <w:kern w:val="0"/>
                <w:szCs w:val="21"/>
              </w:rPr>
            </w:pPr>
            <w:r>
              <w:rPr>
                <w:rFonts w:hint="eastAsia"/>
                <w:bCs/>
                <w:szCs w:val="21"/>
              </w:rPr>
              <w:t>与项目有关的原有环境污染和生态破坏问题</w:t>
            </w:r>
          </w:p>
        </w:tc>
        <w:tc>
          <w:tcPr>
            <w:tcW w:w="7879" w:type="dxa"/>
            <w:vAlign w:val="center"/>
          </w:tcPr>
          <w:p w14:paraId="2C862EE0">
            <w:pPr>
              <w:widowControl/>
              <w:ind w:firstLine="240" w:firstLineChars="100"/>
              <w:jc w:val="left"/>
            </w:pPr>
            <w:r>
              <w:rPr>
                <w:rFonts w:hint="eastAsia"/>
                <w:kern w:val="0"/>
                <w:lang w:bidi="ar"/>
              </w:rPr>
              <w:t>根据现场调查，大旋塘采石场现存主要环境问题如下：</w:t>
            </w:r>
          </w:p>
          <w:p w14:paraId="2FF9A5E3">
            <w:pPr>
              <w:widowControl/>
              <w:ind w:firstLine="240" w:firstLineChars="100"/>
              <w:jc w:val="left"/>
              <w:rPr>
                <w:kern w:val="0"/>
                <w:lang w:bidi="ar"/>
              </w:rPr>
            </w:pPr>
            <w:r>
              <w:rPr>
                <w:rFonts w:hint="eastAsia"/>
                <w:kern w:val="0"/>
                <w:lang w:bidi="ar"/>
              </w:rPr>
              <w:t>1、矿山生态破坏</w:t>
            </w:r>
          </w:p>
          <w:p w14:paraId="66382A0C">
            <w:pPr>
              <w:widowControl/>
              <w:ind w:firstLine="240" w:firstLineChars="100"/>
              <w:jc w:val="left"/>
            </w:pPr>
            <w:r>
              <w:rPr>
                <w:kern w:val="0"/>
                <w:lang w:bidi="ar"/>
              </w:rPr>
              <w:t>1</w:t>
            </w:r>
            <w:r>
              <w:rPr>
                <w:rFonts w:hint="eastAsia" w:ascii="宋体" w:hAnsi="宋体" w:cs="宋体"/>
                <w:kern w:val="0"/>
                <w:lang w:bidi="ar"/>
              </w:rPr>
              <w:t>）土地与植被占压与破坏</w:t>
            </w:r>
          </w:p>
          <w:p w14:paraId="547571AA">
            <w:pPr>
              <w:widowControl/>
              <w:ind w:firstLine="240" w:firstLineChars="100"/>
              <w:jc w:val="left"/>
            </w:pPr>
            <w:r>
              <w:rPr>
                <w:kern w:val="0"/>
                <w:lang w:bidi="ar"/>
              </w:rPr>
              <w:t>矿区经过多年开采，形成高陡边坡。矿山范围内由于多年开采，露天采坑范围内土地主要以挖损为主，废石堆场、破碎站房等区域土地资源破坏以压占为主。植被的破坏主要来自露天采场、堆土场、矿山道路、破碎站房等建设活动，对地表植被造成大面积的破坏，使该区域内地表大部分植被消失。</w:t>
            </w:r>
          </w:p>
          <w:p w14:paraId="787F706E">
            <w:pPr>
              <w:widowControl/>
              <w:ind w:firstLine="240" w:firstLineChars="100"/>
              <w:jc w:val="left"/>
            </w:pPr>
            <w:r>
              <w:rPr>
                <w:kern w:val="0"/>
                <w:lang w:bidi="ar"/>
              </w:rPr>
              <w:t>2</w:t>
            </w:r>
            <w:r>
              <w:rPr>
                <w:rFonts w:hint="eastAsia" w:ascii="宋体" w:hAnsi="宋体" w:cs="宋体"/>
                <w:kern w:val="0"/>
                <w:lang w:bidi="ar"/>
              </w:rPr>
              <w:t>）地形地貌破坏</w:t>
            </w:r>
          </w:p>
          <w:p w14:paraId="47BFC832">
            <w:pPr>
              <w:widowControl/>
              <w:ind w:firstLine="240" w:firstLineChars="100"/>
              <w:jc w:val="left"/>
              <w:rPr>
                <w:rFonts w:hint="eastAsia" w:ascii="宋体" w:hAnsi="宋体" w:cs="宋体"/>
              </w:rPr>
            </w:pPr>
            <w:r>
              <w:rPr>
                <w:kern w:val="0"/>
              </w:rPr>
              <w:t>采损区呈北东</w:t>
            </w:r>
            <w:r>
              <w:rPr>
                <w:rFonts w:hint="eastAsia"/>
                <w:kern w:val="0"/>
              </w:rPr>
              <w:t>－</w:t>
            </w:r>
            <w:r>
              <w:rPr>
                <w:kern w:val="0"/>
              </w:rPr>
              <w:t>南西展布，长约400m，宽约260m，区内地势呈东高西低，最高点位于项目区东部山头，最低点位于西部采场底部，最大相对高差约55.74m。现状东部为原开采矿石形成的岩质边坡，该边坡形成4</w:t>
            </w:r>
            <w:r>
              <w:rPr>
                <w:rFonts w:hint="eastAsia"/>
                <w:kern w:val="0"/>
              </w:rPr>
              <w:t>—</w:t>
            </w:r>
            <w:r>
              <w:rPr>
                <w:kern w:val="0"/>
              </w:rPr>
              <w:t>32m四个高度不等的不稳定边坡</w:t>
            </w:r>
            <w:r>
              <w:t>。</w:t>
            </w:r>
          </w:p>
          <w:p w14:paraId="3BD024AF">
            <w:pPr>
              <w:widowControl/>
              <w:ind w:firstLine="240" w:firstLineChars="100"/>
              <w:jc w:val="left"/>
              <w:rPr>
                <w:rFonts w:hint="eastAsia" w:hAnsi="宋体" w:cs="宋体"/>
              </w:rPr>
            </w:pPr>
            <w:r>
              <w:drawing>
                <wp:inline distT="0" distB="0" distL="0" distR="0">
                  <wp:extent cx="4686300" cy="4592955"/>
                  <wp:effectExtent l="0" t="0" r="0" b="0"/>
                  <wp:docPr id="1446833231" name="图片 5" descr="1740610249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6833231" name="图片 5" descr="174061024936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a:xfrm>
                            <a:off x="0" y="0"/>
                            <a:ext cx="4688464" cy="4595466"/>
                          </a:xfrm>
                          <a:prstGeom prst="rect">
                            <a:avLst/>
                          </a:prstGeom>
                          <a:noFill/>
                          <a:ln>
                            <a:noFill/>
                          </a:ln>
                        </pic:spPr>
                      </pic:pic>
                    </a:graphicData>
                  </a:graphic>
                </wp:inline>
              </w:drawing>
            </w:r>
          </w:p>
          <w:p w14:paraId="20B6C060">
            <w:pPr>
              <w:ind w:firstLine="211" w:firstLineChars="100"/>
              <w:jc w:val="center"/>
              <w:rPr>
                <w:b/>
                <w:sz w:val="21"/>
              </w:rPr>
            </w:pPr>
            <w:r>
              <w:rPr>
                <w:b/>
                <w:sz w:val="21"/>
              </w:rPr>
              <w:t>图3-2  项目区地形地貌图</w:t>
            </w:r>
          </w:p>
          <w:p w14:paraId="6846AF75">
            <w:pPr>
              <w:widowControl/>
              <w:ind w:firstLine="240" w:firstLineChars="100"/>
              <w:jc w:val="left"/>
            </w:pPr>
            <w:r>
              <w:rPr>
                <w:kern w:val="0"/>
                <w:lang w:bidi="ar"/>
              </w:rPr>
              <w:t>3</w:t>
            </w:r>
            <w:r>
              <w:rPr>
                <w:rFonts w:hint="eastAsia" w:ascii="宋体" w:hAnsi="宋体" w:cs="宋体"/>
                <w:kern w:val="0"/>
                <w:lang w:bidi="ar"/>
              </w:rPr>
              <w:t>）水土流失</w:t>
            </w:r>
          </w:p>
          <w:p w14:paraId="3629CE8A">
            <w:pPr>
              <w:widowControl/>
              <w:ind w:firstLine="480" w:firstLineChars="200"/>
              <w:jc w:val="left"/>
            </w:pPr>
            <w:r>
              <w:rPr>
                <w:rFonts w:hint="eastAsia" w:ascii="宋体" w:hAnsi="宋体" w:cs="宋体"/>
                <w:kern w:val="0"/>
                <w:lang w:bidi="ar"/>
              </w:rPr>
              <w:t>矿区及周边水土流失类型以降雨和地表径流冲刷引起的水力侵蚀为主，主要形式为坡面面蚀。因矿业活动改变了地表形态形成新的人造地形地貌、露天开采破坏了植被加剧水土流失、弃土废石的露天堆放极易受冲刷产生更严重的水土流失。</w:t>
            </w:r>
          </w:p>
          <w:p w14:paraId="614C65CD">
            <w:pPr>
              <w:widowControl/>
              <w:ind w:firstLine="240" w:firstLineChars="100"/>
              <w:jc w:val="left"/>
              <w:rPr>
                <w:kern w:val="0"/>
                <w:lang w:bidi="ar"/>
              </w:rPr>
            </w:pPr>
            <w:r>
              <w:rPr>
                <w:rFonts w:hint="eastAsia"/>
                <w:kern w:val="0"/>
                <w:lang w:bidi="ar"/>
              </w:rPr>
              <w:t>2、矿区地质灾害</w:t>
            </w:r>
          </w:p>
          <w:p w14:paraId="5DB3B392">
            <w:pPr>
              <w:widowControl/>
              <w:ind w:firstLine="480" w:firstLineChars="200"/>
              <w:jc w:val="left"/>
              <w:rPr>
                <w:kern w:val="0"/>
                <w:lang w:bidi="ar"/>
              </w:rPr>
            </w:pPr>
            <w:r>
              <w:rPr>
                <w:rFonts w:hint="eastAsia" w:ascii="宋体" w:hAnsi="宋体" w:cs="宋体"/>
                <w:kern w:val="0"/>
                <w:lang w:bidi="ar"/>
              </w:rPr>
              <w:t>矿区边坡节理裂隙发育，边坡较高，存在较多的爆破裂隙、风化裂隙、卸荷裂隙，局部边坡稳定性较差。据现场实地踏勘，由于露天开采主要形成的现状地质灾害为4处不稳定边坡。随着进一步风化，雨季地表水入渗进一步增加坡体自重并采坑水面抬升，同时随着坡脚水面变化对坡脚浸泡软化，会进一步降低坡脚处岩体工程力学性能，可能增加坡体继续滑移的可能性。</w:t>
            </w:r>
          </w:p>
        </w:tc>
      </w:tr>
      <w:tr w14:paraId="5337E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93" w:hRule="atLeast"/>
        </w:trPr>
        <w:tc>
          <w:tcPr>
            <w:tcW w:w="679" w:type="dxa"/>
            <w:vAlign w:val="center"/>
          </w:tcPr>
          <w:p w14:paraId="3D9A08EA">
            <w:pPr>
              <w:adjustRightInd w:val="0"/>
              <w:snapToGrid w:val="0"/>
              <w:spacing w:line="240" w:lineRule="auto"/>
              <w:ind w:firstLine="0" w:firstLineChars="0"/>
              <w:jc w:val="center"/>
              <w:rPr>
                <w:bCs/>
                <w:szCs w:val="21"/>
              </w:rPr>
            </w:pPr>
            <w:r>
              <w:rPr>
                <w:rFonts w:hint="eastAsia"/>
                <w:kern w:val="0"/>
                <w:szCs w:val="21"/>
              </w:rPr>
              <w:t>生态环境保护目标</w:t>
            </w:r>
          </w:p>
        </w:tc>
        <w:tc>
          <w:tcPr>
            <w:tcW w:w="7879" w:type="dxa"/>
            <w:vAlign w:val="center"/>
          </w:tcPr>
          <w:p w14:paraId="43B71487">
            <w:pPr>
              <w:widowControl/>
              <w:ind w:firstLine="480"/>
              <w:jc w:val="left"/>
              <w:rPr>
                <w:rFonts w:hint="eastAsia" w:ascii="宋体" w:hAnsi="宋体" w:cs="宋体"/>
                <w:kern w:val="0"/>
                <w:lang w:bidi="ar"/>
              </w:rPr>
            </w:pPr>
            <w:r>
              <w:rPr>
                <w:rFonts w:hint="eastAsia" w:ascii="宋体" w:hAnsi="宋体" w:cs="宋体"/>
                <w:kern w:val="0"/>
                <w:lang w:bidi="ar"/>
              </w:rPr>
              <w:t>根据《建设项目环境影响报告表编制技术指南（生态影响类）（试行）》， 按照环境影响评价相关技术导则要求确定评价范围并识别环境保护目标。</w:t>
            </w:r>
          </w:p>
          <w:p w14:paraId="3356E8C7">
            <w:pPr>
              <w:widowControl/>
              <w:ind w:firstLine="480"/>
              <w:jc w:val="left"/>
              <w:rPr>
                <w:rFonts w:hint="eastAsia" w:ascii="宋体" w:hAnsi="宋体" w:cs="宋体"/>
                <w:kern w:val="0"/>
                <w:lang w:bidi="ar"/>
              </w:rPr>
            </w:pPr>
            <w:r>
              <w:rPr>
                <w:rFonts w:hint="eastAsia" w:ascii="宋体" w:hAnsi="宋体" w:cs="宋体"/>
                <w:kern w:val="0"/>
                <w:lang w:bidi="ar"/>
              </w:rPr>
              <w:t>1、大气环境保护目标</w:t>
            </w:r>
          </w:p>
          <w:p w14:paraId="4F06AC5D">
            <w:pPr>
              <w:widowControl/>
              <w:ind w:firstLine="480"/>
              <w:jc w:val="left"/>
              <w:rPr>
                <w:kern w:val="0"/>
                <w:lang w:bidi="ar"/>
              </w:rPr>
            </w:pPr>
            <w:r>
              <w:rPr>
                <w:kern w:val="0"/>
                <w:lang w:bidi="ar"/>
              </w:rPr>
              <w:t>根据《环境影响评价技术导则大气环境》（HJ2.2-2018）规定，采用附录A 推荐模型中估算模型计算本项目污染源排放主要污染物的最大地面空气质量浓度占标率Pi（第i个污染物，简称“最大浓度占标率”），及第i个污染物的地面空气质量浓度达到标准值的10%时所对应的最远距离D10%确定评价范围。</w:t>
            </w:r>
          </w:p>
          <w:p w14:paraId="0A2C52B5">
            <w:pPr>
              <w:widowControl/>
              <w:ind w:firstLine="480"/>
              <w:jc w:val="center"/>
              <w:rPr>
                <w:kern w:val="0"/>
                <w:highlight w:val="green"/>
                <w:lang w:bidi="ar"/>
              </w:rPr>
            </w:pPr>
            <w:r>
              <w:drawing>
                <wp:inline distT="0" distB="0" distL="114300" distR="114300">
                  <wp:extent cx="1303020" cy="502920"/>
                  <wp:effectExtent l="0" t="0" r="11430" b="11430"/>
                  <wp:docPr id="22" name="图片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25"/>
                          <pic:cNvPicPr>
                            <a:picLocks noChangeAspect="1"/>
                          </pic:cNvPicPr>
                        </pic:nvPicPr>
                        <pic:blipFill>
                          <a:blip r:embed="rId12"/>
                          <a:stretch>
                            <a:fillRect/>
                          </a:stretch>
                        </pic:blipFill>
                        <pic:spPr>
                          <a:xfrm>
                            <a:off x="0" y="0"/>
                            <a:ext cx="1303020" cy="502920"/>
                          </a:xfrm>
                          <a:prstGeom prst="rect">
                            <a:avLst/>
                          </a:prstGeom>
                          <a:noFill/>
                          <a:ln>
                            <a:noFill/>
                          </a:ln>
                        </pic:spPr>
                      </pic:pic>
                    </a:graphicData>
                  </a:graphic>
                </wp:inline>
              </w:drawing>
            </w:r>
          </w:p>
          <w:p w14:paraId="788AC731">
            <w:pPr>
              <w:widowControl/>
              <w:ind w:firstLine="480"/>
              <w:jc w:val="left"/>
            </w:pPr>
            <w:r>
              <w:rPr>
                <w:rFonts w:hint="eastAsia"/>
              </w:rPr>
              <w:t>式中：</w:t>
            </w:r>
            <w:r>
              <w:t>Pi—</w:t>
            </w:r>
            <w:r>
              <w:rPr>
                <w:rFonts w:hint="eastAsia"/>
              </w:rPr>
              <w:t>第</w:t>
            </w:r>
            <w:r>
              <w:t>i</w:t>
            </w:r>
            <w:r>
              <w:rPr>
                <w:rFonts w:hint="eastAsia"/>
              </w:rPr>
              <w:t>个污染物最大地面浓度占标率，</w:t>
            </w:r>
            <w:r>
              <w:t>%</w:t>
            </w:r>
            <w:r>
              <w:rPr>
                <w:rFonts w:hint="eastAsia"/>
              </w:rPr>
              <w:t>；</w:t>
            </w:r>
          </w:p>
          <w:p w14:paraId="7DAD54F6">
            <w:pPr>
              <w:widowControl/>
              <w:ind w:firstLineChars="300"/>
              <w:jc w:val="left"/>
            </w:pPr>
            <w:r>
              <w:t>Ci—</w:t>
            </w:r>
            <w:r>
              <w:rPr>
                <w:rFonts w:hint="eastAsia"/>
              </w:rPr>
              <w:t xml:space="preserve">采用估算模式计算出的第 </w:t>
            </w:r>
            <w:r>
              <w:t xml:space="preserve">i </w:t>
            </w:r>
            <w:r>
              <w:rPr>
                <w:rFonts w:hint="eastAsia"/>
              </w:rPr>
              <w:t>个污染物的最大地面浓度，</w:t>
            </w:r>
            <w:r>
              <w:t>mg/</w:t>
            </w:r>
            <w:r>
              <w:rPr>
                <w:rFonts w:hint="eastAsia"/>
              </w:rPr>
              <w:t>m³；</w:t>
            </w:r>
          </w:p>
          <w:p w14:paraId="6B2C1637">
            <w:pPr>
              <w:widowControl/>
              <w:ind w:firstLineChars="300"/>
              <w:jc w:val="left"/>
              <w:rPr>
                <w:kern w:val="0"/>
                <w:highlight w:val="green"/>
                <w:lang w:bidi="ar"/>
              </w:rPr>
            </w:pPr>
            <w:r>
              <w:t>C0i—</w:t>
            </w:r>
            <w:r>
              <w:rPr>
                <w:rFonts w:hint="eastAsia"/>
              </w:rPr>
              <w:t>第</w:t>
            </w:r>
            <w:r>
              <w:t>i</w:t>
            </w:r>
            <w:r>
              <w:rPr>
                <w:rFonts w:hint="eastAsia"/>
              </w:rPr>
              <w:t>个污染物的环境空气质量标准，</w:t>
            </w:r>
            <w:r>
              <w:t>mg/</w:t>
            </w:r>
            <w:r>
              <w:rPr>
                <w:rFonts w:hint="eastAsia"/>
              </w:rPr>
              <w:t>m³。</w:t>
            </w:r>
          </w:p>
          <w:p w14:paraId="3C76F7F3">
            <w:pPr>
              <w:widowControl/>
              <w:ind w:firstLine="480"/>
              <w:jc w:val="left"/>
            </w:pPr>
            <w:r>
              <w:rPr>
                <w:rFonts w:hint="eastAsia"/>
                <w:kern w:val="0"/>
                <w:lang w:bidi="ar"/>
              </w:rPr>
              <w:t>项目大</w:t>
            </w:r>
            <w:r>
              <w:rPr>
                <w:rFonts w:hint="eastAsia" w:ascii="宋体" w:hAnsi="宋体" w:cs="宋体"/>
                <w:kern w:val="0"/>
                <w:lang w:bidi="ar"/>
              </w:rPr>
              <w:t>气环境影响评价因子为</w:t>
            </w:r>
            <w:r>
              <w:rPr>
                <w:kern w:val="0"/>
                <w:lang w:bidi="ar"/>
              </w:rPr>
              <w:t>TSP</w:t>
            </w:r>
            <w:r>
              <w:rPr>
                <w:rFonts w:hint="eastAsia" w:ascii="宋体" w:hAnsi="宋体" w:cs="宋体"/>
                <w:kern w:val="0"/>
                <w:lang w:bidi="ar"/>
              </w:rPr>
              <w:t>，采用《导则》中推荐的</w:t>
            </w:r>
            <w:r>
              <w:rPr>
                <w:kern w:val="0"/>
                <w:lang w:bidi="ar"/>
              </w:rPr>
              <w:t>AERSCREEN</w:t>
            </w:r>
            <w:r>
              <w:rPr>
                <w:rFonts w:hint="eastAsia" w:ascii="宋体" w:hAnsi="宋体" w:cs="宋体"/>
                <w:kern w:val="0"/>
                <w:lang w:bidi="ar"/>
              </w:rPr>
              <w:t>模型对拟建项目的评价等级及评价范围进行计算，估算模式参数、污染源调查清单见下表。</w:t>
            </w:r>
          </w:p>
          <w:p w14:paraId="4D0F4CF1">
            <w:pPr>
              <w:pStyle w:val="70"/>
              <w:rPr>
                <w:sz w:val="24"/>
                <w:szCs w:val="24"/>
              </w:rPr>
            </w:pPr>
            <w:r>
              <w:rPr>
                <w:rFonts w:hint="eastAsia"/>
                <w:sz w:val="24"/>
                <w:szCs w:val="24"/>
              </w:rPr>
              <w:t>表3-13  估算模型参数表</w:t>
            </w:r>
          </w:p>
          <w:tbl>
            <w:tblPr>
              <w:tblStyle w:val="40"/>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1"/>
              <w:gridCol w:w="3193"/>
              <w:gridCol w:w="2498"/>
            </w:tblGrid>
            <w:tr w14:paraId="23A304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1" w:type="pct"/>
                  <w:gridSpan w:val="2"/>
                  <w:vAlign w:val="center"/>
                </w:tcPr>
                <w:p w14:paraId="2B22A56F">
                  <w:pPr>
                    <w:pStyle w:val="86"/>
                    <w:rPr>
                      <w:b/>
                      <w:bCs/>
                    </w:rPr>
                  </w:pPr>
                  <w:r>
                    <w:rPr>
                      <w:b/>
                      <w:bCs/>
                    </w:rPr>
                    <w:t>参数</w:t>
                  </w:r>
                </w:p>
              </w:tc>
              <w:tc>
                <w:tcPr>
                  <w:tcW w:w="1508" w:type="pct"/>
                  <w:vAlign w:val="center"/>
                </w:tcPr>
                <w:p w14:paraId="2B071766">
                  <w:pPr>
                    <w:pStyle w:val="86"/>
                    <w:rPr>
                      <w:b/>
                      <w:bCs/>
                    </w:rPr>
                  </w:pPr>
                  <w:r>
                    <w:rPr>
                      <w:b/>
                      <w:bCs/>
                    </w:rPr>
                    <w:t>取值</w:t>
                  </w:r>
                </w:p>
              </w:tc>
            </w:tr>
            <w:tr w14:paraId="78E76B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pct"/>
                  <w:vMerge w:val="restart"/>
                  <w:vAlign w:val="center"/>
                </w:tcPr>
                <w:p w14:paraId="72E0416C">
                  <w:pPr>
                    <w:pStyle w:val="86"/>
                  </w:pPr>
                  <w:r>
                    <w:t>城市/农村选项</w:t>
                  </w:r>
                </w:p>
              </w:tc>
              <w:tc>
                <w:tcPr>
                  <w:tcW w:w="1927" w:type="pct"/>
                  <w:vAlign w:val="center"/>
                </w:tcPr>
                <w:p w14:paraId="7F591DB2">
                  <w:pPr>
                    <w:pStyle w:val="86"/>
                  </w:pPr>
                  <w:r>
                    <w:t>城市/农村</w:t>
                  </w:r>
                </w:p>
              </w:tc>
              <w:tc>
                <w:tcPr>
                  <w:tcW w:w="1508" w:type="pct"/>
                  <w:vAlign w:val="center"/>
                </w:tcPr>
                <w:p w14:paraId="30A8CEDF">
                  <w:pPr>
                    <w:pStyle w:val="86"/>
                  </w:pPr>
                  <w:r>
                    <w:t>农村</w:t>
                  </w:r>
                </w:p>
              </w:tc>
            </w:tr>
            <w:tr w14:paraId="1133FB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pct"/>
                  <w:vMerge w:val="continue"/>
                  <w:vAlign w:val="center"/>
                </w:tcPr>
                <w:p w14:paraId="625C3E69">
                  <w:pPr>
                    <w:pStyle w:val="86"/>
                  </w:pPr>
                </w:p>
              </w:tc>
              <w:tc>
                <w:tcPr>
                  <w:tcW w:w="1927" w:type="pct"/>
                  <w:vAlign w:val="center"/>
                </w:tcPr>
                <w:p w14:paraId="0A282CBC">
                  <w:pPr>
                    <w:pStyle w:val="86"/>
                  </w:pPr>
                  <w:r>
                    <w:t>人口数（城市选项时）</w:t>
                  </w:r>
                </w:p>
              </w:tc>
              <w:tc>
                <w:tcPr>
                  <w:tcW w:w="1508" w:type="pct"/>
                  <w:vAlign w:val="center"/>
                </w:tcPr>
                <w:p w14:paraId="5F015291">
                  <w:pPr>
                    <w:pStyle w:val="86"/>
                  </w:pPr>
                  <w:r>
                    <w:t>/</w:t>
                  </w:r>
                </w:p>
              </w:tc>
            </w:tr>
            <w:tr w14:paraId="5F0A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1" w:type="pct"/>
                  <w:gridSpan w:val="2"/>
                  <w:vAlign w:val="center"/>
                </w:tcPr>
                <w:p w14:paraId="22E7CC7D">
                  <w:pPr>
                    <w:pStyle w:val="86"/>
                  </w:pPr>
                  <w:r>
                    <w:t>最高环境温度/</w:t>
                  </w:r>
                  <w:r>
                    <w:rPr>
                      <w:rFonts w:hint="eastAsia"/>
                    </w:rPr>
                    <w:t>℃</w:t>
                  </w:r>
                </w:p>
              </w:tc>
              <w:tc>
                <w:tcPr>
                  <w:tcW w:w="1508" w:type="pct"/>
                  <w:vAlign w:val="center"/>
                </w:tcPr>
                <w:p w14:paraId="567A6F40">
                  <w:pPr>
                    <w:pStyle w:val="86"/>
                  </w:pPr>
                  <w:r>
                    <w:rPr>
                      <w:rFonts w:hint="eastAsia"/>
                    </w:rPr>
                    <w:t>31.9</w:t>
                  </w:r>
                </w:p>
              </w:tc>
            </w:tr>
            <w:tr w14:paraId="11E402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1" w:type="pct"/>
                  <w:gridSpan w:val="2"/>
                  <w:vAlign w:val="center"/>
                </w:tcPr>
                <w:p w14:paraId="43FEB6D7">
                  <w:pPr>
                    <w:pStyle w:val="86"/>
                  </w:pPr>
                  <w:r>
                    <w:t>最低环境温度/</w:t>
                  </w:r>
                  <w:r>
                    <w:rPr>
                      <w:rFonts w:hint="eastAsia"/>
                    </w:rPr>
                    <w:t>℃</w:t>
                  </w:r>
                </w:p>
              </w:tc>
              <w:tc>
                <w:tcPr>
                  <w:tcW w:w="1508" w:type="pct"/>
                  <w:vAlign w:val="center"/>
                </w:tcPr>
                <w:p w14:paraId="55FBB6C1">
                  <w:pPr>
                    <w:pStyle w:val="86"/>
                  </w:pPr>
                  <w:r>
                    <w:rPr>
                      <w:rFonts w:hint="eastAsia"/>
                    </w:rPr>
                    <w:t>-2.6</w:t>
                  </w:r>
                </w:p>
              </w:tc>
            </w:tr>
            <w:tr w14:paraId="781ED6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1" w:type="pct"/>
                  <w:gridSpan w:val="2"/>
                  <w:vAlign w:val="center"/>
                </w:tcPr>
                <w:p w14:paraId="13009B7C">
                  <w:pPr>
                    <w:pStyle w:val="86"/>
                  </w:pPr>
                  <w:r>
                    <w:t>土地利用类型</w:t>
                  </w:r>
                </w:p>
              </w:tc>
              <w:tc>
                <w:tcPr>
                  <w:tcW w:w="1508" w:type="pct"/>
                  <w:vAlign w:val="center"/>
                </w:tcPr>
                <w:p w14:paraId="7ECF2CC8">
                  <w:pPr>
                    <w:pStyle w:val="86"/>
                  </w:pPr>
                  <w:r>
                    <w:rPr>
                      <w:rFonts w:hint="eastAsia"/>
                    </w:rPr>
                    <w:t>落叶林</w:t>
                  </w:r>
                </w:p>
              </w:tc>
            </w:tr>
            <w:tr w14:paraId="27206C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491" w:type="pct"/>
                  <w:gridSpan w:val="2"/>
                  <w:vAlign w:val="center"/>
                </w:tcPr>
                <w:p w14:paraId="39C988CB">
                  <w:pPr>
                    <w:pStyle w:val="86"/>
                  </w:pPr>
                  <w:r>
                    <w:t>区域湿度条件</w:t>
                  </w:r>
                </w:p>
              </w:tc>
              <w:tc>
                <w:tcPr>
                  <w:tcW w:w="1508" w:type="pct"/>
                  <w:tcBorders>
                    <w:bottom w:val="single" w:color="auto" w:sz="4" w:space="0"/>
                  </w:tcBorders>
                  <w:vAlign w:val="center"/>
                </w:tcPr>
                <w:p w14:paraId="4B69D1F9">
                  <w:pPr>
                    <w:pStyle w:val="86"/>
                  </w:pPr>
                  <w:r>
                    <w:rPr>
                      <w:rFonts w:hint="eastAsia"/>
                    </w:rPr>
                    <w:t>潮湿</w:t>
                  </w:r>
                </w:p>
              </w:tc>
            </w:tr>
            <w:tr w14:paraId="2DB103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pct"/>
                  <w:vMerge w:val="restart"/>
                  <w:vAlign w:val="center"/>
                </w:tcPr>
                <w:p w14:paraId="3F68BF03">
                  <w:pPr>
                    <w:pStyle w:val="86"/>
                  </w:pPr>
                  <w:r>
                    <w:t>是否考虑地形</w:t>
                  </w:r>
                </w:p>
              </w:tc>
              <w:tc>
                <w:tcPr>
                  <w:tcW w:w="1927" w:type="pct"/>
                  <w:vAlign w:val="center"/>
                </w:tcPr>
                <w:p w14:paraId="4C9B0C97">
                  <w:pPr>
                    <w:pStyle w:val="86"/>
                  </w:pPr>
                  <w:r>
                    <w:t>考虑地形</w:t>
                  </w:r>
                </w:p>
              </w:tc>
              <w:tc>
                <w:tcPr>
                  <w:tcW w:w="1508" w:type="pct"/>
                  <w:vAlign w:val="center"/>
                </w:tcPr>
                <w:p w14:paraId="23DE1ED5">
                  <w:pPr>
                    <w:pStyle w:val="86"/>
                  </w:pPr>
                  <w:r>
                    <w:rPr>
                      <w:rFonts w:hint="eastAsia"/>
                    </w:rPr>
                    <w:t>□</w:t>
                  </w:r>
                  <w:r>
                    <w:t xml:space="preserve">是   </w:t>
                  </w:r>
                  <w:r>
                    <w:rPr>
                      <w:rFonts w:hint="eastAsia"/>
                    </w:rPr>
                    <w:t>☑</w:t>
                  </w:r>
                  <w:r>
                    <w:t>否</w:t>
                  </w:r>
                </w:p>
              </w:tc>
            </w:tr>
            <w:tr w14:paraId="0F95E8B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pct"/>
                  <w:vMerge w:val="continue"/>
                  <w:vAlign w:val="center"/>
                </w:tcPr>
                <w:p w14:paraId="0B923805">
                  <w:pPr>
                    <w:pStyle w:val="86"/>
                  </w:pPr>
                </w:p>
              </w:tc>
              <w:tc>
                <w:tcPr>
                  <w:tcW w:w="1927" w:type="pct"/>
                  <w:vAlign w:val="center"/>
                </w:tcPr>
                <w:p w14:paraId="1DB1E7B2">
                  <w:pPr>
                    <w:pStyle w:val="86"/>
                  </w:pPr>
                  <w:r>
                    <w:t>地形数据分辨率/m</w:t>
                  </w:r>
                </w:p>
              </w:tc>
              <w:tc>
                <w:tcPr>
                  <w:tcW w:w="1508" w:type="pct"/>
                  <w:vAlign w:val="center"/>
                </w:tcPr>
                <w:p w14:paraId="2CC71428">
                  <w:pPr>
                    <w:pStyle w:val="86"/>
                  </w:pPr>
                  <w:r>
                    <w:t>90</w:t>
                  </w:r>
                </w:p>
              </w:tc>
            </w:tr>
            <w:tr w14:paraId="1F4B2A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pct"/>
                  <w:vMerge w:val="restart"/>
                  <w:vAlign w:val="center"/>
                </w:tcPr>
                <w:p w14:paraId="2A109BCC">
                  <w:pPr>
                    <w:pStyle w:val="86"/>
                  </w:pPr>
                  <w:r>
                    <w:t>是否考虑岸边熏烟</w:t>
                  </w:r>
                </w:p>
              </w:tc>
              <w:tc>
                <w:tcPr>
                  <w:tcW w:w="1927" w:type="pct"/>
                  <w:vAlign w:val="center"/>
                </w:tcPr>
                <w:p w14:paraId="52AD78B0">
                  <w:pPr>
                    <w:pStyle w:val="86"/>
                  </w:pPr>
                  <w:r>
                    <w:t>考虑岸边熏烟</w:t>
                  </w:r>
                </w:p>
              </w:tc>
              <w:tc>
                <w:tcPr>
                  <w:tcW w:w="1508" w:type="pct"/>
                  <w:vAlign w:val="center"/>
                </w:tcPr>
                <w:p w14:paraId="7B7AD4B4">
                  <w:pPr>
                    <w:pStyle w:val="86"/>
                  </w:pPr>
                  <w:r>
                    <w:rPr>
                      <w:rFonts w:hint="eastAsia"/>
                    </w:rPr>
                    <w:t>□</w:t>
                  </w:r>
                  <w:r>
                    <w:t xml:space="preserve">是   </w:t>
                  </w:r>
                  <w:r>
                    <w:rPr>
                      <w:rFonts w:hint="eastAsia"/>
                    </w:rPr>
                    <w:t>☑</w:t>
                  </w:r>
                  <w:r>
                    <w:t>否</w:t>
                  </w:r>
                </w:p>
              </w:tc>
            </w:tr>
            <w:tr w14:paraId="2C50A4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pct"/>
                  <w:vMerge w:val="continue"/>
                  <w:vAlign w:val="center"/>
                </w:tcPr>
                <w:p w14:paraId="29376F45">
                  <w:pPr>
                    <w:pStyle w:val="86"/>
                  </w:pPr>
                </w:p>
              </w:tc>
              <w:tc>
                <w:tcPr>
                  <w:tcW w:w="1927" w:type="pct"/>
                  <w:vAlign w:val="center"/>
                </w:tcPr>
                <w:p w14:paraId="56F2EE39">
                  <w:pPr>
                    <w:pStyle w:val="86"/>
                  </w:pPr>
                  <w:r>
                    <w:t>岸线距离/km</w:t>
                  </w:r>
                </w:p>
              </w:tc>
              <w:tc>
                <w:tcPr>
                  <w:tcW w:w="1508" w:type="pct"/>
                  <w:vAlign w:val="center"/>
                </w:tcPr>
                <w:p w14:paraId="5EB133B3">
                  <w:pPr>
                    <w:pStyle w:val="86"/>
                  </w:pPr>
                  <w:r>
                    <w:t>/</w:t>
                  </w:r>
                </w:p>
              </w:tc>
            </w:tr>
            <w:tr w14:paraId="523480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64" w:type="pct"/>
                  <w:vMerge w:val="continue"/>
                  <w:vAlign w:val="center"/>
                </w:tcPr>
                <w:p w14:paraId="63F11782">
                  <w:pPr>
                    <w:pStyle w:val="86"/>
                  </w:pPr>
                </w:p>
              </w:tc>
              <w:tc>
                <w:tcPr>
                  <w:tcW w:w="1927" w:type="pct"/>
                  <w:vAlign w:val="center"/>
                </w:tcPr>
                <w:p w14:paraId="7A3E5947">
                  <w:pPr>
                    <w:pStyle w:val="86"/>
                  </w:pPr>
                  <w:r>
                    <w:t>岸线方向/。</w:t>
                  </w:r>
                </w:p>
              </w:tc>
              <w:tc>
                <w:tcPr>
                  <w:tcW w:w="1508" w:type="pct"/>
                  <w:vAlign w:val="center"/>
                </w:tcPr>
                <w:p w14:paraId="34650B50">
                  <w:pPr>
                    <w:pStyle w:val="86"/>
                  </w:pPr>
                  <w:r>
                    <w:t>/</w:t>
                  </w:r>
                </w:p>
              </w:tc>
            </w:tr>
          </w:tbl>
          <w:p w14:paraId="04E1469E">
            <w:pPr>
              <w:pStyle w:val="70"/>
              <w:rPr>
                <w:sz w:val="24"/>
                <w:szCs w:val="24"/>
                <w:lang w:bidi="ar"/>
              </w:rPr>
            </w:pPr>
            <w:r>
              <w:rPr>
                <w:rFonts w:hint="eastAsia"/>
                <w:sz w:val="24"/>
                <w:szCs w:val="24"/>
                <w:lang w:bidi="ar"/>
              </w:rPr>
              <w:t>表3-14  项目无组织排放面源参数表</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2159"/>
              <w:gridCol w:w="1949"/>
              <w:gridCol w:w="531"/>
              <w:gridCol w:w="636"/>
              <w:gridCol w:w="479"/>
              <w:gridCol w:w="636"/>
              <w:gridCol w:w="427"/>
              <w:gridCol w:w="1035"/>
            </w:tblGrid>
            <w:tr w14:paraId="7A63CA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31" w:type="pct"/>
                  <w:vMerge w:val="restart"/>
                  <w:vAlign w:val="center"/>
                </w:tcPr>
                <w:p w14:paraId="49546B97">
                  <w:pPr>
                    <w:pStyle w:val="86"/>
                    <w:rPr>
                      <w:b/>
                      <w:bCs/>
                    </w:rPr>
                  </w:pPr>
                  <w:r>
                    <w:rPr>
                      <w:rFonts w:hint="eastAsia"/>
                      <w:b/>
                      <w:bCs/>
                    </w:rPr>
                    <w:t>名称</w:t>
                  </w:r>
                </w:p>
              </w:tc>
              <w:tc>
                <w:tcPr>
                  <w:tcW w:w="1108" w:type="pct"/>
                  <w:gridSpan w:val="2"/>
                  <w:vAlign w:val="center"/>
                </w:tcPr>
                <w:p w14:paraId="3885D171">
                  <w:pPr>
                    <w:pStyle w:val="86"/>
                    <w:rPr>
                      <w:rFonts w:hint="default" w:eastAsia="宋体"/>
                      <w:b/>
                      <w:bCs/>
                      <w:lang w:val="en-US" w:eastAsia="zh-CN"/>
                    </w:rPr>
                  </w:pPr>
                  <w:r>
                    <w:rPr>
                      <w:rFonts w:hint="eastAsia"/>
                      <w:b/>
                      <w:bCs/>
                      <w:lang w:val="en-US" w:eastAsia="zh-CN"/>
                    </w:rPr>
                    <w:t>近圆形中心点坐标</w:t>
                  </w:r>
                </w:p>
              </w:tc>
              <w:tc>
                <w:tcPr>
                  <w:tcW w:w="607" w:type="pct"/>
                  <w:vMerge w:val="restart"/>
                  <w:vAlign w:val="center"/>
                </w:tcPr>
                <w:p w14:paraId="74AAC7FA">
                  <w:pPr>
                    <w:pStyle w:val="86"/>
                    <w:rPr>
                      <w:rFonts w:hint="default" w:eastAsia="宋体"/>
                      <w:b/>
                      <w:bCs/>
                      <w:lang w:val="en-US" w:eastAsia="zh-CN"/>
                    </w:rPr>
                  </w:pPr>
                  <w:r>
                    <w:rPr>
                      <w:rFonts w:hint="eastAsia"/>
                      <w:b/>
                      <w:bCs/>
                      <w:lang w:val="en-US" w:eastAsia="zh-CN"/>
                    </w:rPr>
                    <w:t>半径/m</w:t>
                  </w:r>
                </w:p>
              </w:tc>
              <w:tc>
                <w:tcPr>
                  <w:tcW w:w="607" w:type="pct"/>
                  <w:vMerge w:val="restart"/>
                  <w:vAlign w:val="center"/>
                </w:tcPr>
                <w:p w14:paraId="0172E38B">
                  <w:pPr>
                    <w:pStyle w:val="86"/>
                    <w:rPr>
                      <w:b/>
                      <w:bCs/>
                    </w:rPr>
                  </w:pPr>
                  <w:r>
                    <w:rPr>
                      <w:rFonts w:hint="eastAsia"/>
                      <w:b/>
                      <w:bCs/>
                    </w:rPr>
                    <w:t>面源海拔高度</w:t>
                  </w:r>
                  <w:r>
                    <w:rPr>
                      <w:b/>
                      <w:bCs/>
                    </w:rPr>
                    <w:t>/m</w:t>
                  </w:r>
                </w:p>
              </w:tc>
              <w:tc>
                <w:tcPr>
                  <w:tcW w:w="524" w:type="pct"/>
                  <w:vMerge w:val="restart"/>
                  <w:vAlign w:val="center"/>
                </w:tcPr>
                <w:p w14:paraId="12B2093F">
                  <w:pPr>
                    <w:pStyle w:val="86"/>
                    <w:rPr>
                      <w:b/>
                      <w:bCs/>
                    </w:rPr>
                  </w:pPr>
                  <w:r>
                    <w:rPr>
                      <w:rFonts w:hint="eastAsia"/>
                      <w:b/>
                      <w:bCs/>
                    </w:rPr>
                    <w:t>面源有效排放高度</w:t>
                  </w:r>
                  <w:r>
                    <w:rPr>
                      <w:b/>
                      <w:bCs/>
                    </w:rPr>
                    <w:t>/m</w:t>
                  </w:r>
                </w:p>
              </w:tc>
              <w:tc>
                <w:tcPr>
                  <w:tcW w:w="527" w:type="pct"/>
                  <w:vMerge w:val="restart"/>
                  <w:vAlign w:val="center"/>
                </w:tcPr>
                <w:p w14:paraId="731D6F21">
                  <w:pPr>
                    <w:pStyle w:val="86"/>
                    <w:rPr>
                      <w:b/>
                      <w:bCs/>
                    </w:rPr>
                  </w:pPr>
                  <w:r>
                    <w:rPr>
                      <w:rFonts w:hint="eastAsia"/>
                      <w:b/>
                      <w:bCs/>
                    </w:rPr>
                    <w:t>年排放小时数</w:t>
                  </w:r>
                  <w:r>
                    <w:rPr>
                      <w:b/>
                      <w:bCs/>
                    </w:rPr>
                    <w:t>/h</w:t>
                  </w:r>
                </w:p>
              </w:tc>
              <w:tc>
                <w:tcPr>
                  <w:tcW w:w="446" w:type="pct"/>
                  <w:vMerge w:val="restart"/>
                  <w:vAlign w:val="center"/>
                </w:tcPr>
                <w:p w14:paraId="1B76BBFC">
                  <w:pPr>
                    <w:pStyle w:val="86"/>
                    <w:rPr>
                      <w:b/>
                      <w:bCs/>
                    </w:rPr>
                  </w:pPr>
                  <w:r>
                    <w:rPr>
                      <w:rFonts w:hint="eastAsia"/>
                      <w:b/>
                      <w:bCs/>
                    </w:rPr>
                    <w:t>排放工况</w:t>
                  </w:r>
                </w:p>
              </w:tc>
              <w:tc>
                <w:tcPr>
                  <w:tcW w:w="647" w:type="pct"/>
                  <w:vMerge w:val="restart"/>
                  <w:vAlign w:val="center"/>
                </w:tcPr>
                <w:p w14:paraId="56519FC6">
                  <w:pPr>
                    <w:pStyle w:val="86"/>
                    <w:rPr>
                      <w:b/>
                      <w:bCs/>
                    </w:rPr>
                  </w:pPr>
                  <w:r>
                    <w:rPr>
                      <w:rFonts w:hint="eastAsia"/>
                      <w:b/>
                      <w:bCs/>
                    </w:rPr>
                    <w:t>污染物排放速率</w:t>
                  </w:r>
                  <w:r>
                    <w:rPr>
                      <w:b/>
                      <w:bCs/>
                    </w:rPr>
                    <w:t>/</w:t>
                  </w:r>
                  <w:r>
                    <w:rPr>
                      <w:rFonts w:hint="eastAsia"/>
                      <w:b/>
                      <w:bCs/>
                    </w:rPr>
                    <w:t>（</w:t>
                  </w:r>
                  <w:r>
                    <w:rPr>
                      <w:b/>
                      <w:bCs/>
                    </w:rPr>
                    <w:t>kg/h</w:t>
                  </w:r>
                  <w:r>
                    <w:rPr>
                      <w:rFonts w:hint="eastAsia"/>
                      <w:b/>
                      <w:bCs/>
                    </w:rPr>
                    <w:t>）</w:t>
                  </w:r>
                </w:p>
              </w:tc>
            </w:tr>
            <w:tr w14:paraId="40F6A9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31" w:type="pct"/>
                  <w:vMerge w:val="continue"/>
                  <w:vAlign w:val="center"/>
                </w:tcPr>
                <w:p w14:paraId="230B5D83">
                  <w:pPr>
                    <w:pStyle w:val="86"/>
                  </w:pPr>
                </w:p>
              </w:tc>
              <w:tc>
                <w:tcPr>
                  <w:tcW w:w="533" w:type="pct"/>
                  <w:vAlign w:val="center"/>
                </w:tcPr>
                <w:p w14:paraId="02E40046">
                  <w:pPr>
                    <w:pStyle w:val="86"/>
                    <w:rPr>
                      <w:b/>
                      <w:bCs/>
                    </w:rPr>
                  </w:pPr>
                  <w:r>
                    <w:rPr>
                      <w:rFonts w:hint="eastAsia"/>
                      <w:b/>
                      <w:bCs/>
                    </w:rPr>
                    <w:t>X</w:t>
                  </w:r>
                </w:p>
              </w:tc>
              <w:tc>
                <w:tcPr>
                  <w:tcW w:w="574" w:type="pct"/>
                  <w:vAlign w:val="center"/>
                </w:tcPr>
                <w:p w14:paraId="30923F28">
                  <w:pPr>
                    <w:pStyle w:val="86"/>
                    <w:rPr>
                      <w:b/>
                      <w:bCs/>
                    </w:rPr>
                  </w:pPr>
                  <w:r>
                    <w:rPr>
                      <w:rFonts w:hint="eastAsia"/>
                      <w:b/>
                      <w:bCs/>
                    </w:rPr>
                    <w:t>Y</w:t>
                  </w:r>
                </w:p>
              </w:tc>
              <w:tc>
                <w:tcPr>
                  <w:tcW w:w="607" w:type="pct"/>
                  <w:vMerge w:val="continue"/>
                  <w:vAlign w:val="center"/>
                </w:tcPr>
                <w:p w14:paraId="231873C9">
                  <w:pPr>
                    <w:pStyle w:val="86"/>
                  </w:pPr>
                </w:p>
              </w:tc>
              <w:tc>
                <w:tcPr>
                  <w:tcW w:w="607" w:type="pct"/>
                  <w:vMerge w:val="continue"/>
                  <w:vAlign w:val="center"/>
                </w:tcPr>
                <w:p w14:paraId="2CEDB810">
                  <w:pPr>
                    <w:pStyle w:val="86"/>
                  </w:pPr>
                </w:p>
              </w:tc>
              <w:tc>
                <w:tcPr>
                  <w:tcW w:w="524" w:type="pct"/>
                  <w:vMerge w:val="continue"/>
                  <w:vAlign w:val="center"/>
                </w:tcPr>
                <w:p w14:paraId="5E1193A3">
                  <w:pPr>
                    <w:pStyle w:val="86"/>
                  </w:pPr>
                </w:p>
              </w:tc>
              <w:tc>
                <w:tcPr>
                  <w:tcW w:w="527" w:type="pct"/>
                  <w:vMerge w:val="continue"/>
                  <w:vAlign w:val="center"/>
                </w:tcPr>
                <w:p w14:paraId="445677F3">
                  <w:pPr>
                    <w:pStyle w:val="86"/>
                  </w:pPr>
                </w:p>
              </w:tc>
              <w:tc>
                <w:tcPr>
                  <w:tcW w:w="446" w:type="pct"/>
                  <w:vMerge w:val="continue"/>
                  <w:vAlign w:val="center"/>
                </w:tcPr>
                <w:p w14:paraId="6B742B8C">
                  <w:pPr>
                    <w:pStyle w:val="86"/>
                  </w:pPr>
                </w:p>
              </w:tc>
              <w:tc>
                <w:tcPr>
                  <w:tcW w:w="647" w:type="pct"/>
                  <w:vMerge w:val="continue"/>
                  <w:vAlign w:val="center"/>
                </w:tcPr>
                <w:p w14:paraId="2980E32D">
                  <w:pPr>
                    <w:pStyle w:val="86"/>
                  </w:pPr>
                </w:p>
              </w:tc>
            </w:tr>
            <w:tr w14:paraId="291445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531" w:type="pct"/>
                  <w:vAlign w:val="center"/>
                </w:tcPr>
                <w:p w14:paraId="5A733887">
                  <w:pPr>
                    <w:pStyle w:val="86"/>
                  </w:pPr>
                  <w:r>
                    <w:rPr>
                      <w:rFonts w:hint="eastAsia"/>
                    </w:rPr>
                    <w:t>项目区施工区无组织粉尘</w:t>
                  </w:r>
                </w:p>
              </w:tc>
              <w:tc>
                <w:tcPr>
                  <w:tcW w:w="533" w:type="pct"/>
                  <w:vAlign w:val="center"/>
                </w:tcPr>
                <w:p w14:paraId="158BFC8F">
                  <w:pPr>
                    <w:pStyle w:val="86"/>
                  </w:pPr>
                  <w:r>
                    <w:rPr>
                      <w:rFonts w:hint="eastAsia"/>
                    </w:rPr>
                    <w:t>102°48′12.95838″</w:t>
                  </w:r>
                </w:p>
              </w:tc>
              <w:tc>
                <w:tcPr>
                  <w:tcW w:w="574" w:type="pct"/>
                  <w:vAlign w:val="center"/>
                </w:tcPr>
                <w:p w14:paraId="7B9968C6">
                  <w:pPr>
                    <w:pStyle w:val="86"/>
                  </w:pPr>
                  <w:r>
                    <w:rPr>
                      <w:rFonts w:hint="eastAsia"/>
                    </w:rPr>
                    <w:t>25°36′8.41228″</w:t>
                  </w:r>
                </w:p>
              </w:tc>
              <w:tc>
                <w:tcPr>
                  <w:tcW w:w="607" w:type="pct"/>
                  <w:vAlign w:val="center"/>
                </w:tcPr>
                <w:p w14:paraId="7F67E910">
                  <w:pPr>
                    <w:pStyle w:val="86"/>
                    <w:rPr>
                      <w:rFonts w:hint="default" w:eastAsia="宋体"/>
                      <w:lang w:val="en-US" w:eastAsia="zh-CN"/>
                    </w:rPr>
                  </w:pPr>
                  <w:r>
                    <w:rPr>
                      <w:rFonts w:hint="eastAsia"/>
                      <w:lang w:val="en-US" w:eastAsia="zh-CN"/>
                    </w:rPr>
                    <w:t>300</w:t>
                  </w:r>
                </w:p>
              </w:tc>
              <w:tc>
                <w:tcPr>
                  <w:tcW w:w="607" w:type="pct"/>
                  <w:vAlign w:val="center"/>
                </w:tcPr>
                <w:p w14:paraId="3160F433">
                  <w:pPr>
                    <w:pStyle w:val="86"/>
                    <w:rPr>
                      <w:rFonts w:hint="default" w:eastAsia="宋体"/>
                      <w:lang w:val="en-US" w:eastAsia="zh-CN"/>
                    </w:rPr>
                  </w:pPr>
                  <w:r>
                    <w:rPr>
                      <w:rFonts w:hint="eastAsia"/>
                      <w:lang w:val="en-US" w:eastAsia="zh-CN"/>
                    </w:rPr>
                    <w:t>2132</w:t>
                  </w:r>
                </w:p>
              </w:tc>
              <w:tc>
                <w:tcPr>
                  <w:tcW w:w="524" w:type="pct"/>
                  <w:vAlign w:val="center"/>
                </w:tcPr>
                <w:p w14:paraId="0F5C3539">
                  <w:pPr>
                    <w:pStyle w:val="86"/>
                    <w:rPr>
                      <w:rFonts w:hint="default" w:eastAsia="宋体"/>
                      <w:lang w:val="en-US" w:eastAsia="zh-CN"/>
                    </w:rPr>
                  </w:pPr>
                  <w:r>
                    <w:rPr>
                      <w:rFonts w:hint="eastAsia"/>
                      <w:lang w:val="en-US" w:eastAsia="zh-CN"/>
                    </w:rPr>
                    <w:t>1.5</w:t>
                  </w:r>
                </w:p>
              </w:tc>
              <w:tc>
                <w:tcPr>
                  <w:tcW w:w="527" w:type="pct"/>
                  <w:vAlign w:val="center"/>
                </w:tcPr>
                <w:p w14:paraId="01D116E5">
                  <w:pPr>
                    <w:pStyle w:val="86"/>
                    <w:rPr>
                      <w:rFonts w:hint="default" w:eastAsia="宋体"/>
                      <w:lang w:val="en-US" w:eastAsia="zh-CN"/>
                    </w:rPr>
                  </w:pPr>
                  <w:r>
                    <w:rPr>
                      <w:rFonts w:hint="eastAsia"/>
                      <w:lang w:val="en-US" w:eastAsia="zh-CN"/>
                    </w:rPr>
                    <w:t>3650</w:t>
                  </w:r>
                </w:p>
              </w:tc>
              <w:tc>
                <w:tcPr>
                  <w:tcW w:w="446" w:type="pct"/>
                  <w:vAlign w:val="center"/>
                </w:tcPr>
                <w:p w14:paraId="1B55560B">
                  <w:pPr>
                    <w:pStyle w:val="86"/>
                  </w:pPr>
                  <w:r>
                    <w:rPr>
                      <w:rFonts w:hint="eastAsia"/>
                    </w:rPr>
                    <w:t>正常</w:t>
                  </w:r>
                </w:p>
              </w:tc>
              <w:tc>
                <w:tcPr>
                  <w:tcW w:w="647" w:type="pct"/>
                  <w:vAlign w:val="center"/>
                </w:tcPr>
                <w:p w14:paraId="409A5DE7">
                  <w:pPr>
                    <w:pStyle w:val="86"/>
                    <w:rPr>
                      <w:rFonts w:hint="default" w:eastAsia="宋体"/>
                      <w:lang w:val="en-US" w:eastAsia="zh-CN"/>
                    </w:rPr>
                  </w:pPr>
                  <w:r>
                    <w:rPr>
                      <w:rFonts w:hint="eastAsia"/>
                      <w:lang w:val="en-US" w:eastAsia="zh-CN"/>
                    </w:rPr>
                    <w:t>2.498</w:t>
                  </w:r>
                </w:p>
              </w:tc>
            </w:tr>
          </w:tbl>
          <w:p w14:paraId="5C6FD598">
            <w:pPr>
              <w:ind w:firstLine="480"/>
              <w:rPr>
                <w:lang w:bidi="ar"/>
              </w:rPr>
            </w:pPr>
            <w:r>
              <w:rPr>
                <w:rFonts w:hint="eastAsia"/>
                <w:lang w:bidi="ar"/>
              </w:rPr>
              <w:t>参与估算的污染源为无组织排放源，估算模型计算结果见下表。</w:t>
            </w:r>
          </w:p>
          <w:p w14:paraId="2427F566">
            <w:pPr>
              <w:pStyle w:val="70"/>
              <w:rPr>
                <w:rFonts w:hint="eastAsia"/>
                <w:sz w:val="24"/>
                <w:szCs w:val="24"/>
                <w:lang w:bidi="ar"/>
              </w:rPr>
            </w:pPr>
            <w:r>
              <w:rPr>
                <w:rFonts w:hint="eastAsia"/>
                <w:sz w:val="24"/>
                <w:szCs w:val="24"/>
                <w:lang w:bidi="ar"/>
              </w:rPr>
              <w:t>表3-15  面源估算模型计算结果表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0"/>
              <w:gridCol w:w="2760"/>
              <w:gridCol w:w="2762"/>
            </w:tblGrid>
            <w:tr w14:paraId="6ED88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Merge w:val="restart"/>
                  <w:vAlign w:val="center"/>
                </w:tcPr>
                <w:p w14:paraId="379E35AE">
                  <w:pPr>
                    <w:pStyle w:val="86"/>
                    <w:rPr>
                      <w:b/>
                      <w:bCs/>
                    </w:rPr>
                  </w:pPr>
                  <w:r>
                    <w:rPr>
                      <w:rFonts w:hint="eastAsia"/>
                      <w:b/>
                      <w:bCs/>
                    </w:rPr>
                    <w:t>下风向距离/m</w:t>
                  </w:r>
                </w:p>
              </w:tc>
              <w:tc>
                <w:tcPr>
                  <w:tcW w:w="3333" w:type="pct"/>
                  <w:gridSpan w:val="2"/>
                  <w:vAlign w:val="center"/>
                </w:tcPr>
                <w:p w14:paraId="06A09B65">
                  <w:pPr>
                    <w:pStyle w:val="86"/>
                    <w:rPr>
                      <w:b/>
                      <w:bCs/>
                    </w:rPr>
                  </w:pPr>
                  <w:r>
                    <w:rPr>
                      <w:rFonts w:hint="eastAsia"/>
                      <w:b/>
                      <w:bCs/>
                    </w:rPr>
                    <w:t>TSP</w:t>
                  </w:r>
                </w:p>
              </w:tc>
            </w:tr>
            <w:tr w14:paraId="43C2E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Merge w:val="continue"/>
                  <w:vAlign w:val="center"/>
                </w:tcPr>
                <w:p w14:paraId="0F18CAF9">
                  <w:pPr>
                    <w:pStyle w:val="86"/>
                    <w:rPr>
                      <w:b/>
                      <w:bCs/>
                    </w:rPr>
                  </w:pPr>
                </w:p>
              </w:tc>
              <w:tc>
                <w:tcPr>
                  <w:tcW w:w="1666" w:type="pct"/>
                  <w:vAlign w:val="center"/>
                </w:tcPr>
                <w:p w14:paraId="05E9C92A">
                  <w:pPr>
                    <w:pStyle w:val="86"/>
                    <w:rPr>
                      <w:b/>
                      <w:bCs/>
                    </w:rPr>
                  </w:pPr>
                  <w:r>
                    <w:rPr>
                      <w:rFonts w:hint="eastAsia"/>
                      <w:b/>
                      <w:bCs/>
                    </w:rPr>
                    <w:t>预测质量浓度/（mg/m³）</w:t>
                  </w:r>
                </w:p>
              </w:tc>
              <w:tc>
                <w:tcPr>
                  <w:tcW w:w="1667" w:type="pct"/>
                  <w:vAlign w:val="center"/>
                </w:tcPr>
                <w:p w14:paraId="7C2C46CC">
                  <w:pPr>
                    <w:pStyle w:val="86"/>
                    <w:rPr>
                      <w:b/>
                      <w:bCs/>
                    </w:rPr>
                  </w:pPr>
                  <w:r>
                    <w:rPr>
                      <w:rFonts w:hint="eastAsia"/>
                      <w:b/>
                      <w:bCs/>
                    </w:rPr>
                    <w:t>占标率/%</w:t>
                  </w:r>
                </w:p>
              </w:tc>
            </w:tr>
            <w:tr w14:paraId="5F7F6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Align w:val="center"/>
                </w:tcPr>
                <w:p w14:paraId="5E3D37E7">
                  <w:pPr>
                    <w:pStyle w:val="86"/>
                  </w:pPr>
                  <w:r>
                    <w:rPr>
                      <w:rFonts w:hint="eastAsia"/>
                    </w:rPr>
                    <w:t>10</w:t>
                  </w:r>
                </w:p>
              </w:tc>
              <w:tc>
                <w:tcPr>
                  <w:tcW w:w="1666" w:type="pct"/>
                  <w:vAlign w:val="center"/>
                </w:tcPr>
                <w:p w14:paraId="520823C1">
                  <w:pPr>
                    <w:pStyle w:val="86"/>
                    <w:rPr>
                      <w:rFonts w:hint="default" w:eastAsia="宋体"/>
                      <w:lang w:val="en-US" w:eastAsia="zh-CN"/>
                    </w:rPr>
                  </w:pPr>
                  <w:r>
                    <w:rPr>
                      <w:rFonts w:hint="eastAsia"/>
                      <w:lang w:val="en-US" w:eastAsia="zh-CN"/>
                    </w:rPr>
                    <w:t>0.0776</w:t>
                  </w:r>
                </w:p>
              </w:tc>
              <w:tc>
                <w:tcPr>
                  <w:tcW w:w="1667" w:type="pct"/>
                  <w:vAlign w:val="center"/>
                </w:tcPr>
                <w:p w14:paraId="47BC45AE">
                  <w:pPr>
                    <w:pStyle w:val="86"/>
                    <w:rPr>
                      <w:rFonts w:hint="default" w:eastAsia="宋体"/>
                      <w:lang w:val="en-US" w:eastAsia="zh-CN"/>
                    </w:rPr>
                  </w:pPr>
                  <w:r>
                    <w:rPr>
                      <w:rFonts w:hint="eastAsia"/>
                      <w:lang w:val="en-US" w:eastAsia="zh-CN"/>
                    </w:rPr>
                    <w:t>8.63</w:t>
                  </w:r>
                </w:p>
              </w:tc>
            </w:tr>
            <w:tr w14:paraId="1F5F7B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Align w:val="center"/>
                </w:tcPr>
                <w:p w14:paraId="40C47AF9">
                  <w:pPr>
                    <w:pStyle w:val="86"/>
                  </w:pPr>
                  <w:r>
                    <w:rPr>
                      <w:rFonts w:hint="eastAsia"/>
                    </w:rPr>
                    <w:t>25</w:t>
                  </w:r>
                </w:p>
              </w:tc>
              <w:tc>
                <w:tcPr>
                  <w:tcW w:w="1666" w:type="pct"/>
                  <w:vAlign w:val="center"/>
                </w:tcPr>
                <w:p w14:paraId="34942B96">
                  <w:pPr>
                    <w:pStyle w:val="86"/>
                    <w:rPr>
                      <w:rFonts w:hint="default" w:eastAsia="宋体"/>
                      <w:lang w:val="en-US" w:eastAsia="zh-CN"/>
                    </w:rPr>
                  </w:pPr>
                  <w:r>
                    <w:rPr>
                      <w:rFonts w:hint="eastAsia"/>
                      <w:lang w:val="en-US" w:eastAsia="zh-CN"/>
                    </w:rPr>
                    <w:t>0.0854</w:t>
                  </w:r>
                </w:p>
              </w:tc>
              <w:tc>
                <w:tcPr>
                  <w:tcW w:w="1667" w:type="pct"/>
                  <w:vAlign w:val="center"/>
                </w:tcPr>
                <w:p w14:paraId="598309E2">
                  <w:pPr>
                    <w:pStyle w:val="86"/>
                    <w:rPr>
                      <w:rFonts w:hint="default" w:eastAsia="宋体"/>
                      <w:lang w:val="en-US" w:eastAsia="zh-CN"/>
                    </w:rPr>
                  </w:pPr>
                  <w:r>
                    <w:rPr>
                      <w:rFonts w:hint="eastAsia"/>
                      <w:lang w:val="en-US" w:eastAsia="zh-CN"/>
                    </w:rPr>
                    <w:t>9.49</w:t>
                  </w:r>
                </w:p>
              </w:tc>
            </w:tr>
            <w:tr w14:paraId="5AC187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Align w:val="center"/>
                </w:tcPr>
                <w:p w14:paraId="67C80B74">
                  <w:pPr>
                    <w:pStyle w:val="86"/>
                  </w:pPr>
                  <w:r>
                    <w:rPr>
                      <w:rFonts w:hint="eastAsia"/>
                    </w:rPr>
                    <w:t>50</w:t>
                  </w:r>
                </w:p>
              </w:tc>
              <w:tc>
                <w:tcPr>
                  <w:tcW w:w="1666" w:type="pct"/>
                  <w:vAlign w:val="center"/>
                </w:tcPr>
                <w:p w14:paraId="363B1A84">
                  <w:pPr>
                    <w:pStyle w:val="86"/>
                    <w:rPr>
                      <w:rFonts w:hint="default" w:eastAsia="宋体"/>
                      <w:lang w:val="en-US" w:eastAsia="zh-CN"/>
                    </w:rPr>
                  </w:pPr>
                  <w:r>
                    <w:rPr>
                      <w:rFonts w:hint="eastAsia"/>
                      <w:lang w:val="en-US" w:eastAsia="zh-CN"/>
                    </w:rPr>
                    <w:t>0.0981</w:t>
                  </w:r>
                </w:p>
              </w:tc>
              <w:tc>
                <w:tcPr>
                  <w:tcW w:w="1667" w:type="pct"/>
                  <w:vAlign w:val="center"/>
                </w:tcPr>
                <w:p w14:paraId="67E610F6">
                  <w:pPr>
                    <w:pStyle w:val="86"/>
                    <w:rPr>
                      <w:rFonts w:hint="default" w:eastAsia="宋体"/>
                      <w:lang w:val="en-US" w:eastAsia="zh-CN"/>
                    </w:rPr>
                  </w:pPr>
                  <w:r>
                    <w:rPr>
                      <w:rFonts w:hint="eastAsia"/>
                      <w:lang w:val="en-US" w:eastAsia="zh-CN"/>
                    </w:rPr>
                    <w:t>10.9</w:t>
                  </w:r>
                </w:p>
              </w:tc>
            </w:tr>
            <w:tr w14:paraId="45FEC3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Align w:val="center"/>
                </w:tcPr>
                <w:p w14:paraId="002B1959">
                  <w:pPr>
                    <w:pStyle w:val="86"/>
                  </w:pPr>
                  <w:r>
                    <w:rPr>
                      <w:rFonts w:hint="eastAsia"/>
                    </w:rPr>
                    <w:t>75</w:t>
                  </w:r>
                </w:p>
              </w:tc>
              <w:tc>
                <w:tcPr>
                  <w:tcW w:w="1666" w:type="pct"/>
                  <w:vAlign w:val="center"/>
                </w:tcPr>
                <w:p w14:paraId="5336A56C">
                  <w:pPr>
                    <w:pStyle w:val="86"/>
                    <w:rPr>
                      <w:rFonts w:hint="default" w:eastAsia="宋体"/>
                      <w:lang w:val="en-US" w:eastAsia="zh-CN"/>
                    </w:rPr>
                  </w:pPr>
                  <w:r>
                    <w:rPr>
                      <w:rFonts w:hint="eastAsia"/>
                      <w:lang w:val="en-US" w:eastAsia="zh-CN"/>
                    </w:rPr>
                    <w:t>0.11</w:t>
                  </w:r>
                </w:p>
              </w:tc>
              <w:tc>
                <w:tcPr>
                  <w:tcW w:w="1667" w:type="pct"/>
                  <w:vAlign w:val="center"/>
                </w:tcPr>
                <w:p w14:paraId="5075A64D">
                  <w:pPr>
                    <w:pStyle w:val="86"/>
                    <w:rPr>
                      <w:rFonts w:hint="default" w:eastAsia="宋体"/>
                      <w:lang w:val="en-US" w:eastAsia="zh-CN"/>
                    </w:rPr>
                  </w:pPr>
                  <w:r>
                    <w:rPr>
                      <w:rFonts w:hint="eastAsia"/>
                      <w:lang w:val="en-US" w:eastAsia="zh-CN"/>
                    </w:rPr>
                    <w:t>12.26</w:t>
                  </w:r>
                </w:p>
              </w:tc>
            </w:tr>
            <w:tr w14:paraId="6A300B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Align w:val="center"/>
                </w:tcPr>
                <w:p w14:paraId="124C5398">
                  <w:pPr>
                    <w:pStyle w:val="86"/>
                  </w:pPr>
                  <w:r>
                    <w:rPr>
                      <w:rFonts w:hint="eastAsia"/>
                    </w:rPr>
                    <w:t>100</w:t>
                  </w:r>
                </w:p>
              </w:tc>
              <w:tc>
                <w:tcPr>
                  <w:tcW w:w="1666" w:type="pct"/>
                  <w:vAlign w:val="center"/>
                </w:tcPr>
                <w:p w14:paraId="019639AF">
                  <w:pPr>
                    <w:pStyle w:val="86"/>
                    <w:rPr>
                      <w:rFonts w:hint="default" w:eastAsia="宋体"/>
                      <w:lang w:val="en-US" w:eastAsia="zh-CN"/>
                    </w:rPr>
                  </w:pPr>
                  <w:r>
                    <w:rPr>
                      <w:rFonts w:hint="eastAsia"/>
                      <w:lang w:val="en-US" w:eastAsia="zh-CN"/>
                    </w:rPr>
                    <w:t>0.122</w:t>
                  </w:r>
                </w:p>
              </w:tc>
              <w:tc>
                <w:tcPr>
                  <w:tcW w:w="1667" w:type="pct"/>
                  <w:vAlign w:val="center"/>
                </w:tcPr>
                <w:p w14:paraId="7A7C1214">
                  <w:pPr>
                    <w:pStyle w:val="86"/>
                    <w:rPr>
                      <w:rFonts w:hint="default" w:eastAsia="宋体"/>
                      <w:lang w:val="en-US" w:eastAsia="zh-CN"/>
                    </w:rPr>
                  </w:pPr>
                  <w:r>
                    <w:rPr>
                      <w:rFonts w:hint="eastAsia"/>
                      <w:lang w:val="en-US" w:eastAsia="zh-CN"/>
                    </w:rPr>
                    <w:t>13.55</w:t>
                  </w:r>
                </w:p>
              </w:tc>
            </w:tr>
            <w:tr w14:paraId="43B755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Align w:val="center"/>
                </w:tcPr>
                <w:p w14:paraId="77B58BBC">
                  <w:pPr>
                    <w:pStyle w:val="86"/>
                  </w:pPr>
                  <w:r>
                    <w:rPr>
                      <w:rFonts w:hint="eastAsia"/>
                    </w:rPr>
                    <w:t>150</w:t>
                  </w:r>
                </w:p>
              </w:tc>
              <w:tc>
                <w:tcPr>
                  <w:tcW w:w="1666" w:type="pct"/>
                  <w:vAlign w:val="center"/>
                </w:tcPr>
                <w:p w14:paraId="7AD25A37">
                  <w:pPr>
                    <w:pStyle w:val="86"/>
                    <w:rPr>
                      <w:rFonts w:hint="default" w:eastAsia="宋体"/>
                      <w:lang w:val="en-US" w:eastAsia="zh-CN"/>
                    </w:rPr>
                  </w:pPr>
                  <w:r>
                    <w:rPr>
                      <w:rFonts w:hint="eastAsia"/>
                      <w:lang w:val="en-US" w:eastAsia="zh-CN"/>
                    </w:rPr>
                    <w:t>0.144</w:t>
                  </w:r>
                </w:p>
              </w:tc>
              <w:tc>
                <w:tcPr>
                  <w:tcW w:w="1667" w:type="pct"/>
                  <w:vAlign w:val="center"/>
                </w:tcPr>
                <w:p w14:paraId="37F35684">
                  <w:pPr>
                    <w:pStyle w:val="86"/>
                    <w:rPr>
                      <w:rFonts w:hint="default" w:eastAsia="宋体"/>
                      <w:lang w:val="en-US" w:eastAsia="zh-CN"/>
                    </w:rPr>
                  </w:pPr>
                  <w:r>
                    <w:rPr>
                      <w:rFonts w:hint="eastAsia"/>
                      <w:lang w:val="en-US" w:eastAsia="zh-CN"/>
                    </w:rPr>
                    <w:t>15.96</w:t>
                  </w:r>
                </w:p>
              </w:tc>
            </w:tr>
            <w:tr w14:paraId="537F10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Align w:val="center"/>
                </w:tcPr>
                <w:p w14:paraId="5C78432D">
                  <w:pPr>
                    <w:pStyle w:val="86"/>
                  </w:pPr>
                  <w:r>
                    <w:rPr>
                      <w:rFonts w:hint="eastAsia"/>
                    </w:rPr>
                    <w:t>175</w:t>
                  </w:r>
                </w:p>
              </w:tc>
              <w:tc>
                <w:tcPr>
                  <w:tcW w:w="1666" w:type="pct"/>
                  <w:vAlign w:val="center"/>
                </w:tcPr>
                <w:p w14:paraId="601A8C72">
                  <w:pPr>
                    <w:pStyle w:val="86"/>
                    <w:rPr>
                      <w:rFonts w:hint="default" w:eastAsia="宋体"/>
                      <w:lang w:val="en-US" w:eastAsia="zh-CN"/>
                    </w:rPr>
                  </w:pPr>
                  <w:r>
                    <w:rPr>
                      <w:rFonts w:hint="eastAsia"/>
                      <w:lang w:val="en-US" w:eastAsia="zh-CN"/>
                    </w:rPr>
                    <w:t>0.149</w:t>
                  </w:r>
                </w:p>
              </w:tc>
              <w:tc>
                <w:tcPr>
                  <w:tcW w:w="1667" w:type="pct"/>
                  <w:vAlign w:val="center"/>
                </w:tcPr>
                <w:p w14:paraId="6E361717">
                  <w:pPr>
                    <w:pStyle w:val="86"/>
                    <w:rPr>
                      <w:rFonts w:hint="default" w:eastAsia="宋体"/>
                      <w:lang w:val="en-US" w:eastAsia="zh-CN"/>
                    </w:rPr>
                  </w:pPr>
                  <w:r>
                    <w:rPr>
                      <w:rFonts w:hint="eastAsia"/>
                      <w:lang w:val="en-US" w:eastAsia="zh-CN"/>
                    </w:rPr>
                    <w:t>16.52</w:t>
                  </w:r>
                </w:p>
              </w:tc>
            </w:tr>
            <w:tr w14:paraId="1924B5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Align w:val="center"/>
                </w:tcPr>
                <w:p w14:paraId="6E426807">
                  <w:pPr>
                    <w:pStyle w:val="86"/>
                  </w:pPr>
                  <w:r>
                    <w:rPr>
                      <w:rFonts w:hint="eastAsia"/>
                    </w:rPr>
                    <w:t>200</w:t>
                  </w:r>
                </w:p>
              </w:tc>
              <w:tc>
                <w:tcPr>
                  <w:tcW w:w="1666" w:type="pct"/>
                  <w:vAlign w:val="center"/>
                </w:tcPr>
                <w:p w14:paraId="759D1AF6">
                  <w:pPr>
                    <w:pStyle w:val="86"/>
                    <w:rPr>
                      <w:rFonts w:hint="default" w:eastAsia="宋体"/>
                      <w:lang w:val="en-US" w:eastAsia="zh-CN"/>
                    </w:rPr>
                  </w:pPr>
                  <w:r>
                    <w:rPr>
                      <w:rFonts w:hint="eastAsia"/>
                      <w:lang w:val="en-US" w:eastAsia="zh-CN"/>
                    </w:rPr>
                    <w:t>0.150</w:t>
                  </w:r>
                </w:p>
              </w:tc>
              <w:tc>
                <w:tcPr>
                  <w:tcW w:w="1667" w:type="pct"/>
                  <w:vAlign w:val="center"/>
                </w:tcPr>
                <w:p w14:paraId="5F49056F">
                  <w:pPr>
                    <w:pStyle w:val="86"/>
                    <w:rPr>
                      <w:rFonts w:hint="default" w:eastAsia="宋体"/>
                      <w:lang w:val="en-US" w:eastAsia="zh-CN"/>
                    </w:rPr>
                  </w:pPr>
                  <w:r>
                    <w:rPr>
                      <w:rFonts w:hint="eastAsia"/>
                      <w:lang w:val="en-US" w:eastAsia="zh-CN"/>
                    </w:rPr>
                    <w:t>16.72</w:t>
                  </w:r>
                </w:p>
              </w:tc>
            </w:tr>
            <w:tr w14:paraId="62D13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Align w:val="center"/>
                </w:tcPr>
                <w:p w14:paraId="069551D0">
                  <w:pPr>
                    <w:pStyle w:val="86"/>
                    <w:rPr>
                      <w:rFonts w:hint="default" w:eastAsia="宋体"/>
                      <w:b/>
                      <w:bCs/>
                      <w:u w:val="single"/>
                      <w:lang w:val="en-US" w:eastAsia="zh-CN"/>
                    </w:rPr>
                  </w:pPr>
                  <w:r>
                    <w:rPr>
                      <w:rFonts w:hint="eastAsia"/>
                      <w:b/>
                      <w:bCs/>
                      <w:u w:val="single"/>
                      <w:lang w:val="en-US" w:eastAsia="zh-CN"/>
                    </w:rPr>
                    <w:t>221</w:t>
                  </w:r>
                </w:p>
              </w:tc>
              <w:tc>
                <w:tcPr>
                  <w:tcW w:w="1666" w:type="pct"/>
                  <w:vAlign w:val="center"/>
                </w:tcPr>
                <w:p w14:paraId="747CE626">
                  <w:pPr>
                    <w:pStyle w:val="86"/>
                    <w:rPr>
                      <w:rFonts w:hint="default" w:eastAsia="宋体"/>
                      <w:b/>
                      <w:bCs/>
                      <w:u w:val="single"/>
                      <w:lang w:val="en-US" w:eastAsia="zh-CN"/>
                    </w:rPr>
                  </w:pPr>
                  <w:r>
                    <w:rPr>
                      <w:rFonts w:hint="eastAsia"/>
                      <w:b/>
                      <w:bCs/>
                      <w:u w:val="single"/>
                      <w:lang w:val="en-US" w:eastAsia="zh-CN"/>
                    </w:rPr>
                    <w:t>0.1512</w:t>
                  </w:r>
                </w:p>
              </w:tc>
              <w:tc>
                <w:tcPr>
                  <w:tcW w:w="1667" w:type="pct"/>
                  <w:vAlign w:val="center"/>
                </w:tcPr>
                <w:p w14:paraId="7D55CC78">
                  <w:pPr>
                    <w:pStyle w:val="86"/>
                    <w:rPr>
                      <w:rFonts w:hint="default" w:eastAsia="宋体"/>
                      <w:b/>
                      <w:bCs/>
                      <w:u w:val="single"/>
                      <w:lang w:val="en-US" w:eastAsia="zh-CN"/>
                    </w:rPr>
                  </w:pPr>
                  <w:r>
                    <w:rPr>
                      <w:rFonts w:hint="eastAsia"/>
                      <w:b/>
                      <w:bCs/>
                      <w:u w:val="single"/>
                      <w:lang w:val="en-US" w:eastAsia="zh-CN"/>
                    </w:rPr>
                    <w:t>16.79</w:t>
                  </w:r>
                </w:p>
              </w:tc>
            </w:tr>
            <w:tr w14:paraId="74E51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Align w:val="center"/>
                </w:tcPr>
                <w:p w14:paraId="58932F42">
                  <w:pPr>
                    <w:pStyle w:val="86"/>
                  </w:pPr>
                  <w:r>
                    <w:rPr>
                      <w:rFonts w:hint="eastAsia"/>
                    </w:rPr>
                    <w:t>300</w:t>
                  </w:r>
                </w:p>
              </w:tc>
              <w:tc>
                <w:tcPr>
                  <w:tcW w:w="1666" w:type="pct"/>
                  <w:vAlign w:val="center"/>
                </w:tcPr>
                <w:p w14:paraId="37E3B6BA">
                  <w:pPr>
                    <w:pStyle w:val="86"/>
                    <w:rPr>
                      <w:rFonts w:hint="default" w:eastAsia="宋体"/>
                      <w:lang w:val="en-US" w:eastAsia="zh-CN"/>
                    </w:rPr>
                  </w:pPr>
                  <w:r>
                    <w:rPr>
                      <w:rFonts w:hint="eastAsia"/>
                      <w:lang w:val="en-US" w:eastAsia="zh-CN"/>
                    </w:rPr>
                    <w:t>0.147</w:t>
                  </w:r>
                </w:p>
              </w:tc>
              <w:tc>
                <w:tcPr>
                  <w:tcW w:w="1667" w:type="pct"/>
                  <w:vAlign w:val="center"/>
                </w:tcPr>
                <w:p w14:paraId="05413664">
                  <w:pPr>
                    <w:pStyle w:val="86"/>
                    <w:rPr>
                      <w:rFonts w:hint="default" w:eastAsia="宋体"/>
                      <w:lang w:val="en-US" w:eastAsia="zh-CN"/>
                    </w:rPr>
                  </w:pPr>
                  <w:r>
                    <w:rPr>
                      <w:rFonts w:hint="eastAsia"/>
                      <w:lang w:val="en-US" w:eastAsia="zh-CN"/>
                    </w:rPr>
                    <w:t>16.36</w:t>
                  </w:r>
                </w:p>
              </w:tc>
            </w:tr>
            <w:tr w14:paraId="5098BB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Align w:val="center"/>
                </w:tcPr>
                <w:p w14:paraId="56F6AE96">
                  <w:pPr>
                    <w:pStyle w:val="86"/>
                  </w:pPr>
                  <w:r>
                    <w:rPr>
                      <w:rFonts w:hint="eastAsia"/>
                    </w:rPr>
                    <w:t>400</w:t>
                  </w:r>
                </w:p>
              </w:tc>
              <w:tc>
                <w:tcPr>
                  <w:tcW w:w="1666" w:type="pct"/>
                  <w:vAlign w:val="center"/>
                </w:tcPr>
                <w:p w14:paraId="45065397">
                  <w:pPr>
                    <w:pStyle w:val="86"/>
                    <w:rPr>
                      <w:rFonts w:hint="default" w:eastAsia="宋体"/>
                      <w:lang w:val="en-US" w:eastAsia="zh-CN"/>
                    </w:rPr>
                  </w:pPr>
                  <w:r>
                    <w:rPr>
                      <w:rFonts w:hint="eastAsia"/>
                      <w:lang w:val="en-US" w:eastAsia="zh-CN"/>
                    </w:rPr>
                    <w:t>0.141</w:t>
                  </w:r>
                </w:p>
              </w:tc>
              <w:tc>
                <w:tcPr>
                  <w:tcW w:w="1667" w:type="pct"/>
                  <w:vAlign w:val="center"/>
                </w:tcPr>
                <w:p w14:paraId="346F8446">
                  <w:pPr>
                    <w:pStyle w:val="86"/>
                    <w:rPr>
                      <w:rFonts w:hint="default" w:eastAsia="宋体"/>
                      <w:lang w:val="en-US" w:eastAsia="zh-CN"/>
                    </w:rPr>
                  </w:pPr>
                  <w:r>
                    <w:rPr>
                      <w:rFonts w:hint="eastAsia"/>
                      <w:lang w:val="en-US" w:eastAsia="zh-CN"/>
                    </w:rPr>
                    <w:t>15.63</w:t>
                  </w:r>
                </w:p>
              </w:tc>
            </w:tr>
            <w:tr w14:paraId="223B57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Align w:val="center"/>
                </w:tcPr>
                <w:p w14:paraId="2987E234">
                  <w:pPr>
                    <w:pStyle w:val="86"/>
                  </w:pPr>
                  <w:r>
                    <w:rPr>
                      <w:rFonts w:hint="eastAsia"/>
                    </w:rPr>
                    <w:t>500</w:t>
                  </w:r>
                </w:p>
              </w:tc>
              <w:tc>
                <w:tcPr>
                  <w:tcW w:w="1666" w:type="pct"/>
                  <w:vAlign w:val="center"/>
                </w:tcPr>
                <w:p w14:paraId="504DA0D9">
                  <w:pPr>
                    <w:pStyle w:val="86"/>
                    <w:rPr>
                      <w:rFonts w:hint="default" w:eastAsia="宋体"/>
                      <w:lang w:val="en-US" w:eastAsia="zh-CN"/>
                    </w:rPr>
                  </w:pPr>
                  <w:r>
                    <w:rPr>
                      <w:rFonts w:hint="eastAsia"/>
                      <w:lang w:val="en-US" w:eastAsia="zh-CN"/>
                    </w:rPr>
                    <w:t>0.129</w:t>
                  </w:r>
                </w:p>
              </w:tc>
              <w:tc>
                <w:tcPr>
                  <w:tcW w:w="1667" w:type="pct"/>
                  <w:vAlign w:val="center"/>
                </w:tcPr>
                <w:p w14:paraId="139C8EB2">
                  <w:pPr>
                    <w:pStyle w:val="86"/>
                    <w:rPr>
                      <w:rFonts w:hint="default" w:eastAsia="宋体"/>
                      <w:lang w:val="en-US" w:eastAsia="zh-CN"/>
                    </w:rPr>
                  </w:pPr>
                  <w:r>
                    <w:rPr>
                      <w:rFonts w:hint="eastAsia"/>
                      <w:lang w:val="en-US" w:eastAsia="zh-CN"/>
                    </w:rPr>
                    <w:t>14.35</w:t>
                  </w:r>
                </w:p>
              </w:tc>
            </w:tr>
            <w:tr w14:paraId="742710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Align w:val="center"/>
                </w:tcPr>
                <w:p w14:paraId="2B2092A4">
                  <w:pPr>
                    <w:pStyle w:val="86"/>
                  </w:pPr>
                  <w:r>
                    <w:rPr>
                      <w:rFonts w:hint="eastAsia"/>
                    </w:rPr>
                    <w:t>1000</w:t>
                  </w:r>
                </w:p>
              </w:tc>
              <w:tc>
                <w:tcPr>
                  <w:tcW w:w="1666" w:type="pct"/>
                  <w:vAlign w:val="center"/>
                </w:tcPr>
                <w:p w14:paraId="47ABF910">
                  <w:pPr>
                    <w:pStyle w:val="86"/>
                    <w:rPr>
                      <w:rFonts w:hint="default" w:eastAsia="宋体"/>
                      <w:lang w:val="en-US" w:eastAsia="zh-CN"/>
                    </w:rPr>
                  </w:pPr>
                  <w:r>
                    <w:rPr>
                      <w:rFonts w:hint="eastAsia"/>
                      <w:lang w:val="en-US" w:eastAsia="zh-CN"/>
                    </w:rPr>
                    <w:t>0.0782</w:t>
                  </w:r>
                </w:p>
              </w:tc>
              <w:tc>
                <w:tcPr>
                  <w:tcW w:w="1667" w:type="pct"/>
                  <w:vAlign w:val="center"/>
                </w:tcPr>
                <w:p w14:paraId="2FE4E7B7">
                  <w:pPr>
                    <w:pStyle w:val="86"/>
                    <w:rPr>
                      <w:rFonts w:hint="default" w:eastAsia="宋体"/>
                      <w:lang w:val="en-US" w:eastAsia="zh-CN"/>
                    </w:rPr>
                  </w:pPr>
                  <w:r>
                    <w:rPr>
                      <w:rFonts w:hint="eastAsia"/>
                      <w:lang w:val="en-US" w:eastAsia="zh-CN"/>
                    </w:rPr>
                    <w:t>8.69</w:t>
                  </w:r>
                </w:p>
              </w:tc>
            </w:tr>
            <w:tr w14:paraId="6AB279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Align w:val="center"/>
                </w:tcPr>
                <w:p w14:paraId="77FC06E0">
                  <w:pPr>
                    <w:pStyle w:val="86"/>
                  </w:pPr>
                  <w:r>
                    <w:rPr>
                      <w:rFonts w:hint="eastAsia"/>
                    </w:rPr>
                    <w:t>1500</w:t>
                  </w:r>
                </w:p>
              </w:tc>
              <w:tc>
                <w:tcPr>
                  <w:tcW w:w="1666" w:type="pct"/>
                  <w:vAlign w:val="center"/>
                </w:tcPr>
                <w:p w14:paraId="4C38A835">
                  <w:pPr>
                    <w:pStyle w:val="86"/>
                    <w:rPr>
                      <w:rFonts w:hint="default" w:eastAsia="宋体"/>
                      <w:lang w:val="en-US" w:eastAsia="zh-CN"/>
                    </w:rPr>
                  </w:pPr>
                  <w:r>
                    <w:rPr>
                      <w:rFonts w:hint="eastAsia"/>
                      <w:lang w:val="en-US" w:eastAsia="zh-CN"/>
                    </w:rPr>
                    <w:t>0.0516</w:t>
                  </w:r>
                </w:p>
              </w:tc>
              <w:tc>
                <w:tcPr>
                  <w:tcW w:w="1667" w:type="pct"/>
                  <w:vAlign w:val="center"/>
                </w:tcPr>
                <w:p w14:paraId="5B932BD7">
                  <w:pPr>
                    <w:pStyle w:val="86"/>
                    <w:rPr>
                      <w:rFonts w:hint="default" w:eastAsia="宋体"/>
                      <w:lang w:val="en-US" w:eastAsia="zh-CN"/>
                    </w:rPr>
                  </w:pPr>
                  <w:r>
                    <w:rPr>
                      <w:rFonts w:hint="eastAsia"/>
                      <w:lang w:val="en-US" w:eastAsia="zh-CN"/>
                    </w:rPr>
                    <w:t>5.73</w:t>
                  </w:r>
                </w:p>
              </w:tc>
            </w:tr>
            <w:tr w14:paraId="330224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Align w:val="center"/>
                </w:tcPr>
                <w:p w14:paraId="0BADB055">
                  <w:pPr>
                    <w:pStyle w:val="86"/>
                  </w:pPr>
                  <w:r>
                    <w:rPr>
                      <w:rFonts w:hint="eastAsia"/>
                    </w:rPr>
                    <w:t>2000</w:t>
                  </w:r>
                </w:p>
              </w:tc>
              <w:tc>
                <w:tcPr>
                  <w:tcW w:w="1666" w:type="pct"/>
                  <w:vAlign w:val="center"/>
                </w:tcPr>
                <w:p w14:paraId="435CE962">
                  <w:pPr>
                    <w:pStyle w:val="86"/>
                    <w:rPr>
                      <w:rFonts w:hint="default" w:eastAsia="宋体"/>
                      <w:lang w:val="en-US" w:eastAsia="zh-CN"/>
                    </w:rPr>
                  </w:pPr>
                  <w:r>
                    <w:rPr>
                      <w:rFonts w:hint="eastAsia"/>
                      <w:lang w:val="en-US" w:eastAsia="zh-CN"/>
                    </w:rPr>
                    <w:t>0.0371</w:t>
                  </w:r>
                </w:p>
              </w:tc>
              <w:tc>
                <w:tcPr>
                  <w:tcW w:w="1667" w:type="pct"/>
                  <w:vAlign w:val="center"/>
                </w:tcPr>
                <w:p w14:paraId="7BB4EC6E">
                  <w:pPr>
                    <w:pStyle w:val="86"/>
                    <w:rPr>
                      <w:rFonts w:hint="default" w:eastAsia="宋体"/>
                      <w:lang w:val="en-US" w:eastAsia="zh-CN"/>
                    </w:rPr>
                  </w:pPr>
                  <w:r>
                    <w:rPr>
                      <w:rFonts w:hint="eastAsia"/>
                      <w:lang w:val="en-US" w:eastAsia="zh-CN"/>
                    </w:rPr>
                    <w:t>4.13</w:t>
                  </w:r>
                </w:p>
              </w:tc>
            </w:tr>
            <w:tr w14:paraId="46663A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Align w:val="center"/>
                </w:tcPr>
                <w:p w14:paraId="5662A8E7">
                  <w:pPr>
                    <w:pStyle w:val="86"/>
                  </w:pPr>
                  <w:r>
                    <w:rPr>
                      <w:rFonts w:hint="eastAsia"/>
                    </w:rPr>
                    <w:t>2500</w:t>
                  </w:r>
                </w:p>
              </w:tc>
              <w:tc>
                <w:tcPr>
                  <w:tcW w:w="1666" w:type="pct"/>
                  <w:vAlign w:val="center"/>
                </w:tcPr>
                <w:p w14:paraId="444CE1BC">
                  <w:pPr>
                    <w:pStyle w:val="86"/>
                    <w:rPr>
                      <w:rFonts w:hint="default" w:eastAsia="宋体"/>
                      <w:lang w:val="en-US" w:eastAsia="zh-CN"/>
                    </w:rPr>
                  </w:pPr>
                  <w:r>
                    <w:rPr>
                      <w:rFonts w:hint="eastAsia"/>
                      <w:lang w:val="en-US" w:eastAsia="zh-CN"/>
                    </w:rPr>
                    <w:t>0.0284</w:t>
                  </w:r>
                </w:p>
              </w:tc>
              <w:tc>
                <w:tcPr>
                  <w:tcW w:w="1667" w:type="pct"/>
                  <w:vAlign w:val="center"/>
                </w:tcPr>
                <w:p w14:paraId="38C55E43">
                  <w:pPr>
                    <w:pStyle w:val="86"/>
                    <w:rPr>
                      <w:rFonts w:hint="default" w:eastAsia="宋体"/>
                      <w:lang w:val="en-US" w:eastAsia="zh-CN"/>
                    </w:rPr>
                  </w:pPr>
                  <w:r>
                    <w:rPr>
                      <w:rFonts w:hint="eastAsia"/>
                      <w:lang w:val="en-US" w:eastAsia="zh-CN"/>
                    </w:rPr>
                    <w:t>3.16</w:t>
                  </w:r>
                </w:p>
              </w:tc>
            </w:tr>
            <w:tr w14:paraId="0D169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Align w:val="center"/>
                </w:tcPr>
                <w:p w14:paraId="66B58A77">
                  <w:pPr>
                    <w:pStyle w:val="86"/>
                  </w:pPr>
                  <w:r>
                    <w:rPr>
                      <w:rFonts w:hint="eastAsia"/>
                    </w:rPr>
                    <w:t>下风向最大质量浓度及占标率/%</w:t>
                  </w:r>
                </w:p>
              </w:tc>
              <w:tc>
                <w:tcPr>
                  <w:tcW w:w="2758" w:type="dxa"/>
                  <w:vAlign w:val="center"/>
                </w:tcPr>
                <w:p w14:paraId="3FD5B7E0">
                  <w:pPr>
                    <w:pStyle w:val="86"/>
                  </w:pPr>
                  <w:r>
                    <w:rPr>
                      <w:rFonts w:hint="eastAsia"/>
                      <w:lang w:val="en-US" w:eastAsia="zh-CN"/>
                    </w:rPr>
                    <w:t>0.1512</w:t>
                  </w:r>
                </w:p>
              </w:tc>
              <w:tc>
                <w:tcPr>
                  <w:tcW w:w="2760" w:type="dxa"/>
                  <w:vAlign w:val="center"/>
                </w:tcPr>
                <w:p w14:paraId="16C23AAE">
                  <w:pPr>
                    <w:pStyle w:val="86"/>
                  </w:pPr>
                  <w:r>
                    <w:rPr>
                      <w:rFonts w:hint="eastAsia"/>
                      <w:lang w:val="en-US" w:eastAsia="zh-CN"/>
                    </w:rPr>
                    <w:t>16.79</w:t>
                  </w:r>
                </w:p>
              </w:tc>
            </w:tr>
            <w:tr w14:paraId="0F9B3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1666" w:type="pct"/>
                  <w:vAlign w:val="center"/>
                </w:tcPr>
                <w:p w14:paraId="2FDC65D1">
                  <w:pPr>
                    <w:pStyle w:val="86"/>
                  </w:pPr>
                  <w:r>
                    <w:rPr>
                      <w:rFonts w:hint="eastAsia"/>
                    </w:rPr>
                    <w:t>D10%最远距离/m</w:t>
                  </w:r>
                </w:p>
              </w:tc>
              <w:tc>
                <w:tcPr>
                  <w:tcW w:w="3333" w:type="pct"/>
                  <w:gridSpan w:val="2"/>
                  <w:vAlign w:val="center"/>
                </w:tcPr>
                <w:p w14:paraId="1F80E6D0">
                  <w:pPr>
                    <w:pStyle w:val="86"/>
                    <w:rPr>
                      <w:rFonts w:hint="default" w:eastAsia="宋体"/>
                      <w:lang w:val="en-US" w:eastAsia="zh-CN"/>
                    </w:rPr>
                  </w:pPr>
                  <w:r>
                    <w:rPr>
                      <w:rFonts w:hint="eastAsia"/>
                      <w:lang w:val="en-US" w:eastAsia="zh-CN"/>
                    </w:rPr>
                    <w:t>221</w:t>
                  </w:r>
                </w:p>
              </w:tc>
            </w:tr>
          </w:tbl>
          <w:p w14:paraId="37334C51">
            <w:pPr>
              <w:widowControl/>
              <w:ind w:firstLine="480"/>
              <w:jc w:val="left"/>
            </w:pPr>
            <w:r>
              <w:rPr>
                <w:rFonts w:hint="eastAsia"/>
              </w:rPr>
              <w:t>根据估算结果，</w:t>
            </w:r>
            <w:r>
              <w:t>TSP</w:t>
            </w:r>
            <w:r>
              <w:rPr>
                <w:rFonts w:hint="eastAsia"/>
              </w:rPr>
              <w:t>对应的</w:t>
            </w:r>
            <w:r>
              <w:t>D10%</w:t>
            </w:r>
            <w:r>
              <w:rPr>
                <w:rFonts w:hint="eastAsia"/>
              </w:rPr>
              <w:t>距离为</w:t>
            </w:r>
            <w:r>
              <w:rPr>
                <w:rFonts w:hint="eastAsia"/>
                <w:lang w:val="en-US" w:eastAsia="zh-CN"/>
              </w:rPr>
              <w:t>855</w:t>
            </w:r>
            <w:r>
              <w:t>m</w:t>
            </w:r>
            <w:r>
              <w:rPr>
                <w:rFonts w:hint="eastAsia"/>
              </w:rPr>
              <w:t>，小于</w:t>
            </w:r>
            <w:r>
              <w:t>2</w:t>
            </w:r>
            <w:r>
              <w:rPr>
                <w:rFonts w:hint="eastAsia"/>
              </w:rPr>
              <w:t>.</w:t>
            </w:r>
            <w:r>
              <w:t>5</w:t>
            </w:r>
            <w:r>
              <w:rPr>
                <w:rFonts w:hint="eastAsia"/>
              </w:rPr>
              <w:t>k</w:t>
            </w:r>
            <w:r>
              <w:t>m</w:t>
            </w:r>
            <w:r>
              <w:rPr>
                <w:rFonts w:hint="eastAsia"/>
              </w:rPr>
              <w:t>。即项目大气环境影响评价范围为边长取</w:t>
            </w:r>
            <w:r>
              <w:t>5km</w:t>
            </w:r>
            <w:r>
              <w:rPr>
                <w:rFonts w:hint="eastAsia"/>
              </w:rPr>
              <w:t>。评价范围内保护目标主要为周边居民。</w:t>
            </w:r>
          </w:p>
          <w:p w14:paraId="0E1CC8B9">
            <w:pPr>
              <w:widowControl/>
              <w:ind w:firstLine="480"/>
              <w:jc w:val="left"/>
              <w:rPr>
                <w:lang w:bidi="ar"/>
              </w:rPr>
            </w:pPr>
            <w:r>
              <w:rPr>
                <w:rFonts w:hint="eastAsia"/>
                <w:lang w:bidi="ar"/>
              </w:rPr>
              <w:t>2、声环境保护目标</w:t>
            </w:r>
          </w:p>
          <w:p w14:paraId="0545BE48">
            <w:pPr>
              <w:widowControl/>
              <w:ind w:firstLine="480"/>
              <w:jc w:val="left"/>
            </w:pPr>
            <w:r>
              <w:rPr>
                <w:kern w:val="0"/>
                <w:lang w:bidi="ar"/>
              </w:rPr>
              <w:t>项目噪声主要为矿坑生态修复施工设备噪声，项目位于</w:t>
            </w:r>
            <w:r>
              <w:rPr>
                <w:rFonts w:hint="eastAsia"/>
                <w:kern w:val="0"/>
                <w:lang w:bidi="ar"/>
              </w:rPr>
              <w:t>2</w:t>
            </w:r>
            <w:r>
              <w:rPr>
                <w:kern w:val="0"/>
                <w:lang w:bidi="ar"/>
              </w:rPr>
              <w:t>类声环境功能区，故项目声环境评价工作等级为二级，根据《环境影响评价技术导则 声环境》（HJ2.4-2021），确定本项目声环境评价范围为200m</w:t>
            </w:r>
            <w:r>
              <w:rPr>
                <w:rFonts w:hint="eastAsia"/>
                <w:kern w:val="0"/>
                <w:lang w:bidi="ar"/>
              </w:rPr>
              <w:t>。</w:t>
            </w:r>
          </w:p>
          <w:p w14:paraId="0FD89A96">
            <w:pPr>
              <w:widowControl/>
              <w:ind w:firstLine="480"/>
              <w:rPr>
                <w:b/>
                <w:bCs/>
                <w:kern w:val="0"/>
                <w:lang w:bidi="ar"/>
              </w:rPr>
            </w:pPr>
            <w:r>
              <w:rPr>
                <w:rFonts w:hint="eastAsia"/>
                <w:b/>
                <w:bCs/>
                <w:kern w:val="0"/>
                <w:lang w:bidi="ar"/>
              </w:rPr>
              <w:t>3、生态环境保护目标</w:t>
            </w:r>
          </w:p>
          <w:p w14:paraId="4D3438B0">
            <w:pPr>
              <w:widowControl/>
              <w:ind w:firstLine="480"/>
              <w:jc w:val="left"/>
              <w:rPr>
                <w:rFonts w:hint="eastAsia"/>
                <w:color w:val="000000" w:themeColor="text1"/>
                <w:highlight w:val="none"/>
                <w14:textFill>
                  <w14:solidFill>
                    <w14:schemeClr w14:val="tx1"/>
                  </w14:solidFill>
                </w14:textFill>
              </w:rPr>
            </w:pPr>
            <w:r>
              <w:rPr>
                <w:kern w:val="0"/>
                <w:lang w:bidi="ar"/>
              </w:rPr>
              <w:t>本项目为废弃矿坑生态修复项目，项目占地面积</w:t>
            </w:r>
            <w:r>
              <w:rPr>
                <w:rFonts w:hint="eastAsia"/>
                <w:kern w:val="0"/>
                <w:lang w:eastAsia="zh-CN" w:bidi="ar"/>
              </w:rPr>
              <w:t>127097</w:t>
            </w:r>
            <w:r>
              <w:rPr>
                <w:kern w:val="0"/>
                <w:lang w:bidi="ar"/>
              </w:rPr>
              <w:t>m</w:t>
            </w:r>
            <w:r>
              <w:rPr>
                <w:kern w:val="0"/>
                <w:vertAlign w:val="superscript"/>
                <w:lang w:bidi="ar"/>
              </w:rPr>
              <w:t>2</w:t>
            </w:r>
            <w:r>
              <w:rPr>
                <w:kern w:val="0"/>
                <w:lang w:bidi="ar"/>
              </w:rPr>
              <w:t>。</w:t>
            </w:r>
            <w:r>
              <w:rPr>
                <w:rFonts w:hint="eastAsia"/>
                <w:color w:val="000000" w:themeColor="text1"/>
                <w:highlight w:val="none"/>
                <w14:textFill>
                  <w14:solidFill>
                    <w14:schemeClr w14:val="tx1"/>
                  </w14:solidFill>
                </w14:textFill>
              </w:rPr>
              <w:t>项目修复范围</w:t>
            </w:r>
            <w:r>
              <w:rPr>
                <w:rFonts w:hint="eastAsia"/>
                <w:color w:val="000000" w:themeColor="text1"/>
                <w:highlight w:val="none"/>
                <w:lang w:val="en-US" w:eastAsia="zh-CN"/>
                <w14:textFill>
                  <w14:solidFill>
                    <w14:schemeClr w14:val="tx1"/>
                  </w14:solidFill>
                </w14:textFill>
              </w:rPr>
              <w:t>内占地类型为</w:t>
            </w:r>
            <w:r>
              <w:rPr>
                <w:rFonts w:hint="eastAsia"/>
                <w:color w:val="000000" w:themeColor="text1"/>
                <w:highlight w:val="none"/>
                <w14:textFill>
                  <w14:solidFill>
                    <w14:schemeClr w14:val="tx1"/>
                  </w14:solidFill>
                </w14:textFill>
              </w:rPr>
              <w:t>采矿用地</w:t>
            </w:r>
            <w:r>
              <w:rPr>
                <w:rFonts w:hint="eastAsia"/>
                <w:color w:val="000000" w:themeColor="text1"/>
                <w:highlight w:val="none"/>
                <w:lang w:val="en-US" w:eastAsia="zh-CN"/>
                <w14:textFill>
                  <w14:solidFill>
                    <w14:schemeClr w14:val="tx1"/>
                  </w14:solidFill>
                </w14:textFill>
              </w:rPr>
              <w:t>及农村道路</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项目修复范围均在矿山开采遗留用地内进行修复，未新增占地</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项目修复区</w:t>
            </w:r>
            <w:r>
              <w:rPr>
                <w:rFonts w:hint="eastAsia"/>
                <w:color w:val="000000" w:themeColor="text1"/>
                <w:highlight w:val="none"/>
                <w14:textFill>
                  <w14:solidFill>
                    <w14:schemeClr w14:val="tx1"/>
                  </w14:solidFill>
                </w14:textFill>
              </w:rPr>
              <w:t>复垦方向初步是林地，具体复垦方向后期按评审过的生态修复方案为主。</w:t>
            </w:r>
          </w:p>
          <w:p w14:paraId="757F6108">
            <w:pPr>
              <w:widowControl/>
              <w:ind w:firstLine="480"/>
              <w:jc w:val="left"/>
              <w:rPr>
                <w:rFonts w:hint="default" w:eastAsia="宋体"/>
                <w:kern w:val="0"/>
                <w:lang w:val="en-US" w:eastAsia="zh-CN" w:bidi="ar"/>
              </w:rPr>
            </w:pPr>
            <w:r>
              <w:rPr>
                <w:rFonts w:hint="eastAsia"/>
                <w:kern w:val="0"/>
                <w:lang w:val="en-US" w:eastAsia="zh-CN" w:bidi="ar"/>
              </w:rPr>
              <w:t>根据《建设项目环境影响报告表编制技术指南（生态影响类）》（试行），按照环境影响评价相关技术导则要求确定评价范围并识别环境保护目标。根据《环境影响评价技术导则 生态影响》（HJ19-2022）6.2规定，本项目生态环境保护目标为项目占地范围内及修复范围线外延300m范围内的动植物。</w:t>
            </w:r>
          </w:p>
          <w:p w14:paraId="42131BF8">
            <w:pPr>
              <w:widowControl/>
              <w:ind w:firstLine="480"/>
              <w:jc w:val="left"/>
              <w:rPr>
                <w:b/>
                <w:bCs/>
              </w:rPr>
            </w:pPr>
            <w:r>
              <w:rPr>
                <w:rFonts w:hint="eastAsia"/>
                <w:b/>
                <w:bCs/>
              </w:rPr>
              <w:t>4、地下水环境保护目标</w:t>
            </w:r>
          </w:p>
          <w:p w14:paraId="0007AB1A">
            <w:pPr>
              <w:widowControl/>
              <w:ind w:firstLine="480"/>
              <w:jc w:val="left"/>
              <w:rPr>
                <w:rFonts w:hint="eastAsia" w:ascii="宋体" w:hAnsi="宋体" w:cs="宋体"/>
                <w:kern w:val="0"/>
                <w:lang w:bidi="ar"/>
              </w:rPr>
            </w:pPr>
            <w:r>
              <w:rPr>
                <w:rFonts w:hint="eastAsia" w:ascii="宋体" w:hAnsi="宋体" w:cs="宋体"/>
                <w:kern w:val="0"/>
                <w:lang w:bidi="ar"/>
              </w:rPr>
              <w:t>根据《环境影响评价技术导则 地下水环境》（HJ610-2016）评价等级划分依据，建设项目评价等级由项目类别和环境敏感程度共同判定：</w:t>
            </w:r>
          </w:p>
          <w:p w14:paraId="4142AFAD">
            <w:pPr>
              <w:widowControl/>
              <w:ind w:firstLine="480"/>
              <w:jc w:val="left"/>
              <w:rPr>
                <w:rFonts w:hint="eastAsia" w:ascii="宋体" w:hAnsi="宋体" w:cs="宋体"/>
                <w:kern w:val="0"/>
                <w:lang w:bidi="ar"/>
              </w:rPr>
            </w:pPr>
            <w:r>
              <w:rPr>
                <w:rFonts w:hint="eastAsia" w:ascii="宋体" w:hAnsi="宋体" w:cs="宋体"/>
                <w:kern w:val="0"/>
                <w:lang w:bidi="ar"/>
              </w:rPr>
              <w:t>①地下水环境影响评价项目类别：本项目为废弃矿坑生态修复项目，根据《环境影响评价技术导则 地下水环境》（HJ610-2016）附录 A“地下水环境影响评价行业分类表”，参照相近行业类别“污染场地治理修复工程”，属于Ⅲ类建设项目。</w:t>
            </w:r>
          </w:p>
          <w:p w14:paraId="199ABA60">
            <w:pPr>
              <w:widowControl/>
              <w:ind w:firstLine="480"/>
              <w:jc w:val="left"/>
              <w:rPr>
                <w:rFonts w:hint="eastAsia" w:ascii="宋体" w:hAnsi="宋体" w:cs="宋体"/>
                <w:kern w:val="0"/>
                <w:lang w:bidi="ar"/>
              </w:rPr>
            </w:pPr>
            <w:r>
              <w:rPr>
                <w:rFonts w:hint="eastAsia" w:ascii="宋体" w:hAnsi="宋体" w:cs="宋体"/>
                <w:kern w:val="0"/>
                <w:lang w:bidi="ar"/>
              </w:rPr>
              <w:t>②建设项目场地的地下水环境敏感程度：本项目不在饮用水源保护区范围内，经调查，项目周边涉及古城村委会新石桥村245人人饮水源点，同时下游村子里有多口饮用出露泉及应急机井，因此地下水环境敏感程度为“</w:t>
            </w:r>
            <w:r>
              <w:rPr>
                <w:rFonts w:hint="eastAsia" w:ascii="宋体" w:hAnsi="宋体" w:cs="宋体"/>
                <w:kern w:val="0"/>
                <w:lang w:val="en-US" w:eastAsia="zh-CN" w:bidi="ar"/>
              </w:rPr>
              <w:t>较</w:t>
            </w:r>
            <w:r>
              <w:rPr>
                <w:rFonts w:hint="eastAsia" w:ascii="宋体" w:hAnsi="宋体" w:cs="宋体"/>
                <w:kern w:val="0"/>
                <w:lang w:bidi="ar"/>
              </w:rPr>
              <w:t>敏感”。</w:t>
            </w:r>
          </w:p>
          <w:p w14:paraId="54C15137">
            <w:pPr>
              <w:widowControl/>
              <w:ind w:firstLine="480"/>
              <w:jc w:val="left"/>
              <w:rPr>
                <w:rFonts w:hint="eastAsia" w:ascii="宋体" w:hAnsi="宋体" w:cs="宋体"/>
                <w:kern w:val="0"/>
                <w:lang w:bidi="ar"/>
              </w:rPr>
            </w:pPr>
            <w:r>
              <w:rPr>
                <w:rFonts w:hint="eastAsia" w:ascii="宋体" w:hAnsi="宋体" w:cs="宋体"/>
                <w:kern w:val="0"/>
                <w:lang w:bidi="ar"/>
              </w:rPr>
              <w:t>对照《环境影响评价技术导则 地下水环境》（HJ610-2016）建设项目评价工作等级分级表可知，本项目地下水评价工作等级为</w:t>
            </w:r>
            <w:r>
              <w:rPr>
                <w:rFonts w:hint="eastAsia" w:ascii="宋体" w:hAnsi="宋体" w:cs="宋体"/>
                <w:kern w:val="0"/>
                <w:lang w:val="en-US" w:eastAsia="zh-CN" w:bidi="ar"/>
              </w:rPr>
              <w:t>三级</w:t>
            </w:r>
            <w:r>
              <w:rPr>
                <w:rFonts w:hint="eastAsia" w:ascii="宋体" w:hAnsi="宋体" w:cs="宋体"/>
                <w:kern w:val="0"/>
                <w:lang w:bidi="ar"/>
              </w:rPr>
              <w:t>。</w:t>
            </w:r>
          </w:p>
          <w:p w14:paraId="2E91B228">
            <w:pPr>
              <w:widowControl/>
              <w:spacing w:line="336" w:lineRule="auto"/>
              <w:ind w:firstLine="480"/>
              <w:jc w:val="left"/>
              <w:rPr>
                <w:rFonts w:hint="eastAsia" w:ascii="宋体" w:hAnsi="宋体" w:cs="宋体"/>
                <w:kern w:val="0"/>
                <w:lang w:bidi="ar"/>
              </w:rPr>
            </w:pPr>
            <w:r>
              <w:rPr>
                <w:rFonts w:hint="eastAsia" w:ascii="宋体" w:hAnsi="宋体" w:cs="宋体"/>
                <w:kern w:val="0"/>
                <w:lang w:bidi="ar"/>
              </w:rPr>
              <w:t>根据《环境影响评价技术导则 地下水环境》（HJ610-2016）和项目区水文地质单元划分，结合项目区周边地下水开发利用情况，项目地下水环境保护目标主要为项目区潜水含水层和可能受建设项目影响且具有饮用水开发利用价值的含水层。</w:t>
            </w:r>
          </w:p>
          <w:p w14:paraId="7E9B2415">
            <w:pPr>
              <w:widowControl/>
              <w:ind w:firstLine="480"/>
              <w:jc w:val="left"/>
            </w:pPr>
            <w:r>
              <w:rPr>
                <w:rFonts w:hint="eastAsia"/>
                <w:kern w:val="0"/>
                <w:lang w:bidi="ar"/>
              </w:rPr>
              <w:t>5、</w:t>
            </w:r>
            <w:r>
              <w:rPr>
                <w:rFonts w:hint="eastAsia" w:ascii="宋体" w:hAnsi="宋体" w:cs="宋体"/>
                <w:kern w:val="0"/>
                <w:lang w:bidi="ar"/>
              </w:rPr>
              <w:t>土壤环境保护目标</w:t>
            </w:r>
          </w:p>
          <w:p w14:paraId="4A7A0EE4">
            <w:pPr>
              <w:widowControl/>
              <w:spacing w:line="336" w:lineRule="auto"/>
              <w:ind w:firstLine="480"/>
              <w:jc w:val="left"/>
            </w:pPr>
            <w:r>
              <w:rPr>
                <w:rFonts w:hint="eastAsia" w:ascii="宋体" w:hAnsi="宋体" w:cs="宋体"/>
                <w:kern w:val="0"/>
                <w:lang w:bidi="ar"/>
              </w:rPr>
              <w:t>本项目为历史开采遗留矿坑生态修复项目，根据《环境影响评价技术导则 土壤环境》（</w:t>
            </w:r>
            <w:r>
              <w:rPr>
                <w:kern w:val="0"/>
                <w:lang w:bidi="ar"/>
              </w:rPr>
              <w:t>HJ964-2018</w:t>
            </w:r>
            <w:r>
              <w:rPr>
                <w:rFonts w:hint="eastAsia" w:ascii="宋体" w:hAnsi="宋体" w:cs="宋体"/>
                <w:kern w:val="0"/>
                <w:lang w:bidi="ar"/>
              </w:rPr>
              <w:t xml:space="preserve">）（试行）附录 </w:t>
            </w:r>
            <w:r>
              <w:rPr>
                <w:kern w:val="0"/>
                <w:lang w:bidi="ar"/>
              </w:rPr>
              <w:t>A.1</w:t>
            </w:r>
            <w:r>
              <w:rPr>
                <w:rFonts w:hint="eastAsia" w:ascii="宋体" w:hAnsi="宋体" w:cs="宋体"/>
                <w:kern w:val="0"/>
                <w:lang w:bidi="ar"/>
              </w:rPr>
              <w:t>，项目行业类别其他行业，项目类别为</w:t>
            </w:r>
            <w:r>
              <w:rPr>
                <w:kern w:val="0"/>
                <w:lang w:bidi="ar"/>
              </w:rPr>
              <w:t>“Ⅳ</w:t>
            </w:r>
            <w:r>
              <w:rPr>
                <w:rFonts w:hint="eastAsia" w:ascii="宋体" w:hAnsi="宋体" w:cs="宋体"/>
                <w:kern w:val="0"/>
                <w:lang w:bidi="ar"/>
              </w:rPr>
              <w:t>类</w:t>
            </w:r>
            <w:r>
              <w:rPr>
                <w:kern w:val="0"/>
                <w:lang w:bidi="ar"/>
              </w:rPr>
              <w:t>”</w:t>
            </w:r>
            <w:r>
              <w:rPr>
                <w:rFonts w:hint="eastAsia" w:ascii="宋体" w:hAnsi="宋体" w:cs="宋体"/>
                <w:kern w:val="0"/>
                <w:lang w:bidi="ar"/>
              </w:rPr>
              <w:t>项目，可不开展土壤环境影响评价。项目周边主要为耕地</w:t>
            </w:r>
            <w:r>
              <w:rPr>
                <w:rFonts w:hint="eastAsia" w:ascii="宋体" w:hAnsi="宋体" w:cs="宋体"/>
                <w:kern w:val="0"/>
                <w:lang w:eastAsia="zh-CN" w:bidi="ar"/>
              </w:rPr>
              <w:t>、</w:t>
            </w:r>
            <w:r>
              <w:rPr>
                <w:rFonts w:hint="eastAsia" w:ascii="宋体" w:hAnsi="宋体" w:cs="宋体"/>
                <w:kern w:val="0"/>
                <w:lang w:val="en-US" w:eastAsia="zh-CN" w:bidi="ar"/>
              </w:rPr>
              <w:t>林地</w:t>
            </w:r>
            <w:r>
              <w:rPr>
                <w:rFonts w:hint="eastAsia" w:ascii="宋体" w:hAnsi="宋体" w:cs="宋体"/>
                <w:kern w:val="0"/>
                <w:lang w:bidi="ar"/>
              </w:rPr>
              <w:t>，土壤环境保护目标为项目修复区范围内的土壤及周边耕地。</w:t>
            </w:r>
          </w:p>
          <w:p w14:paraId="478708C1">
            <w:pPr>
              <w:widowControl/>
              <w:ind w:firstLine="480"/>
              <w:jc w:val="left"/>
            </w:pPr>
            <w:r>
              <w:rPr>
                <w:kern w:val="0"/>
                <w:lang w:bidi="ar"/>
              </w:rPr>
              <w:t>6</w:t>
            </w:r>
            <w:r>
              <w:rPr>
                <w:rFonts w:hint="eastAsia"/>
                <w:kern w:val="0"/>
                <w:lang w:bidi="ar"/>
              </w:rPr>
              <w:t>、</w:t>
            </w:r>
            <w:r>
              <w:rPr>
                <w:rFonts w:hint="eastAsia" w:ascii="宋体" w:hAnsi="宋体" w:cs="宋体"/>
                <w:kern w:val="0"/>
                <w:lang w:bidi="ar"/>
              </w:rPr>
              <w:t>地表水环境保护目标</w:t>
            </w:r>
          </w:p>
          <w:p w14:paraId="2474D23D">
            <w:pPr>
              <w:pStyle w:val="23"/>
              <w:spacing w:line="336" w:lineRule="auto"/>
              <w:ind w:firstLine="480"/>
            </w:pPr>
            <w:r>
              <w:rPr>
                <w:sz w:val="24"/>
                <w:lang w:bidi="ar"/>
              </w:rPr>
              <w:t>本项目主要地表水环境保护目标为</w:t>
            </w:r>
            <w:r>
              <w:rPr>
                <w:rFonts w:hint="eastAsia"/>
                <w:sz w:val="24"/>
                <w:lang w:bidi="ar"/>
              </w:rPr>
              <w:t>穿过项目区的卡巴拉季节性溪沟，自东向西汇入鸡街河，</w:t>
            </w:r>
            <w:r>
              <w:rPr>
                <w:sz w:val="24"/>
                <w:lang w:bidi="ar"/>
              </w:rPr>
              <w:t>执行《地表水环境质量标准》（GB3838-2002）</w:t>
            </w:r>
            <w:r>
              <w:rPr>
                <w:rFonts w:hint="eastAsia" w:ascii="方正仿宋_GB2312" w:hAnsi="方正仿宋_GB2312" w:eastAsia="方正仿宋_GB2312" w:cs="方正仿宋_GB2312"/>
                <w:sz w:val="24"/>
                <w:szCs w:val="36"/>
              </w:rPr>
              <w:t>Ⅲ</w:t>
            </w:r>
            <w:r>
              <w:rPr>
                <w:sz w:val="24"/>
                <w:lang w:bidi="ar"/>
              </w:rPr>
              <w:t>类标准。</w:t>
            </w:r>
          </w:p>
          <w:p w14:paraId="253F04B1">
            <w:pPr>
              <w:widowControl/>
              <w:ind w:firstLine="480"/>
              <w:rPr>
                <w:kern w:val="0"/>
                <w:lang w:bidi="ar"/>
              </w:rPr>
            </w:pPr>
            <w:r>
              <w:rPr>
                <w:rFonts w:hint="eastAsia"/>
                <w:kern w:val="0"/>
                <w:lang w:bidi="ar"/>
              </w:rPr>
              <w:t>项目评价范围内保护目标见下表。</w:t>
            </w:r>
          </w:p>
          <w:p w14:paraId="464EC73C">
            <w:pPr>
              <w:pStyle w:val="70"/>
              <w:rPr>
                <w:rFonts w:hint="eastAsia"/>
                <w:sz w:val="24"/>
                <w:szCs w:val="24"/>
                <w:lang w:val="en-US" w:bidi="ar"/>
              </w:rPr>
            </w:pPr>
            <w:r>
              <w:rPr>
                <w:rFonts w:hint="eastAsia"/>
                <w:sz w:val="24"/>
                <w:szCs w:val="24"/>
                <w:lang w:val="en-US" w:bidi="ar"/>
              </w:rPr>
              <w:t xml:space="preserve">表3-16 </w:t>
            </w:r>
            <w:r>
              <w:rPr>
                <w:rFonts w:hint="eastAsia"/>
                <w:sz w:val="24"/>
                <w:szCs w:val="24"/>
                <w:lang w:val="en-US" w:eastAsia="zh-CN" w:bidi="ar"/>
              </w:rPr>
              <w:t xml:space="preserve"> </w:t>
            </w:r>
            <w:r>
              <w:rPr>
                <w:rFonts w:hint="eastAsia"/>
                <w:sz w:val="24"/>
                <w:szCs w:val="24"/>
                <w:lang w:val="en-US" w:bidi="ar"/>
              </w:rPr>
              <w:t>生态修复区周边生态环境保护目标</w:t>
            </w:r>
            <w:bookmarkStart w:id="44" w:name="_Hlk201522857"/>
          </w:p>
          <w:tbl>
            <w:tblPr>
              <w:tblStyle w:val="41"/>
              <w:tblW w:w="774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2859"/>
              <w:gridCol w:w="427"/>
              <w:gridCol w:w="531"/>
              <w:gridCol w:w="427"/>
              <w:gridCol w:w="427"/>
              <w:gridCol w:w="636"/>
              <w:gridCol w:w="1838"/>
            </w:tblGrid>
            <w:tr w14:paraId="6E705C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45" w:hRule="atLeast"/>
              </w:trPr>
              <w:tc>
                <w:tcPr>
                  <w:tcW w:w="664" w:type="dxa"/>
                  <w:vAlign w:val="center"/>
                </w:tcPr>
                <w:p w14:paraId="57C6345B">
                  <w:pPr>
                    <w:pStyle w:val="86"/>
                    <w:rPr>
                      <w:b/>
                      <w:bCs/>
                    </w:rPr>
                  </w:pPr>
                  <w:r>
                    <w:rPr>
                      <w:rFonts w:hint="eastAsia"/>
                      <w:b/>
                      <w:bCs/>
                    </w:rPr>
                    <w:t>环境要素</w:t>
                  </w:r>
                </w:p>
              </w:tc>
              <w:tc>
                <w:tcPr>
                  <w:tcW w:w="649" w:type="dxa"/>
                  <w:vAlign w:val="center"/>
                </w:tcPr>
                <w:p w14:paraId="4A2CEE54">
                  <w:pPr>
                    <w:pStyle w:val="86"/>
                    <w:rPr>
                      <w:b/>
                      <w:bCs/>
                    </w:rPr>
                  </w:pPr>
                  <w:r>
                    <w:rPr>
                      <w:rFonts w:hint="eastAsia"/>
                      <w:b/>
                      <w:bCs/>
                    </w:rPr>
                    <w:t>名称</w:t>
                  </w:r>
                </w:p>
              </w:tc>
              <w:tc>
                <w:tcPr>
                  <w:tcW w:w="1589" w:type="dxa"/>
                  <w:vAlign w:val="center"/>
                </w:tcPr>
                <w:p w14:paraId="4F65EA8E">
                  <w:pPr>
                    <w:pStyle w:val="86"/>
                    <w:rPr>
                      <w:b/>
                      <w:bCs/>
                    </w:rPr>
                  </w:pPr>
                  <w:r>
                    <w:rPr>
                      <w:rFonts w:hint="eastAsia"/>
                      <w:b/>
                      <w:bCs/>
                    </w:rPr>
                    <w:t>坐标</w:t>
                  </w:r>
                </w:p>
              </w:tc>
              <w:tc>
                <w:tcPr>
                  <w:tcW w:w="694" w:type="dxa"/>
                  <w:vAlign w:val="center"/>
                </w:tcPr>
                <w:p w14:paraId="51779929">
                  <w:pPr>
                    <w:pStyle w:val="86"/>
                    <w:rPr>
                      <w:b/>
                      <w:bCs/>
                    </w:rPr>
                  </w:pPr>
                  <w:r>
                    <w:rPr>
                      <w:rFonts w:hint="eastAsia"/>
                      <w:b/>
                      <w:bCs/>
                    </w:rPr>
                    <w:t>保护对象</w:t>
                  </w:r>
                </w:p>
              </w:tc>
              <w:tc>
                <w:tcPr>
                  <w:tcW w:w="814" w:type="dxa"/>
                  <w:vAlign w:val="center"/>
                </w:tcPr>
                <w:p w14:paraId="1BAD497F">
                  <w:pPr>
                    <w:pStyle w:val="86"/>
                    <w:rPr>
                      <w:b/>
                      <w:bCs/>
                    </w:rPr>
                  </w:pPr>
                  <w:r>
                    <w:rPr>
                      <w:rFonts w:hint="eastAsia"/>
                      <w:b/>
                      <w:bCs/>
                    </w:rPr>
                    <w:t>保护内容</w:t>
                  </w:r>
                </w:p>
              </w:tc>
              <w:tc>
                <w:tcPr>
                  <w:tcW w:w="638" w:type="dxa"/>
                  <w:vAlign w:val="center"/>
                </w:tcPr>
                <w:p w14:paraId="3C92CD06">
                  <w:pPr>
                    <w:pStyle w:val="86"/>
                    <w:rPr>
                      <w:b/>
                      <w:bCs/>
                    </w:rPr>
                  </w:pPr>
                  <w:r>
                    <w:rPr>
                      <w:rFonts w:hint="eastAsia"/>
                      <w:b/>
                      <w:bCs/>
                    </w:rPr>
                    <w:t>环境功能区</w:t>
                  </w:r>
                </w:p>
              </w:tc>
              <w:tc>
                <w:tcPr>
                  <w:tcW w:w="913" w:type="dxa"/>
                  <w:vAlign w:val="center"/>
                </w:tcPr>
                <w:p w14:paraId="094F0BCC">
                  <w:pPr>
                    <w:pStyle w:val="86"/>
                    <w:rPr>
                      <w:b/>
                      <w:bCs/>
                    </w:rPr>
                  </w:pPr>
                  <w:r>
                    <w:rPr>
                      <w:rFonts w:hint="eastAsia"/>
                      <w:b/>
                      <w:bCs/>
                    </w:rPr>
                    <w:t>相对项目边界方位</w:t>
                  </w:r>
                </w:p>
              </w:tc>
              <w:tc>
                <w:tcPr>
                  <w:tcW w:w="730" w:type="dxa"/>
                  <w:vAlign w:val="center"/>
                </w:tcPr>
                <w:p w14:paraId="5B58E27D">
                  <w:pPr>
                    <w:pStyle w:val="86"/>
                    <w:rPr>
                      <w:b/>
                      <w:bCs/>
                    </w:rPr>
                  </w:pPr>
                  <w:r>
                    <w:rPr>
                      <w:rFonts w:hint="eastAsia"/>
                      <w:b/>
                      <w:bCs/>
                    </w:rPr>
                    <w:t>相对项目边界距离/m</w:t>
                  </w:r>
                </w:p>
              </w:tc>
              <w:tc>
                <w:tcPr>
                  <w:tcW w:w="1057" w:type="dxa"/>
                  <w:vAlign w:val="center"/>
                </w:tcPr>
                <w:p w14:paraId="0C123563">
                  <w:pPr>
                    <w:pStyle w:val="86"/>
                    <w:rPr>
                      <w:b/>
                      <w:bCs/>
                    </w:rPr>
                  </w:pPr>
                  <w:r>
                    <w:rPr>
                      <w:rFonts w:hint="eastAsia"/>
                      <w:b/>
                      <w:bCs/>
                    </w:rPr>
                    <w:t>执行标准</w:t>
                  </w:r>
                </w:p>
              </w:tc>
            </w:tr>
            <w:tr w14:paraId="7B0C82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64" w:type="dxa"/>
                  <w:vMerge w:val="restart"/>
                  <w:vAlign w:val="center"/>
                </w:tcPr>
                <w:p w14:paraId="0D3E590A">
                  <w:pPr>
                    <w:pStyle w:val="86"/>
                  </w:pPr>
                  <w:r>
                    <w:rPr>
                      <w:rFonts w:hint="eastAsia"/>
                    </w:rPr>
                    <w:t>大气环境</w:t>
                  </w:r>
                </w:p>
              </w:tc>
              <w:tc>
                <w:tcPr>
                  <w:tcW w:w="649" w:type="dxa"/>
                  <w:vAlign w:val="center"/>
                </w:tcPr>
                <w:p w14:paraId="4A19C77A">
                  <w:pPr>
                    <w:pStyle w:val="86"/>
                  </w:pPr>
                  <w:r>
                    <w:rPr>
                      <w:rFonts w:hint="eastAsia"/>
                    </w:rPr>
                    <w:t>新石桥村</w:t>
                  </w:r>
                </w:p>
              </w:tc>
              <w:tc>
                <w:tcPr>
                  <w:tcW w:w="1589" w:type="dxa"/>
                  <w:vAlign w:val="center"/>
                </w:tcPr>
                <w:p w14:paraId="536BE54D">
                  <w:pPr>
                    <w:pStyle w:val="86"/>
                  </w:pPr>
                  <w:r>
                    <w:rPr>
                      <w:rFonts w:hint="eastAsia"/>
                    </w:rPr>
                    <w:t>E103.30833324，N25.72224030</w:t>
                  </w:r>
                </w:p>
              </w:tc>
              <w:tc>
                <w:tcPr>
                  <w:tcW w:w="694" w:type="dxa"/>
                  <w:vAlign w:val="center"/>
                </w:tcPr>
                <w:p w14:paraId="75069603">
                  <w:pPr>
                    <w:pStyle w:val="86"/>
                  </w:pPr>
                  <w:r>
                    <w:rPr>
                      <w:rFonts w:hint="eastAsia"/>
                    </w:rPr>
                    <w:t>居民</w:t>
                  </w:r>
                </w:p>
              </w:tc>
              <w:tc>
                <w:tcPr>
                  <w:tcW w:w="814" w:type="dxa"/>
                  <w:vAlign w:val="center"/>
                </w:tcPr>
                <w:p w14:paraId="2188B9E3">
                  <w:pPr>
                    <w:pStyle w:val="86"/>
                  </w:pPr>
                  <w:r>
                    <w:rPr>
                      <w:rFonts w:hint="eastAsia"/>
                    </w:rPr>
                    <w:t>约450人</w:t>
                  </w:r>
                </w:p>
              </w:tc>
              <w:tc>
                <w:tcPr>
                  <w:tcW w:w="638" w:type="dxa"/>
                  <w:vMerge w:val="restart"/>
                  <w:vAlign w:val="center"/>
                </w:tcPr>
                <w:p w14:paraId="0626FC54">
                  <w:pPr>
                    <w:pStyle w:val="86"/>
                  </w:pPr>
                  <w:r>
                    <w:rPr>
                      <w:rFonts w:hint="eastAsia"/>
                    </w:rPr>
                    <w:t>环境空气二类区</w:t>
                  </w:r>
                </w:p>
              </w:tc>
              <w:tc>
                <w:tcPr>
                  <w:tcW w:w="913" w:type="dxa"/>
                  <w:vAlign w:val="center"/>
                </w:tcPr>
                <w:p w14:paraId="180695B5">
                  <w:pPr>
                    <w:pStyle w:val="86"/>
                  </w:pPr>
                  <w:r>
                    <w:rPr>
                      <w:rFonts w:hint="eastAsia"/>
                    </w:rPr>
                    <w:t>东侧</w:t>
                  </w:r>
                </w:p>
              </w:tc>
              <w:tc>
                <w:tcPr>
                  <w:tcW w:w="730" w:type="dxa"/>
                  <w:vAlign w:val="center"/>
                </w:tcPr>
                <w:p w14:paraId="11B82EEF">
                  <w:pPr>
                    <w:pStyle w:val="86"/>
                    <w:rPr>
                      <w:rFonts w:hint="eastAsia"/>
                    </w:rPr>
                  </w:pPr>
                  <w:r>
                    <w:rPr>
                      <w:rFonts w:hint="eastAsia"/>
                    </w:rPr>
                    <w:t>1000</w:t>
                  </w:r>
                </w:p>
              </w:tc>
              <w:tc>
                <w:tcPr>
                  <w:tcW w:w="1057" w:type="dxa"/>
                  <w:vMerge w:val="restart"/>
                  <w:vAlign w:val="center"/>
                </w:tcPr>
                <w:p w14:paraId="4BF685F6">
                  <w:pPr>
                    <w:pStyle w:val="86"/>
                  </w:pPr>
                  <w:r>
                    <w:rPr>
                      <w:rFonts w:hint="eastAsia"/>
                    </w:rPr>
                    <w:t>《环境空气质量标准》（</w:t>
                  </w:r>
                  <w:r>
                    <w:t>GB3095-2012</w:t>
                  </w:r>
                  <w:r>
                    <w:rPr>
                      <w:rFonts w:hint="eastAsia"/>
                    </w:rPr>
                    <w:t>）二级标准</w:t>
                  </w:r>
                </w:p>
              </w:tc>
            </w:tr>
            <w:tr w14:paraId="7EDCC5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64" w:type="dxa"/>
                  <w:vMerge w:val="continue"/>
                  <w:vAlign w:val="center"/>
                </w:tcPr>
                <w:p w14:paraId="4FFF3F7B">
                  <w:pPr>
                    <w:pStyle w:val="86"/>
                  </w:pPr>
                </w:p>
              </w:tc>
              <w:tc>
                <w:tcPr>
                  <w:tcW w:w="649" w:type="dxa"/>
                  <w:vAlign w:val="center"/>
                </w:tcPr>
                <w:p w14:paraId="49EB7D2C">
                  <w:pPr>
                    <w:pStyle w:val="86"/>
                    <w:jc w:val="both"/>
                    <w:rPr>
                      <w:rFonts w:hint="eastAsia"/>
                    </w:rPr>
                  </w:pPr>
                  <w:r>
                    <w:rPr>
                      <w:rFonts w:hint="eastAsia"/>
                    </w:rPr>
                    <w:t>石头山</w:t>
                  </w:r>
                </w:p>
              </w:tc>
              <w:tc>
                <w:tcPr>
                  <w:tcW w:w="1589" w:type="dxa"/>
                  <w:vAlign w:val="center"/>
                </w:tcPr>
                <w:p w14:paraId="1DE9934E">
                  <w:pPr>
                    <w:pStyle w:val="86"/>
                  </w:pPr>
                  <w:r>
                    <w:rPr>
                      <w:rFonts w:hint="eastAsia"/>
                    </w:rPr>
                    <w:t>E103.30440757，N25.72456168</w:t>
                  </w:r>
                </w:p>
              </w:tc>
              <w:tc>
                <w:tcPr>
                  <w:tcW w:w="694" w:type="dxa"/>
                  <w:vAlign w:val="center"/>
                </w:tcPr>
                <w:p w14:paraId="0F69048A">
                  <w:pPr>
                    <w:pStyle w:val="86"/>
                  </w:pPr>
                  <w:r>
                    <w:rPr>
                      <w:rFonts w:hint="eastAsia"/>
                    </w:rPr>
                    <w:t>居民</w:t>
                  </w:r>
                </w:p>
              </w:tc>
              <w:tc>
                <w:tcPr>
                  <w:tcW w:w="814" w:type="dxa"/>
                  <w:vAlign w:val="center"/>
                </w:tcPr>
                <w:p w14:paraId="0FD01A6A">
                  <w:pPr>
                    <w:pStyle w:val="86"/>
                  </w:pPr>
                  <w:r>
                    <w:rPr>
                      <w:rFonts w:hint="eastAsia"/>
                    </w:rPr>
                    <w:t>约256人</w:t>
                  </w:r>
                </w:p>
              </w:tc>
              <w:tc>
                <w:tcPr>
                  <w:tcW w:w="638" w:type="dxa"/>
                  <w:vMerge w:val="continue"/>
                  <w:vAlign w:val="center"/>
                </w:tcPr>
                <w:p w14:paraId="2051C561">
                  <w:pPr>
                    <w:pStyle w:val="86"/>
                  </w:pPr>
                </w:p>
              </w:tc>
              <w:tc>
                <w:tcPr>
                  <w:tcW w:w="913" w:type="dxa"/>
                  <w:vAlign w:val="center"/>
                </w:tcPr>
                <w:p w14:paraId="1DE791D5">
                  <w:pPr>
                    <w:pStyle w:val="86"/>
                  </w:pPr>
                  <w:r>
                    <w:rPr>
                      <w:rFonts w:hint="eastAsia"/>
                    </w:rPr>
                    <w:t>西北侧</w:t>
                  </w:r>
                </w:p>
              </w:tc>
              <w:tc>
                <w:tcPr>
                  <w:tcW w:w="730" w:type="dxa"/>
                  <w:vAlign w:val="center"/>
                </w:tcPr>
                <w:p w14:paraId="0311F2E7">
                  <w:pPr>
                    <w:pStyle w:val="86"/>
                    <w:rPr>
                      <w:rFonts w:hint="eastAsia"/>
                    </w:rPr>
                  </w:pPr>
                  <w:r>
                    <w:rPr>
                      <w:rFonts w:hint="eastAsia"/>
                    </w:rPr>
                    <w:t>1050</w:t>
                  </w:r>
                </w:p>
              </w:tc>
              <w:tc>
                <w:tcPr>
                  <w:tcW w:w="1057" w:type="dxa"/>
                  <w:vMerge w:val="continue"/>
                  <w:vAlign w:val="center"/>
                </w:tcPr>
                <w:p w14:paraId="5D6518F7">
                  <w:pPr>
                    <w:pStyle w:val="86"/>
                  </w:pPr>
                </w:p>
              </w:tc>
            </w:tr>
            <w:tr w14:paraId="11C4B7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64" w:type="dxa"/>
                  <w:vMerge w:val="continue"/>
                  <w:vAlign w:val="center"/>
                </w:tcPr>
                <w:p w14:paraId="02AA3EFC">
                  <w:pPr>
                    <w:pStyle w:val="86"/>
                  </w:pPr>
                </w:p>
              </w:tc>
              <w:tc>
                <w:tcPr>
                  <w:tcW w:w="649" w:type="dxa"/>
                  <w:vAlign w:val="center"/>
                </w:tcPr>
                <w:p w14:paraId="4C87AFC3">
                  <w:pPr>
                    <w:pStyle w:val="86"/>
                  </w:pPr>
                  <w:r>
                    <w:rPr>
                      <w:rFonts w:hint="eastAsia"/>
                    </w:rPr>
                    <w:t>热水塘</w:t>
                  </w:r>
                </w:p>
              </w:tc>
              <w:tc>
                <w:tcPr>
                  <w:tcW w:w="1589" w:type="dxa"/>
                  <w:vAlign w:val="center"/>
                </w:tcPr>
                <w:p w14:paraId="642633B1">
                  <w:pPr>
                    <w:pStyle w:val="86"/>
                    <w:jc w:val="left"/>
                  </w:pPr>
                  <w:r>
                    <w:rPr>
                      <w:rFonts w:hint="eastAsia"/>
                    </w:rPr>
                    <w:t>E</w:t>
                  </w:r>
                  <w:r>
                    <w:t>103.30299889</w:t>
                  </w:r>
                  <w:r>
                    <w:rPr>
                      <w:rFonts w:hint="eastAsia"/>
                    </w:rPr>
                    <w:t>,</w:t>
                  </w:r>
                  <w:r>
                    <w:t>N25.73072209</w:t>
                  </w:r>
                </w:p>
              </w:tc>
              <w:tc>
                <w:tcPr>
                  <w:tcW w:w="694" w:type="dxa"/>
                  <w:vAlign w:val="center"/>
                </w:tcPr>
                <w:p w14:paraId="6BC22889">
                  <w:pPr>
                    <w:pStyle w:val="86"/>
                  </w:pPr>
                  <w:r>
                    <w:rPr>
                      <w:rFonts w:hint="eastAsia"/>
                    </w:rPr>
                    <w:t>居民</w:t>
                  </w:r>
                </w:p>
              </w:tc>
              <w:tc>
                <w:tcPr>
                  <w:tcW w:w="814" w:type="dxa"/>
                  <w:vAlign w:val="center"/>
                </w:tcPr>
                <w:p w14:paraId="0D0F1973">
                  <w:pPr>
                    <w:pStyle w:val="86"/>
                  </w:pPr>
                  <w:r>
                    <w:rPr>
                      <w:rFonts w:hint="eastAsia"/>
                    </w:rPr>
                    <w:t>约156人</w:t>
                  </w:r>
                </w:p>
              </w:tc>
              <w:tc>
                <w:tcPr>
                  <w:tcW w:w="638" w:type="dxa"/>
                  <w:vMerge w:val="continue"/>
                  <w:vAlign w:val="center"/>
                </w:tcPr>
                <w:p w14:paraId="417B5D2F">
                  <w:pPr>
                    <w:pStyle w:val="86"/>
                  </w:pPr>
                </w:p>
              </w:tc>
              <w:tc>
                <w:tcPr>
                  <w:tcW w:w="913" w:type="dxa"/>
                  <w:vAlign w:val="center"/>
                </w:tcPr>
                <w:p w14:paraId="296574F9">
                  <w:pPr>
                    <w:pStyle w:val="86"/>
                  </w:pPr>
                  <w:r>
                    <w:rPr>
                      <w:rFonts w:hint="eastAsia"/>
                    </w:rPr>
                    <w:t>西北侧</w:t>
                  </w:r>
                </w:p>
              </w:tc>
              <w:tc>
                <w:tcPr>
                  <w:tcW w:w="730" w:type="dxa"/>
                  <w:vAlign w:val="center"/>
                </w:tcPr>
                <w:p w14:paraId="33BD3BE4">
                  <w:pPr>
                    <w:pStyle w:val="86"/>
                    <w:rPr>
                      <w:rFonts w:hint="eastAsia"/>
                    </w:rPr>
                  </w:pPr>
                  <w:r>
                    <w:rPr>
                      <w:rFonts w:hint="eastAsia"/>
                    </w:rPr>
                    <w:t>1140</w:t>
                  </w:r>
                </w:p>
              </w:tc>
              <w:tc>
                <w:tcPr>
                  <w:tcW w:w="1057" w:type="dxa"/>
                  <w:vMerge w:val="continue"/>
                  <w:vAlign w:val="center"/>
                </w:tcPr>
                <w:p w14:paraId="6DEF82C3">
                  <w:pPr>
                    <w:pStyle w:val="86"/>
                  </w:pPr>
                </w:p>
              </w:tc>
            </w:tr>
            <w:tr w14:paraId="1A2F5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64" w:type="dxa"/>
                  <w:vMerge w:val="continue"/>
                  <w:vAlign w:val="center"/>
                </w:tcPr>
                <w:p w14:paraId="7CA4F1F2">
                  <w:pPr>
                    <w:pStyle w:val="86"/>
                  </w:pPr>
                </w:p>
              </w:tc>
              <w:tc>
                <w:tcPr>
                  <w:tcW w:w="649" w:type="dxa"/>
                  <w:vAlign w:val="center"/>
                </w:tcPr>
                <w:p w14:paraId="13499B00">
                  <w:pPr>
                    <w:pStyle w:val="86"/>
                  </w:pPr>
                  <w:r>
                    <w:rPr>
                      <w:rFonts w:hint="eastAsia"/>
                    </w:rPr>
                    <w:t>鲁洒沛</w:t>
                  </w:r>
                </w:p>
              </w:tc>
              <w:tc>
                <w:tcPr>
                  <w:tcW w:w="1589" w:type="dxa"/>
                  <w:vAlign w:val="center"/>
                </w:tcPr>
                <w:p w14:paraId="68941859">
                  <w:pPr>
                    <w:pStyle w:val="86"/>
                  </w:pPr>
                  <w:r>
                    <w:rPr>
                      <w:rFonts w:hint="eastAsia"/>
                    </w:rPr>
                    <w:t>E103.31179739,N25.74160311</w:t>
                  </w:r>
                </w:p>
              </w:tc>
              <w:tc>
                <w:tcPr>
                  <w:tcW w:w="694" w:type="dxa"/>
                  <w:vAlign w:val="center"/>
                </w:tcPr>
                <w:p w14:paraId="673A543E">
                  <w:pPr>
                    <w:pStyle w:val="86"/>
                  </w:pPr>
                  <w:r>
                    <w:rPr>
                      <w:rFonts w:hint="eastAsia"/>
                    </w:rPr>
                    <w:t>居民</w:t>
                  </w:r>
                </w:p>
              </w:tc>
              <w:tc>
                <w:tcPr>
                  <w:tcW w:w="814" w:type="dxa"/>
                  <w:vAlign w:val="center"/>
                </w:tcPr>
                <w:p w14:paraId="194A6798">
                  <w:pPr>
                    <w:pStyle w:val="86"/>
                  </w:pPr>
                  <w:r>
                    <w:rPr>
                      <w:rFonts w:hint="eastAsia"/>
                    </w:rPr>
                    <w:t>约510人</w:t>
                  </w:r>
                </w:p>
              </w:tc>
              <w:tc>
                <w:tcPr>
                  <w:tcW w:w="638" w:type="dxa"/>
                  <w:vMerge w:val="continue"/>
                  <w:vAlign w:val="center"/>
                </w:tcPr>
                <w:p w14:paraId="0D39E2A3">
                  <w:pPr>
                    <w:pStyle w:val="86"/>
                  </w:pPr>
                </w:p>
              </w:tc>
              <w:tc>
                <w:tcPr>
                  <w:tcW w:w="913" w:type="dxa"/>
                  <w:vAlign w:val="center"/>
                </w:tcPr>
                <w:p w14:paraId="544F3706">
                  <w:pPr>
                    <w:pStyle w:val="86"/>
                  </w:pPr>
                  <w:r>
                    <w:rPr>
                      <w:rFonts w:hint="eastAsia"/>
                    </w:rPr>
                    <w:t>北侧</w:t>
                  </w:r>
                </w:p>
              </w:tc>
              <w:tc>
                <w:tcPr>
                  <w:tcW w:w="730" w:type="dxa"/>
                  <w:vAlign w:val="center"/>
                </w:tcPr>
                <w:p w14:paraId="67D2202E">
                  <w:pPr>
                    <w:pStyle w:val="86"/>
                  </w:pPr>
                  <w:r>
                    <w:rPr>
                      <w:rFonts w:hint="eastAsia"/>
                    </w:rPr>
                    <w:t>1043</w:t>
                  </w:r>
                </w:p>
              </w:tc>
              <w:tc>
                <w:tcPr>
                  <w:tcW w:w="1057" w:type="dxa"/>
                  <w:vMerge w:val="continue"/>
                  <w:vAlign w:val="center"/>
                </w:tcPr>
                <w:p w14:paraId="60E92583">
                  <w:pPr>
                    <w:pStyle w:val="86"/>
                  </w:pPr>
                </w:p>
              </w:tc>
            </w:tr>
            <w:tr w14:paraId="4E0DA2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64" w:type="dxa"/>
                  <w:vMerge w:val="continue"/>
                  <w:vAlign w:val="center"/>
                </w:tcPr>
                <w:p w14:paraId="1C74155E">
                  <w:pPr>
                    <w:pStyle w:val="86"/>
                  </w:pPr>
                </w:p>
              </w:tc>
              <w:tc>
                <w:tcPr>
                  <w:tcW w:w="649" w:type="dxa"/>
                  <w:vAlign w:val="center"/>
                </w:tcPr>
                <w:p w14:paraId="122AC00B">
                  <w:pPr>
                    <w:pStyle w:val="86"/>
                  </w:pPr>
                  <w:r>
                    <w:rPr>
                      <w:rFonts w:hint="eastAsia"/>
                    </w:rPr>
                    <w:t>黑牛凹</w:t>
                  </w:r>
                </w:p>
              </w:tc>
              <w:tc>
                <w:tcPr>
                  <w:tcW w:w="1589" w:type="dxa"/>
                  <w:vAlign w:val="center"/>
                </w:tcPr>
                <w:p w14:paraId="68B62AB6">
                  <w:pPr>
                    <w:pStyle w:val="86"/>
                  </w:pPr>
                  <w:r>
                    <w:rPr>
                      <w:rFonts w:hint="eastAsia"/>
                    </w:rPr>
                    <w:t>E103.31829402,N25.72573568</w:t>
                  </w:r>
                </w:p>
              </w:tc>
              <w:tc>
                <w:tcPr>
                  <w:tcW w:w="694" w:type="dxa"/>
                  <w:vAlign w:val="center"/>
                </w:tcPr>
                <w:p w14:paraId="5B14B777">
                  <w:pPr>
                    <w:pStyle w:val="86"/>
                  </w:pPr>
                  <w:r>
                    <w:rPr>
                      <w:rFonts w:hint="eastAsia"/>
                    </w:rPr>
                    <w:t>居民</w:t>
                  </w:r>
                </w:p>
              </w:tc>
              <w:tc>
                <w:tcPr>
                  <w:tcW w:w="814" w:type="dxa"/>
                  <w:vAlign w:val="center"/>
                </w:tcPr>
                <w:p w14:paraId="515DD9B1">
                  <w:pPr>
                    <w:pStyle w:val="86"/>
                  </w:pPr>
                  <w:r>
                    <w:rPr>
                      <w:rFonts w:hint="eastAsia"/>
                    </w:rPr>
                    <w:t>约120人</w:t>
                  </w:r>
                </w:p>
              </w:tc>
              <w:tc>
                <w:tcPr>
                  <w:tcW w:w="638" w:type="dxa"/>
                  <w:vMerge w:val="continue"/>
                  <w:vAlign w:val="center"/>
                </w:tcPr>
                <w:p w14:paraId="2497FC67">
                  <w:pPr>
                    <w:pStyle w:val="86"/>
                  </w:pPr>
                </w:p>
              </w:tc>
              <w:tc>
                <w:tcPr>
                  <w:tcW w:w="913" w:type="dxa"/>
                  <w:vAlign w:val="center"/>
                </w:tcPr>
                <w:p w14:paraId="2D4B6ACA">
                  <w:pPr>
                    <w:pStyle w:val="86"/>
                  </w:pPr>
                  <w:r>
                    <w:rPr>
                      <w:rFonts w:hint="eastAsia"/>
                    </w:rPr>
                    <w:t>东侧</w:t>
                  </w:r>
                </w:p>
              </w:tc>
              <w:tc>
                <w:tcPr>
                  <w:tcW w:w="730" w:type="dxa"/>
                  <w:vAlign w:val="center"/>
                </w:tcPr>
                <w:p w14:paraId="418692FD">
                  <w:pPr>
                    <w:pStyle w:val="86"/>
                  </w:pPr>
                  <w:r>
                    <w:rPr>
                      <w:rFonts w:hint="eastAsia"/>
                    </w:rPr>
                    <w:t>1178</w:t>
                  </w:r>
                </w:p>
              </w:tc>
              <w:tc>
                <w:tcPr>
                  <w:tcW w:w="1057" w:type="dxa"/>
                  <w:vMerge w:val="continue"/>
                  <w:vAlign w:val="center"/>
                </w:tcPr>
                <w:p w14:paraId="0C2BEDE9">
                  <w:pPr>
                    <w:pStyle w:val="86"/>
                  </w:pPr>
                </w:p>
              </w:tc>
            </w:tr>
            <w:tr w14:paraId="14A01E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48" w:hRule="atLeast"/>
              </w:trPr>
              <w:tc>
                <w:tcPr>
                  <w:tcW w:w="664" w:type="dxa"/>
                  <w:vAlign w:val="center"/>
                </w:tcPr>
                <w:p w14:paraId="570F26F0">
                  <w:pPr>
                    <w:pStyle w:val="86"/>
                  </w:pPr>
                  <w:r>
                    <w:rPr>
                      <w:rFonts w:hint="eastAsia"/>
                    </w:rPr>
                    <w:t>声环境</w:t>
                  </w:r>
                </w:p>
              </w:tc>
              <w:tc>
                <w:tcPr>
                  <w:tcW w:w="6027" w:type="dxa"/>
                  <w:gridSpan w:val="7"/>
                  <w:vAlign w:val="center"/>
                </w:tcPr>
                <w:p w14:paraId="62182C5E">
                  <w:pPr>
                    <w:pStyle w:val="86"/>
                    <w:rPr>
                      <w:rFonts w:hint="eastAsia"/>
                    </w:rPr>
                  </w:pPr>
                  <w:r>
                    <w:rPr>
                      <w:rFonts w:hint="eastAsia"/>
                    </w:rPr>
                    <w:t>项目区周边200m范围内无声环境保护目标</w:t>
                  </w:r>
                </w:p>
              </w:tc>
              <w:tc>
                <w:tcPr>
                  <w:tcW w:w="1057" w:type="dxa"/>
                  <w:vAlign w:val="center"/>
                </w:tcPr>
                <w:p w14:paraId="157267C6">
                  <w:pPr>
                    <w:pStyle w:val="86"/>
                  </w:pPr>
                  <w:r>
                    <w:rPr>
                      <w:rFonts w:hint="eastAsia"/>
                    </w:rPr>
                    <w:t>《声环境质量标准》（</w:t>
                  </w:r>
                  <w:r>
                    <w:t>GB3096-2008</w:t>
                  </w:r>
                  <w:r>
                    <w:rPr>
                      <w:rFonts w:hint="eastAsia"/>
                    </w:rPr>
                    <w:t>）中的</w:t>
                  </w:r>
                  <w:r>
                    <w:t>2</w:t>
                  </w:r>
                  <w:r>
                    <w:rPr>
                      <w:rFonts w:hint="eastAsia"/>
                    </w:rPr>
                    <w:t>类标准</w:t>
                  </w:r>
                </w:p>
              </w:tc>
            </w:tr>
            <w:tr w14:paraId="773528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64" w:type="dxa"/>
                  <w:vMerge w:val="restart"/>
                  <w:vAlign w:val="center"/>
                </w:tcPr>
                <w:p w14:paraId="216EFE94">
                  <w:pPr>
                    <w:pStyle w:val="86"/>
                  </w:pPr>
                  <w:r>
                    <w:rPr>
                      <w:rFonts w:hint="eastAsia"/>
                    </w:rPr>
                    <w:t>地表水环境</w:t>
                  </w:r>
                </w:p>
              </w:tc>
              <w:tc>
                <w:tcPr>
                  <w:tcW w:w="649" w:type="dxa"/>
                  <w:vAlign w:val="center"/>
                </w:tcPr>
                <w:p w14:paraId="3F04411D">
                  <w:pPr>
                    <w:pStyle w:val="86"/>
                  </w:pPr>
                  <w:r>
                    <w:rPr>
                      <w:rFonts w:hint="eastAsia"/>
                      <w:kern w:val="0"/>
                      <w:lang w:bidi="ar"/>
                    </w:rPr>
                    <w:t>卡巴拉</w:t>
                  </w:r>
                </w:p>
              </w:tc>
              <w:tc>
                <w:tcPr>
                  <w:tcW w:w="3097" w:type="dxa"/>
                  <w:gridSpan w:val="3"/>
                  <w:vAlign w:val="center"/>
                </w:tcPr>
                <w:p w14:paraId="3FF83D3A">
                  <w:pPr>
                    <w:pStyle w:val="86"/>
                  </w:pPr>
                  <w:r>
                    <w:rPr>
                      <w:rFonts w:hint="eastAsia"/>
                    </w:rPr>
                    <w:t>E103.29741736，N25.72630865</w:t>
                  </w:r>
                </w:p>
              </w:tc>
              <w:tc>
                <w:tcPr>
                  <w:tcW w:w="638" w:type="dxa"/>
                  <w:vMerge w:val="restart"/>
                  <w:vAlign w:val="center"/>
                </w:tcPr>
                <w:p w14:paraId="49BE2B26">
                  <w:pPr>
                    <w:pStyle w:val="86"/>
                  </w:pPr>
                  <w:r>
                    <w:rPr>
                      <w:rFonts w:hint="eastAsia" w:ascii="方正仿宋_GB2312" w:hAnsi="方正仿宋_GB2312" w:eastAsia="方正仿宋_GB2312" w:cs="方正仿宋_GB2312"/>
                      <w:sz w:val="24"/>
                      <w:szCs w:val="36"/>
                    </w:rPr>
                    <w:t>Ⅲ</w:t>
                  </w:r>
                  <w:r>
                    <w:rPr>
                      <w:rFonts w:hint="eastAsia"/>
                    </w:rPr>
                    <w:t>类功能区</w:t>
                  </w:r>
                </w:p>
              </w:tc>
              <w:tc>
                <w:tcPr>
                  <w:tcW w:w="913" w:type="dxa"/>
                  <w:vAlign w:val="center"/>
                </w:tcPr>
                <w:p w14:paraId="1A5AF873">
                  <w:pPr>
                    <w:pStyle w:val="86"/>
                  </w:pPr>
                  <w:r>
                    <w:rPr>
                      <w:rFonts w:hint="eastAsia"/>
                    </w:rPr>
                    <w:t>穿越</w:t>
                  </w:r>
                </w:p>
              </w:tc>
              <w:tc>
                <w:tcPr>
                  <w:tcW w:w="730" w:type="dxa"/>
                  <w:vAlign w:val="center"/>
                </w:tcPr>
                <w:p w14:paraId="42E75FF3">
                  <w:pPr>
                    <w:pStyle w:val="86"/>
                  </w:pPr>
                  <w:r>
                    <w:rPr>
                      <w:rFonts w:hint="eastAsia"/>
                    </w:rPr>
                    <w:t>0</w:t>
                  </w:r>
                </w:p>
              </w:tc>
              <w:tc>
                <w:tcPr>
                  <w:tcW w:w="1057" w:type="dxa"/>
                  <w:vMerge w:val="restart"/>
                  <w:vAlign w:val="center"/>
                </w:tcPr>
                <w:p w14:paraId="4B7CECE9">
                  <w:pPr>
                    <w:pStyle w:val="86"/>
                  </w:pPr>
                  <w:r>
                    <w:rPr>
                      <w:rFonts w:hint="eastAsia"/>
                    </w:rPr>
                    <w:t>《地表水环境质量标准》（GB3838-2002）</w:t>
                  </w:r>
                  <w:r>
                    <w:rPr>
                      <w:rFonts w:hint="eastAsia" w:ascii="方正仿宋_GB2312" w:hAnsi="方正仿宋_GB2312" w:eastAsia="方正仿宋_GB2312" w:cs="方正仿宋_GB2312"/>
                    </w:rPr>
                    <w:t>Ⅲ</w:t>
                  </w:r>
                  <w:r>
                    <w:rPr>
                      <w:rFonts w:hint="eastAsia"/>
                    </w:rPr>
                    <w:t>类标准</w:t>
                  </w:r>
                </w:p>
              </w:tc>
            </w:tr>
            <w:tr w14:paraId="1FD7C4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4" w:hRule="atLeast"/>
              </w:trPr>
              <w:tc>
                <w:tcPr>
                  <w:tcW w:w="664" w:type="dxa"/>
                  <w:vMerge w:val="continue"/>
                  <w:vAlign w:val="center"/>
                </w:tcPr>
                <w:p w14:paraId="43446D7E">
                  <w:pPr>
                    <w:pStyle w:val="86"/>
                  </w:pPr>
                </w:p>
              </w:tc>
              <w:tc>
                <w:tcPr>
                  <w:tcW w:w="649" w:type="dxa"/>
                  <w:vAlign w:val="center"/>
                </w:tcPr>
                <w:p w14:paraId="5F2FDE82">
                  <w:pPr>
                    <w:pStyle w:val="86"/>
                  </w:pPr>
                  <w:r>
                    <w:rPr>
                      <w:rFonts w:hint="eastAsia"/>
                    </w:rPr>
                    <w:t>鸡街河</w:t>
                  </w:r>
                </w:p>
              </w:tc>
              <w:tc>
                <w:tcPr>
                  <w:tcW w:w="3097" w:type="dxa"/>
                  <w:gridSpan w:val="3"/>
                  <w:vAlign w:val="center"/>
                </w:tcPr>
                <w:p w14:paraId="6DFC21F7">
                  <w:pPr>
                    <w:pStyle w:val="86"/>
                  </w:pPr>
                  <w:r>
                    <w:rPr>
                      <w:rFonts w:hint="eastAsia"/>
                    </w:rPr>
                    <w:t>E103.30435651，N25.72544304</w:t>
                  </w:r>
                </w:p>
              </w:tc>
              <w:tc>
                <w:tcPr>
                  <w:tcW w:w="638" w:type="dxa"/>
                  <w:vMerge w:val="continue"/>
                  <w:vAlign w:val="center"/>
                </w:tcPr>
                <w:p w14:paraId="6653C735">
                  <w:pPr>
                    <w:pStyle w:val="86"/>
                  </w:pPr>
                </w:p>
              </w:tc>
              <w:tc>
                <w:tcPr>
                  <w:tcW w:w="913" w:type="dxa"/>
                  <w:vAlign w:val="center"/>
                </w:tcPr>
                <w:p w14:paraId="1D162C9A">
                  <w:pPr>
                    <w:pStyle w:val="86"/>
                  </w:pPr>
                  <w:r>
                    <w:rPr>
                      <w:rFonts w:hint="eastAsia"/>
                    </w:rPr>
                    <w:t>西侧</w:t>
                  </w:r>
                </w:p>
              </w:tc>
              <w:tc>
                <w:tcPr>
                  <w:tcW w:w="730" w:type="dxa"/>
                  <w:vAlign w:val="center"/>
                </w:tcPr>
                <w:p w14:paraId="06FF477E">
                  <w:pPr>
                    <w:pStyle w:val="86"/>
                    <w:rPr>
                      <w:rFonts w:hint="eastAsia"/>
                    </w:rPr>
                  </w:pPr>
                  <w:r>
                    <w:rPr>
                      <w:rFonts w:hint="eastAsia"/>
                    </w:rPr>
                    <w:t>1050</w:t>
                  </w:r>
                </w:p>
              </w:tc>
              <w:tc>
                <w:tcPr>
                  <w:tcW w:w="1057" w:type="dxa"/>
                  <w:vMerge w:val="continue"/>
                  <w:vAlign w:val="center"/>
                </w:tcPr>
                <w:p w14:paraId="0A95BECD">
                  <w:pPr>
                    <w:pStyle w:val="86"/>
                  </w:pPr>
                </w:p>
              </w:tc>
            </w:tr>
            <w:tr w14:paraId="3CE256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664" w:type="dxa"/>
                  <w:vAlign w:val="center"/>
                </w:tcPr>
                <w:p w14:paraId="18E4A4A6">
                  <w:pPr>
                    <w:pStyle w:val="86"/>
                  </w:pPr>
                  <w:r>
                    <w:rPr>
                      <w:rFonts w:hint="eastAsia"/>
                    </w:rPr>
                    <w:t>地下水环境</w:t>
                  </w:r>
                </w:p>
              </w:tc>
              <w:tc>
                <w:tcPr>
                  <w:tcW w:w="3746" w:type="dxa"/>
                  <w:gridSpan w:val="4"/>
                  <w:vAlign w:val="center"/>
                </w:tcPr>
                <w:p w14:paraId="79E859EC">
                  <w:pPr>
                    <w:pStyle w:val="86"/>
                  </w:pPr>
                  <w:r>
                    <w:rPr>
                      <w:rFonts w:hint="eastAsia"/>
                    </w:rPr>
                    <w:t>项目修复区范围内以及周边区域的项目区潜水含水层和可能受建设项目影响且具有饮用水开发利用价值的含水层</w:t>
                  </w:r>
                </w:p>
              </w:tc>
              <w:tc>
                <w:tcPr>
                  <w:tcW w:w="3338" w:type="dxa"/>
                  <w:gridSpan w:val="4"/>
                  <w:vAlign w:val="center"/>
                </w:tcPr>
                <w:p w14:paraId="1D796014">
                  <w:pPr>
                    <w:pStyle w:val="86"/>
                  </w:pPr>
                  <w:r>
                    <w:rPr>
                      <w:rFonts w:hint="eastAsia"/>
                    </w:rPr>
                    <w:t>《地下水质量标准》（</w:t>
                  </w:r>
                  <w:r>
                    <w:t>GB/T14848-2017</w:t>
                  </w:r>
                  <w:r>
                    <w:rPr>
                      <w:rFonts w:hint="eastAsia"/>
                    </w:rPr>
                    <w:t>）</w:t>
                  </w:r>
                  <w:r>
                    <w:t>III</w:t>
                  </w:r>
                  <w:r>
                    <w:rPr>
                      <w:rFonts w:hint="eastAsia"/>
                    </w:rPr>
                    <w:t>类标准</w:t>
                  </w:r>
                </w:p>
              </w:tc>
            </w:tr>
            <w:tr w14:paraId="527F3D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2" w:hRule="atLeast"/>
              </w:trPr>
              <w:tc>
                <w:tcPr>
                  <w:tcW w:w="664" w:type="dxa"/>
                  <w:vAlign w:val="center"/>
                </w:tcPr>
                <w:p w14:paraId="7937D0ED">
                  <w:pPr>
                    <w:pStyle w:val="86"/>
                  </w:pPr>
                  <w:r>
                    <w:rPr>
                      <w:rFonts w:hint="eastAsia"/>
                    </w:rPr>
                    <w:t>生态环境</w:t>
                  </w:r>
                </w:p>
              </w:tc>
              <w:tc>
                <w:tcPr>
                  <w:tcW w:w="3746" w:type="dxa"/>
                  <w:gridSpan w:val="4"/>
                  <w:vAlign w:val="center"/>
                </w:tcPr>
                <w:p w14:paraId="348C9CFF">
                  <w:pPr>
                    <w:pStyle w:val="86"/>
                  </w:pPr>
                  <w:r>
                    <w:rPr>
                      <w:rFonts w:hint="eastAsia"/>
                      <w:kern w:val="0"/>
                      <w:lang w:val="en-US" w:eastAsia="zh-CN" w:bidi="ar"/>
                    </w:rPr>
                    <w:t>项目占地范围内及修复范围线外延300m范围内的动植物资源等。</w:t>
                  </w:r>
                </w:p>
              </w:tc>
              <w:tc>
                <w:tcPr>
                  <w:tcW w:w="3338" w:type="dxa"/>
                  <w:gridSpan w:val="4"/>
                  <w:vAlign w:val="center"/>
                </w:tcPr>
                <w:p w14:paraId="10EF8675">
                  <w:pPr>
                    <w:pStyle w:val="86"/>
                  </w:pPr>
                  <w:r>
                    <w:rPr>
                      <w:rFonts w:hint="eastAsia"/>
                    </w:rPr>
                    <w:t>不降低区域生态功能</w:t>
                  </w:r>
                </w:p>
              </w:tc>
            </w:tr>
            <w:tr w14:paraId="529502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33" w:hRule="atLeast"/>
              </w:trPr>
              <w:tc>
                <w:tcPr>
                  <w:tcW w:w="664" w:type="dxa"/>
                  <w:vAlign w:val="center"/>
                </w:tcPr>
                <w:p w14:paraId="45CD14FF">
                  <w:pPr>
                    <w:pStyle w:val="86"/>
                  </w:pPr>
                  <w:r>
                    <w:rPr>
                      <w:rFonts w:hint="eastAsia"/>
                    </w:rPr>
                    <w:t>土壤环境保护目标</w:t>
                  </w:r>
                </w:p>
              </w:tc>
              <w:tc>
                <w:tcPr>
                  <w:tcW w:w="3746" w:type="dxa"/>
                  <w:gridSpan w:val="4"/>
                  <w:vAlign w:val="center"/>
                </w:tcPr>
                <w:p w14:paraId="22779D68">
                  <w:pPr>
                    <w:pStyle w:val="86"/>
                  </w:pPr>
                  <w:r>
                    <w:rPr>
                      <w:rFonts w:hint="eastAsia"/>
                    </w:rPr>
                    <w:t>项目修复区范围内的土壤及周边耕地</w:t>
                  </w:r>
                </w:p>
              </w:tc>
              <w:tc>
                <w:tcPr>
                  <w:tcW w:w="3338" w:type="dxa"/>
                  <w:gridSpan w:val="4"/>
                  <w:vAlign w:val="center"/>
                </w:tcPr>
                <w:p w14:paraId="3E96D441">
                  <w:pPr>
                    <w:pStyle w:val="86"/>
                  </w:pPr>
                  <w:r>
                    <w:rPr>
                      <w:rFonts w:hint="eastAsia"/>
                    </w:rPr>
                    <w:t>《土壤环境质量 建设用地土壤污染风险管控标准（试行）》（GB36600-201</w:t>
                  </w:r>
                  <w:r>
                    <w:rPr>
                      <w:rFonts w:cs="Times New Roman"/>
                    </w:rPr>
                    <w:t>8</w:t>
                  </w:r>
                  <w:r>
                    <w:rPr>
                      <w:rFonts w:hint="eastAsia" w:cs="Times New Roman"/>
                    </w:rPr>
                    <w:t>）</w:t>
                  </w:r>
                  <w:r>
                    <w:rPr>
                      <w:rFonts w:cs="Times New Roman"/>
                    </w:rPr>
                    <w:t>中第二类用地筛选值、《土壤环境质量农用地土壤污染风险管控标准（试行）》（</w:t>
                  </w:r>
                  <w:r>
                    <w:rPr>
                      <w:rFonts w:hint="eastAsia" w:cs="Times New Roman"/>
                    </w:rPr>
                    <w:t>GB15618-2018</w:t>
                  </w:r>
                  <w:r>
                    <w:rPr>
                      <w:rFonts w:cs="Times New Roman"/>
                    </w:rPr>
                    <w:t>）</w:t>
                  </w:r>
                </w:p>
              </w:tc>
            </w:tr>
            <w:tr w14:paraId="021ED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 w:hRule="atLeast"/>
              </w:trPr>
              <w:tc>
                <w:tcPr>
                  <w:tcW w:w="664" w:type="dxa"/>
                  <w:vAlign w:val="center"/>
                </w:tcPr>
                <w:p w14:paraId="49F5D4EB">
                  <w:pPr>
                    <w:pStyle w:val="86"/>
                  </w:pPr>
                  <w:r>
                    <w:rPr>
                      <w:rFonts w:hint="eastAsia"/>
                    </w:rPr>
                    <w:t>环境风险保护目标</w:t>
                  </w:r>
                </w:p>
              </w:tc>
              <w:tc>
                <w:tcPr>
                  <w:tcW w:w="3746" w:type="dxa"/>
                  <w:gridSpan w:val="4"/>
                  <w:vAlign w:val="center"/>
                </w:tcPr>
                <w:p w14:paraId="7AFEC37A">
                  <w:pPr>
                    <w:pStyle w:val="86"/>
                  </w:pPr>
                  <w:r>
                    <w:rPr>
                      <w:rFonts w:hint="eastAsia"/>
                    </w:rPr>
                    <w:t>修复区下游耕地、修复范围内地下水、修复范围内土壤及地表水</w:t>
                  </w:r>
                </w:p>
              </w:tc>
              <w:tc>
                <w:tcPr>
                  <w:tcW w:w="3338" w:type="dxa"/>
                  <w:gridSpan w:val="4"/>
                  <w:vAlign w:val="center"/>
                </w:tcPr>
                <w:p w14:paraId="4A880C7C">
                  <w:pPr>
                    <w:pStyle w:val="86"/>
                  </w:pPr>
                  <w:r>
                    <w:rPr>
                      <w:rFonts w:hint="eastAsia"/>
                    </w:rPr>
                    <w:t>采取各项环境风险防范措施，最大程度降低项目环境风险</w:t>
                  </w:r>
                </w:p>
              </w:tc>
            </w:tr>
            <w:bookmarkEnd w:id="44"/>
          </w:tbl>
          <w:p w14:paraId="011F1EBB">
            <w:pPr>
              <w:pStyle w:val="15"/>
              <w:ind w:left="0" w:firstLine="0" w:firstLineChars="0"/>
              <w:rPr>
                <w:color w:val="auto"/>
              </w:rPr>
            </w:pPr>
          </w:p>
        </w:tc>
      </w:tr>
      <w:tr w14:paraId="4C2C2B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Align w:val="center"/>
          </w:tcPr>
          <w:p w14:paraId="6929B1B6">
            <w:pPr>
              <w:adjustRightInd w:val="0"/>
              <w:snapToGrid w:val="0"/>
              <w:spacing w:line="240" w:lineRule="auto"/>
              <w:ind w:firstLine="0" w:firstLineChars="0"/>
              <w:jc w:val="center"/>
              <w:rPr>
                <w:kern w:val="0"/>
                <w:szCs w:val="21"/>
              </w:rPr>
            </w:pPr>
            <w:r>
              <w:rPr>
                <w:rFonts w:hint="eastAsia"/>
                <w:kern w:val="0"/>
                <w:szCs w:val="21"/>
              </w:rPr>
              <w:t>评价标准</w:t>
            </w:r>
          </w:p>
        </w:tc>
        <w:tc>
          <w:tcPr>
            <w:tcW w:w="7879" w:type="dxa"/>
            <w:vAlign w:val="center"/>
          </w:tcPr>
          <w:p w14:paraId="360EA1C1">
            <w:pPr>
              <w:pStyle w:val="71"/>
              <w:adjustRightInd w:val="0"/>
              <w:ind w:firstLine="496" w:firstLineChars="0"/>
              <w:jc w:val="both"/>
              <w:rPr>
                <w:b/>
                <w:bCs/>
                <w:kern w:val="0"/>
                <w:lang w:val="en-US" w:bidi="ar"/>
              </w:rPr>
            </w:pPr>
            <w:r>
              <w:rPr>
                <w:rFonts w:hint="eastAsia"/>
                <w:b/>
                <w:bCs/>
                <w:kern w:val="0"/>
                <w:lang w:val="en-US" w:bidi="ar"/>
              </w:rPr>
              <w:t>1、环境质量标准</w:t>
            </w:r>
          </w:p>
          <w:p w14:paraId="50F01057">
            <w:pPr>
              <w:pStyle w:val="71"/>
              <w:adjustRightInd w:val="0"/>
              <w:ind w:firstLine="496" w:firstLineChars="0"/>
              <w:jc w:val="both"/>
              <w:rPr>
                <w:b/>
                <w:bCs/>
                <w:kern w:val="0"/>
                <w:lang w:val="en-US" w:bidi="ar"/>
              </w:rPr>
            </w:pPr>
            <w:r>
              <w:rPr>
                <w:rFonts w:hint="eastAsia"/>
                <w:b/>
                <w:bCs/>
                <w:kern w:val="0"/>
                <w:lang w:val="en-US" w:bidi="ar"/>
              </w:rPr>
              <w:t>（1）大气环境</w:t>
            </w:r>
          </w:p>
          <w:p w14:paraId="15289F08">
            <w:pPr>
              <w:pStyle w:val="71"/>
              <w:adjustRightInd w:val="0"/>
              <w:ind w:firstLine="496" w:firstLineChars="0"/>
              <w:jc w:val="both"/>
              <w:rPr>
                <w:kern w:val="0"/>
                <w:lang w:val="en-US" w:bidi="ar"/>
              </w:rPr>
            </w:pPr>
            <w:r>
              <w:rPr>
                <w:rFonts w:hint="eastAsia"/>
                <w:kern w:val="0"/>
                <w:lang w:val="en-US" w:bidi="ar"/>
              </w:rPr>
              <w:t>项目位于农村地区，根据《环境空气质量标准》（</w:t>
            </w:r>
            <w:r>
              <w:rPr>
                <w:kern w:val="0"/>
                <w:lang w:val="en-US" w:bidi="ar"/>
              </w:rPr>
              <w:t>GB3095-2012</w:t>
            </w:r>
            <w:r>
              <w:rPr>
                <w:rFonts w:hint="eastAsia"/>
                <w:kern w:val="0"/>
                <w:lang w:val="en-US" w:bidi="ar"/>
              </w:rPr>
              <w:t>）及其修改单中关于环境空气功能区分类，项目区属于二类环境空气功能区，环境空气质量执行《环境空气质量标准》（</w:t>
            </w:r>
            <w:r>
              <w:rPr>
                <w:kern w:val="0"/>
                <w:lang w:val="en-US" w:bidi="ar"/>
              </w:rPr>
              <w:t>GB3095-2012</w:t>
            </w:r>
            <w:r>
              <w:rPr>
                <w:rFonts w:hint="eastAsia"/>
                <w:kern w:val="0"/>
                <w:lang w:val="en-US" w:bidi="ar"/>
              </w:rPr>
              <w:t>）及其修改单二级标准，五氧化二磷执行《环境影响评价技术导则 大气环境》（HJ2.2-2018）附录D标准，标准值见下表。</w:t>
            </w:r>
          </w:p>
          <w:p w14:paraId="0C38B5C5">
            <w:pPr>
              <w:pStyle w:val="71"/>
              <w:adjustRightInd w:val="0"/>
              <w:spacing w:line="240" w:lineRule="auto"/>
              <w:ind w:firstLine="0" w:firstLineChars="0"/>
              <w:jc w:val="center"/>
              <w:rPr>
                <w:b/>
                <w:bCs/>
                <w:sz w:val="24"/>
                <w:szCs w:val="24"/>
                <w:lang w:val="en-US"/>
              </w:rPr>
            </w:pPr>
            <w:r>
              <w:rPr>
                <w:rFonts w:hint="eastAsia"/>
                <w:b/>
                <w:bCs/>
                <w:sz w:val="24"/>
                <w:szCs w:val="24"/>
                <w:lang w:val="en-US"/>
              </w:rPr>
              <w:t>表3-1</w:t>
            </w:r>
            <w:r>
              <w:rPr>
                <w:rFonts w:hint="eastAsia"/>
                <w:b/>
                <w:bCs/>
                <w:sz w:val="24"/>
                <w:szCs w:val="24"/>
                <w:lang w:val="en-US" w:eastAsia="zh-CN"/>
              </w:rPr>
              <w:t xml:space="preserve">7 </w:t>
            </w:r>
            <w:r>
              <w:rPr>
                <w:rFonts w:hint="eastAsia"/>
                <w:b/>
                <w:bCs/>
                <w:sz w:val="24"/>
                <w:szCs w:val="24"/>
                <w:lang w:val="en-US"/>
              </w:rPr>
              <w:t xml:space="preserve"> 环境空气质量标准</w:t>
            </w:r>
          </w:p>
          <w:tbl>
            <w:tblPr>
              <w:tblStyle w:val="40"/>
              <w:tblW w:w="499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5"/>
              <w:gridCol w:w="1431"/>
              <w:gridCol w:w="2335"/>
              <w:gridCol w:w="2638"/>
              <w:gridCol w:w="1029"/>
            </w:tblGrid>
            <w:tr w14:paraId="03C6D9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0" w:type="pct"/>
                  <w:vMerge w:val="restart"/>
                  <w:vAlign w:val="center"/>
                </w:tcPr>
                <w:p w14:paraId="417520C8">
                  <w:pPr>
                    <w:pStyle w:val="86"/>
                    <w:rPr>
                      <w:b/>
                      <w:bCs/>
                    </w:rPr>
                  </w:pPr>
                  <w:r>
                    <w:rPr>
                      <w:rFonts w:hint="eastAsia"/>
                      <w:b/>
                      <w:bCs/>
                    </w:rPr>
                    <w:t>序号</w:t>
                  </w:r>
                </w:p>
              </w:tc>
              <w:tc>
                <w:tcPr>
                  <w:tcW w:w="864" w:type="pct"/>
                  <w:vMerge w:val="restart"/>
                  <w:vAlign w:val="center"/>
                </w:tcPr>
                <w:p w14:paraId="432A24A1">
                  <w:pPr>
                    <w:pStyle w:val="86"/>
                    <w:rPr>
                      <w:b/>
                      <w:bCs/>
                    </w:rPr>
                  </w:pPr>
                  <w:r>
                    <w:rPr>
                      <w:rFonts w:hint="eastAsia"/>
                      <w:b/>
                      <w:bCs/>
                    </w:rPr>
                    <w:t>污染物项目</w:t>
                  </w:r>
                </w:p>
              </w:tc>
              <w:tc>
                <w:tcPr>
                  <w:tcW w:w="1410" w:type="pct"/>
                  <w:vMerge w:val="restart"/>
                  <w:vAlign w:val="center"/>
                </w:tcPr>
                <w:p w14:paraId="0AD11D92">
                  <w:pPr>
                    <w:pStyle w:val="86"/>
                    <w:rPr>
                      <w:b/>
                      <w:bCs/>
                    </w:rPr>
                  </w:pPr>
                  <w:r>
                    <w:rPr>
                      <w:rFonts w:hint="eastAsia"/>
                      <w:b/>
                      <w:bCs/>
                    </w:rPr>
                    <w:t>平均时间</w:t>
                  </w:r>
                </w:p>
              </w:tc>
              <w:tc>
                <w:tcPr>
                  <w:tcW w:w="1593" w:type="pct"/>
                  <w:vAlign w:val="center"/>
                </w:tcPr>
                <w:p w14:paraId="6D2C4958">
                  <w:pPr>
                    <w:pStyle w:val="86"/>
                    <w:rPr>
                      <w:b/>
                      <w:bCs/>
                    </w:rPr>
                  </w:pPr>
                  <w:r>
                    <w:rPr>
                      <w:rFonts w:hint="eastAsia"/>
                      <w:b/>
                      <w:bCs/>
                    </w:rPr>
                    <w:t>浓度值</w:t>
                  </w:r>
                </w:p>
              </w:tc>
              <w:tc>
                <w:tcPr>
                  <w:tcW w:w="621" w:type="pct"/>
                  <w:vMerge w:val="restart"/>
                  <w:vAlign w:val="center"/>
                </w:tcPr>
                <w:p w14:paraId="46FAAE73">
                  <w:pPr>
                    <w:pStyle w:val="86"/>
                  </w:pPr>
                  <w:r>
                    <w:rPr>
                      <w:rFonts w:hint="eastAsia"/>
                      <w:b/>
                      <w:bCs/>
                    </w:rPr>
                    <w:t>单位</w:t>
                  </w:r>
                </w:p>
              </w:tc>
            </w:tr>
            <w:tr w14:paraId="598C25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2" w:hRule="atLeast"/>
                <w:jc w:val="center"/>
              </w:trPr>
              <w:tc>
                <w:tcPr>
                  <w:tcW w:w="510" w:type="pct"/>
                  <w:vMerge w:val="continue"/>
                  <w:vAlign w:val="center"/>
                </w:tcPr>
                <w:p w14:paraId="12EE491E">
                  <w:pPr>
                    <w:pStyle w:val="86"/>
                    <w:rPr>
                      <w:b/>
                      <w:bCs/>
                    </w:rPr>
                  </w:pPr>
                </w:p>
              </w:tc>
              <w:tc>
                <w:tcPr>
                  <w:tcW w:w="864" w:type="pct"/>
                  <w:vMerge w:val="continue"/>
                  <w:vAlign w:val="center"/>
                </w:tcPr>
                <w:p w14:paraId="4D50E2A2">
                  <w:pPr>
                    <w:pStyle w:val="86"/>
                    <w:rPr>
                      <w:b/>
                      <w:bCs/>
                    </w:rPr>
                  </w:pPr>
                </w:p>
              </w:tc>
              <w:tc>
                <w:tcPr>
                  <w:tcW w:w="1410" w:type="pct"/>
                  <w:vMerge w:val="continue"/>
                  <w:vAlign w:val="center"/>
                </w:tcPr>
                <w:p w14:paraId="0699F7F4">
                  <w:pPr>
                    <w:pStyle w:val="86"/>
                    <w:rPr>
                      <w:b/>
                      <w:bCs/>
                    </w:rPr>
                  </w:pPr>
                </w:p>
              </w:tc>
              <w:tc>
                <w:tcPr>
                  <w:tcW w:w="1593" w:type="pct"/>
                  <w:vAlign w:val="center"/>
                </w:tcPr>
                <w:p w14:paraId="485EA2A1">
                  <w:pPr>
                    <w:pStyle w:val="86"/>
                    <w:rPr>
                      <w:b/>
                      <w:bCs/>
                    </w:rPr>
                  </w:pPr>
                  <w:r>
                    <w:rPr>
                      <w:rFonts w:hint="eastAsia"/>
                      <w:b/>
                      <w:bCs/>
                    </w:rPr>
                    <w:t>二级</w:t>
                  </w:r>
                </w:p>
              </w:tc>
              <w:tc>
                <w:tcPr>
                  <w:tcW w:w="621" w:type="pct"/>
                  <w:vMerge w:val="continue"/>
                  <w:vAlign w:val="center"/>
                </w:tcPr>
                <w:p w14:paraId="32A91C65">
                  <w:pPr>
                    <w:pStyle w:val="86"/>
                  </w:pPr>
                </w:p>
              </w:tc>
            </w:tr>
            <w:tr w14:paraId="3B92FE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10" w:type="pct"/>
                  <w:vMerge w:val="restart"/>
                  <w:vAlign w:val="center"/>
                </w:tcPr>
                <w:p w14:paraId="118577D8">
                  <w:pPr>
                    <w:pStyle w:val="86"/>
                  </w:pPr>
                  <w:r>
                    <w:rPr>
                      <w:rFonts w:hint="eastAsia"/>
                    </w:rPr>
                    <w:t>1</w:t>
                  </w:r>
                </w:p>
              </w:tc>
              <w:tc>
                <w:tcPr>
                  <w:tcW w:w="864" w:type="pct"/>
                  <w:vMerge w:val="restart"/>
                  <w:vAlign w:val="center"/>
                </w:tcPr>
                <w:p w14:paraId="44D41379">
                  <w:pPr>
                    <w:pStyle w:val="86"/>
                    <w:rPr>
                      <w:lang w:val="zh-CN"/>
                    </w:rPr>
                  </w:pPr>
                  <w:r>
                    <w:t>SO</w:t>
                  </w:r>
                  <w:r>
                    <w:rPr>
                      <w:vertAlign w:val="subscript"/>
                    </w:rPr>
                    <w:t>2</w:t>
                  </w:r>
                </w:p>
              </w:tc>
              <w:tc>
                <w:tcPr>
                  <w:tcW w:w="1410" w:type="pct"/>
                  <w:vAlign w:val="center"/>
                </w:tcPr>
                <w:p w14:paraId="200EBEA2">
                  <w:pPr>
                    <w:pStyle w:val="86"/>
                    <w:rPr>
                      <w:lang w:val="zh-CN"/>
                    </w:rPr>
                  </w:pPr>
                  <w:r>
                    <w:rPr>
                      <w:rFonts w:hint="eastAsia"/>
                    </w:rPr>
                    <w:t>年平均</w:t>
                  </w:r>
                </w:p>
              </w:tc>
              <w:tc>
                <w:tcPr>
                  <w:tcW w:w="1593" w:type="pct"/>
                  <w:vAlign w:val="center"/>
                </w:tcPr>
                <w:p w14:paraId="1F1C80BE">
                  <w:pPr>
                    <w:pStyle w:val="86"/>
                  </w:pPr>
                  <w:r>
                    <w:rPr>
                      <w:rFonts w:hint="eastAsia"/>
                    </w:rPr>
                    <w:t>60</w:t>
                  </w:r>
                </w:p>
              </w:tc>
              <w:tc>
                <w:tcPr>
                  <w:tcW w:w="621" w:type="pct"/>
                  <w:vMerge w:val="restart"/>
                  <w:vAlign w:val="center"/>
                </w:tcPr>
                <w:p w14:paraId="49404EE3">
                  <w:pPr>
                    <w:pStyle w:val="86"/>
                    <w:rPr>
                      <w:lang w:val="zh-CN"/>
                    </w:rPr>
                  </w:pPr>
                  <w:r>
                    <w:t>μg/</w:t>
                  </w:r>
                  <w:r>
                    <w:rPr>
                      <w:rFonts w:hint="eastAsia"/>
                    </w:rPr>
                    <w:t>m³</w:t>
                  </w:r>
                </w:p>
              </w:tc>
            </w:tr>
            <w:tr w14:paraId="7F92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64F6B546">
                  <w:pPr>
                    <w:pStyle w:val="86"/>
                    <w:rPr>
                      <w:lang w:val="zh-CN"/>
                    </w:rPr>
                  </w:pPr>
                </w:p>
              </w:tc>
              <w:tc>
                <w:tcPr>
                  <w:tcW w:w="864" w:type="pct"/>
                  <w:vMerge w:val="continue"/>
                  <w:vAlign w:val="center"/>
                </w:tcPr>
                <w:p w14:paraId="3ADE8DB3">
                  <w:pPr>
                    <w:pStyle w:val="86"/>
                    <w:rPr>
                      <w:lang w:val="zh-CN"/>
                    </w:rPr>
                  </w:pPr>
                </w:p>
              </w:tc>
              <w:tc>
                <w:tcPr>
                  <w:tcW w:w="1410" w:type="pct"/>
                  <w:vAlign w:val="center"/>
                </w:tcPr>
                <w:p w14:paraId="4C7C4B8E">
                  <w:pPr>
                    <w:pStyle w:val="86"/>
                    <w:rPr>
                      <w:lang w:val="zh-CN"/>
                    </w:rPr>
                  </w:pPr>
                  <w:r>
                    <w:rPr>
                      <w:rFonts w:hint="eastAsia"/>
                    </w:rPr>
                    <w:t>24小时平均</w:t>
                  </w:r>
                </w:p>
              </w:tc>
              <w:tc>
                <w:tcPr>
                  <w:tcW w:w="1593" w:type="pct"/>
                  <w:vAlign w:val="center"/>
                </w:tcPr>
                <w:p w14:paraId="46508FF0">
                  <w:pPr>
                    <w:pStyle w:val="86"/>
                  </w:pPr>
                  <w:r>
                    <w:rPr>
                      <w:rFonts w:hint="eastAsia"/>
                    </w:rPr>
                    <w:t>150</w:t>
                  </w:r>
                </w:p>
              </w:tc>
              <w:tc>
                <w:tcPr>
                  <w:tcW w:w="621" w:type="pct"/>
                  <w:vMerge w:val="continue"/>
                  <w:vAlign w:val="center"/>
                </w:tcPr>
                <w:p w14:paraId="464A4304">
                  <w:pPr>
                    <w:pStyle w:val="86"/>
                    <w:rPr>
                      <w:lang w:val="zh-CN"/>
                    </w:rPr>
                  </w:pPr>
                </w:p>
              </w:tc>
            </w:tr>
            <w:tr w14:paraId="3C65CC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60F026E7">
                  <w:pPr>
                    <w:pStyle w:val="86"/>
                    <w:rPr>
                      <w:lang w:val="zh-CN"/>
                    </w:rPr>
                  </w:pPr>
                </w:p>
              </w:tc>
              <w:tc>
                <w:tcPr>
                  <w:tcW w:w="864" w:type="pct"/>
                  <w:vMerge w:val="continue"/>
                  <w:vAlign w:val="center"/>
                </w:tcPr>
                <w:p w14:paraId="4679F6C9">
                  <w:pPr>
                    <w:pStyle w:val="86"/>
                    <w:rPr>
                      <w:lang w:val="zh-CN"/>
                    </w:rPr>
                  </w:pPr>
                </w:p>
              </w:tc>
              <w:tc>
                <w:tcPr>
                  <w:tcW w:w="1410" w:type="pct"/>
                  <w:vAlign w:val="center"/>
                </w:tcPr>
                <w:p w14:paraId="60B3C62D">
                  <w:pPr>
                    <w:pStyle w:val="86"/>
                    <w:rPr>
                      <w:lang w:val="zh-CN"/>
                    </w:rPr>
                  </w:pPr>
                  <w:r>
                    <w:rPr>
                      <w:rFonts w:hint="eastAsia"/>
                    </w:rPr>
                    <w:t>1小时平均</w:t>
                  </w:r>
                </w:p>
              </w:tc>
              <w:tc>
                <w:tcPr>
                  <w:tcW w:w="1593" w:type="pct"/>
                  <w:vAlign w:val="center"/>
                </w:tcPr>
                <w:p w14:paraId="6B4FB9FC">
                  <w:pPr>
                    <w:pStyle w:val="86"/>
                  </w:pPr>
                  <w:r>
                    <w:rPr>
                      <w:rFonts w:hint="eastAsia"/>
                    </w:rPr>
                    <w:t>500</w:t>
                  </w:r>
                </w:p>
              </w:tc>
              <w:tc>
                <w:tcPr>
                  <w:tcW w:w="621" w:type="pct"/>
                  <w:vMerge w:val="continue"/>
                  <w:vAlign w:val="center"/>
                </w:tcPr>
                <w:p w14:paraId="62ACAAE2">
                  <w:pPr>
                    <w:pStyle w:val="86"/>
                    <w:rPr>
                      <w:lang w:val="zh-CN"/>
                    </w:rPr>
                  </w:pPr>
                </w:p>
              </w:tc>
            </w:tr>
            <w:tr w14:paraId="2F8F7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restart"/>
                  <w:vAlign w:val="center"/>
                </w:tcPr>
                <w:p w14:paraId="74312BBF">
                  <w:pPr>
                    <w:pStyle w:val="86"/>
                  </w:pPr>
                  <w:r>
                    <w:rPr>
                      <w:rFonts w:hint="eastAsia"/>
                    </w:rPr>
                    <w:t>2</w:t>
                  </w:r>
                </w:p>
              </w:tc>
              <w:tc>
                <w:tcPr>
                  <w:tcW w:w="864" w:type="pct"/>
                  <w:vMerge w:val="restart"/>
                  <w:vAlign w:val="center"/>
                </w:tcPr>
                <w:p w14:paraId="50C3D402">
                  <w:pPr>
                    <w:pStyle w:val="86"/>
                    <w:rPr>
                      <w:lang w:val="zh-CN"/>
                    </w:rPr>
                  </w:pPr>
                  <w:r>
                    <w:t>NO</w:t>
                  </w:r>
                  <w:r>
                    <w:rPr>
                      <w:vertAlign w:val="subscript"/>
                    </w:rPr>
                    <w:t>2</w:t>
                  </w:r>
                </w:p>
              </w:tc>
              <w:tc>
                <w:tcPr>
                  <w:tcW w:w="1410" w:type="pct"/>
                  <w:vAlign w:val="center"/>
                </w:tcPr>
                <w:p w14:paraId="58E5CB6E">
                  <w:pPr>
                    <w:pStyle w:val="86"/>
                    <w:rPr>
                      <w:lang w:val="zh-CN"/>
                    </w:rPr>
                  </w:pPr>
                  <w:r>
                    <w:rPr>
                      <w:rFonts w:hint="eastAsia"/>
                    </w:rPr>
                    <w:t>年平均</w:t>
                  </w:r>
                </w:p>
              </w:tc>
              <w:tc>
                <w:tcPr>
                  <w:tcW w:w="1593" w:type="pct"/>
                  <w:vAlign w:val="center"/>
                </w:tcPr>
                <w:p w14:paraId="310D0BF8">
                  <w:pPr>
                    <w:pStyle w:val="86"/>
                  </w:pPr>
                  <w:r>
                    <w:rPr>
                      <w:rFonts w:hint="eastAsia"/>
                    </w:rPr>
                    <w:t>40</w:t>
                  </w:r>
                </w:p>
              </w:tc>
              <w:tc>
                <w:tcPr>
                  <w:tcW w:w="621" w:type="pct"/>
                  <w:vMerge w:val="restart"/>
                  <w:vAlign w:val="center"/>
                </w:tcPr>
                <w:p w14:paraId="3FDAD27B">
                  <w:pPr>
                    <w:pStyle w:val="86"/>
                    <w:rPr>
                      <w:lang w:val="zh-CN"/>
                    </w:rPr>
                  </w:pPr>
                  <w:r>
                    <w:t>μg/</w:t>
                  </w:r>
                  <w:r>
                    <w:rPr>
                      <w:rFonts w:hint="eastAsia"/>
                    </w:rPr>
                    <w:t>m³</w:t>
                  </w:r>
                </w:p>
              </w:tc>
            </w:tr>
            <w:tr w14:paraId="5FE741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0B466047">
                  <w:pPr>
                    <w:pStyle w:val="86"/>
                    <w:rPr>
                      <w:lang w:val="zh-CN"/>
                    </w:rPr>
                  </w:pPr>
                </w:p>
              </w:tc>
              <w:tc>
                <w:tcPr>
                  <w:tcW w:w="864" w:type="pct"/>
                  <w:vMerge w:val="continue"/>
                  <w:vAlign w:val="center"/>
                </w:tcPr>
                <w:p w14:paraId="29E05819">
                  <w:pPr>
                    <w:pStyle w:val="86"/>
                    <w:rPr>
                      <w:lang w:val="zh-CN"/>
                    </w:rPr>
                  </w:pPr>
                </w:p>
              </w:tc>
              <w:tc>
                <w:tcPr>
                  <w:tcW w:w="1410" w:type="pct"/>
                  <w:vAlign w:val="center"/>
                </w:tcPr>
                <w:p w14:paraId="52AFAD6D">
                  <w:pPr>
                    <w:pStyle w:val="86"/>
                    <w:rPr>
                      <w:lang w:val="zh-CN"/>
                    </w:rPr>
                  </w:pPr>
                  <w:r>
                    <w:rPr>
                      <w:rFonts w:hint="eastAsia"/>
                    </w:rPr>
                    <w:t>24小时平均</w:t>
                  </w:r>
                </w:p>
              </w:tc>
              <w:tc>
                <w:tcPr>
                  <w:tcW w:w="1593" w:type="pct"/>
                  <w:vAlign w:val="center"/>
                </w:tcPr>
                <w:p w14:paraId="2A332AC6">
                  <w:pPr>
                    <w:pStyle w:val="86"/>
                  </w:pPr>
                  <w:r>
                    <w:rPr>
                      <w:rFonts w:hint="eastAsia"/>
                    </w:rPr>
                    <w:t>80</w:t>
                  </w:r>
                </w:p>
              </w:tc>
              <w:tc>
                <w:tcPr>
                  <w:tcW w:w="621" w:type="pct"/>
                  <w:vMerge w:val="continue"/>
                  <w:vAlign w:val="center"/>
                </w:tcPr>
                <w:p w14:paraId="65153F1F">
                  <w:pPr>
                    <w:pStyle w:val="86"/>
                    <w:rPr>
                      <w:lang w:val="zh-CN"/>
                    </w:rPr>
                  </w:pPr>
                </w:p>
              </w:tc>
            </w:tr>
            <w:tr w14:paraId="3C8ED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3F07963F">
                  <w:pPr>
                    <w:pStyle w:val="86"/>
                    <w:rPr>
                      <w:lang w:val="zh-CN"/>
                    </w:rPr>
                  </w:pPr>
                </w:p>
              </w:tc>
              <w:tc>
                <w:tcPr>
                  <w:tcW w:w="864" w:type="pct"/>
                  <w:vMerge w:val="continue"/>
                  <w:vAlign w:val="center"/>
                </w:tcPr>
                <w:p w14:paraId="1A56F993">
                  <w:pPr>
                    <w:pStyle w:val="86"/>
                    <w:rPr>
                      <w:lang w:val="zh-CN"/>
                    </w:rPr>
                  </w:pPr>
                </w:p>
              </w:tc>
              <w:tc>
                <w:tcPr>
                  <w:tcW w:w="1410" w:type="pct"/>
                  <w:vAlign w:val="center"/>
                </w:tcPr>
                <w:p w14:paraId="08A5420B">
                  <w:pPr>
                    <w:pStyle w:val="86"/>
                    <w:rPr>
                      <w:lang w:val="zh-CN"/>
                    </w:rPr>
                  </w:pPr>
                  <w:r>
                    <w:rPr>
                      <w:rFonts w:hint="eastAsia"/>
                    </w:rPr>
                    <w:t>1小时平均</w:t>
                  </w:r>
                </w:p>
              </w:tc>
              <w:tc>
                <w:tcPr>
                  <w:tcW w:w="1593" w:type="pct"/>
                  <w:vAlign w:val="center"/>
                </w:tcPr>
                <w:p w14:paraId="60C32A4A">
                  <w:pPr>
                    <w:pStyle w:val="86"/>
                  </w:pPr>
                  <w:r>
                    <w:rPr>
                      <w:rFonts w:hint="eastAsia"/>
                    </w:rPr>
                    <w:t>200</w:t>
                  </w:r>
                </w:p>
              </w:tc>
              <w:tc>
                <w:tcPr>
                  <w:tcW w:w="621" w:type="pct"/>
                  <w:vMerge w:val="continue"/>
                  <w:vAlign w:val="center"/>
                </w:tcPr>
                <w:p w14:paraId="2C333D39">
                  <w:pPr>
                    <w:pStyle w:val="86"/>
                    <w:rPr>
                      <w:lang w:val="zh-CN"/>
                    </w:rPr>
                  </w:pPr>
                </w:p>
              </w:tc>
            </w:tr>
            <w:tr w14:paraId="77C858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10" w:type="pct"/>
                  <w:vMerge w:val="restart"/>
                  <w:vAlign w:val="center"/>
                </w:tcPr>
                <w:p w14:paraId="63A6C4EE">
                  <w:pPr>
                    <w:pStyle w:val="86"/>
                  </w:pPr>
                  <w:r>
                    <w:rPr>
                      <w:rFonts w:hint="eastAsia"/>
                    </w:rPr>
                    <w:t>3</w:t>
                  </w:r>
                </w:p>
              </w:tc>
              <w:tc>
                <w:tcPr>
                  <w:tcW w:w="864" w:type="pct"/>
                  <w:vMerge w:val="restart"/>
                  <w:vAlign w:val="center"/>
                </w:tcPr>
                <w:p w14:paraId="02F2AE73">
                  <w:pPr>
                    <w:pStyle w:val="86"/>
                    <w:rPr>
                      <w:lang w:val="zh-CN"/>
                    </w:rPr>
                  </w:pPr>
                  <w:r>
                    <w:t>CO</w:t>
                  </w:r>
                </w:p>
              </w:tc>
              <w:tc>
                <w:tcPr>
                  <w:tcW w:w="1410" w:type="pct"/>
                  <w:vAlign w:val="center"/>
                </w:tcPr>
                <w:p w14:paraId="0726B47E">
                  <w:pPr>
                    <w:pStyle w:val="86"/>
                    <w:rPr>
                      <w:lang w:val="zh-CN"/>
                    </w:rPr>
                  </w:pPr>
                  <w:r>
                    <w:rPr>
                      <w:rFonts w:hint="eastAsia"/>
                    </w:rPr>
                    <w:t>24小时平均</w:t>
                  </w:r>
                </w:p>
              </w:tc>
              <w:tc>
                <w:tcPr>
                  <w:tcW w:w="1593" w:type="pct"/>
                  <w:vAlign w:val="center"/>
                </w:tcPr>
                <w:p w14:paraId="48AAEF54">
                  <w:pPr>
                    <w:pStyle w:val="86"/>
                  </w:pPr>
                  <w:r>
                    <w:rPr>
                      <w:rFonts w:hint="eastAsia"/>
                    </w:rPr>
                    <w:t>4</w:t>
                  </w:r>
                </w:p>
              </w:tc>
              <w:tc>
                <w:tcPr>
                  <w:tcW w:w="621" w:type="pct"/>
                  <w:vMerge w:val="restart"/>
                  <w:vAlign w:val="center"/>
                </w:tcPr>
                <w:p w14:paraId="49D7CC22">
                  <w:pPr>
                    <w:pStyle w:val="86"/>
                    <w:rPr>
                      <w:lang w:val="zh-CN"/>
                    </w:rPr>
                  </w:pPr>
                  <w:r>
                    <w:rPr>
                      <w:rFonts w:hint="eastAsia"/>
                    </w:rPr>
                    <w:t>m</w:t>
                  </w:r>
                  <w:r>
                    <w:t>g/</w:t>
                  </w:r>
                  <w:r>
                    <w:rPr>
                      <w:rFonts w:hint="eastAsia"/>
                    </w:rPr>
                    <w:t>m³</w:t>
                  </w:r>
                </w:p>
              </w:tc>
            </w:tr>
            <w:tr w14:paraId="3CA8B6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73555D50">
                  <w:pPr>
                    <w:pStyle w:val="86"/>
                    <w:rPr>
                      <w:lang w:val="zh-CN"/>
                    </w:rPr>
                  </w:pPr>
                </w:p>
              </w:tc>
              <w:tc>
                <w:tcPr>
                  <w:tcW w:w="864" w:type="pct"/>
                  <w:vMerge w:val="continue"/>
                  <w:vAlign w:val="center"/>
                </w:tcPr>
                <w:p w14:paraId="69359996">
                  <w:pPr>
                    <w:pStyle w:val="86"/>
                    <w:rPr>
                      <w:lang w:val="zh-CN"/>
                    </w:rPr>
                  </w:pPr>
                </w:p>
              </w:tc>
              <w:tc>
                <w:tcPr>
                  <w:tcW w:w="1410" w:type="pct"/>
                  <w:vAlign w:val="center"/>
                </w:tcPr>
                <w:p w14:paraId="09E15E6E">
                  <w:pPr>
                    <w:pStyle w:val="86"/>
                    <w:rPr>
                      <w:lang w:val="zh-CN"/>
                    </w:rPr>
                  </w:pPr>
                  <w:r>
                    <w:rPr>
                      <w:rFonts w:hint="eastAsia"/>
                    </w:rPr>
                    <w:t>1小时平均</w:t>
                  </w:r>
                </w:p>
              </w:tc>
              <w:tc>
                <w:tcPr>
                  <w:tcW w:w="1593" w:type="pct"/>
                  <w:vAlign w:val="center"/>
                </w:tcPr>
                <w:p w14:paraId="40B4CDC5">
                  <w:pPr>
                    <w:pStyle w:val="86"/>
                  </w:pPr>
                  <w:r>
                    <w:rPr>
                      <w:rFonts w:hint="eastAsia"/>
                    </w:rPr>
                    <w:t>10</w:t>
                  </w:r>
                </w:p>
              </w:tc>
              <w:tc>
                <w:tcPr>
                  <w:tcW w:w="621" w:type="pct"/>
                  <w:vMerge w:val="continue"/>
                  <w:vAlign w:val="center"/>
                </w:tcPr>
                <w:p w14:paraId="7D8F3F43">
                  <w:pPr>
                    <w:pStyle w:val="86"/>
                    <w:rPr>
                      <w:lang w:val="zh-CN"/>
                    </w:rPr>
                  </w:pPr>
                </w:p>
              </w:tc>
            </w:tr>
            <w:tr w14:paraId="5F36F2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restart"/>
                  <w:vAlign w:val="center"/>
                </w:tcPr>
                <w:p w14:paraId="79CE6F01">
                  <w:pPr>
                    <w:pStyle w:val="86"/>
                  </w:pPr>
                  <w:r>
                    <w:rPr>
                      <w:rFonts w:hint="eastAsia"/>
                    </w:rPr>
                    <w:t>4</w:t>
                  </w:r>
                </w:p>
              </w:tc>
              <w:tc>
                <w:tcPr>
                  <w:tcW w:w="864" w:type="pct"/>
                  <w:vMerge w:val="restart"/>
                  <w:vAlign w:val="center"/>
                </w:tcPr>
                <w:p w14:paraId="66092675">
                  <w:pPr>
                    <w:pStyle w:val="86"/>
                    <w:rPr>
                      <w:lang w:val="zh-CN"/>
                    </w:rPr>
                  </w:pPr>
                  <w:r>
                    <w:rPr>
                      <w:rFonts w:hint="eastAsia"/>
                    </w:rPr>
                    <w:t>O</w:t>
                  </w:r>
                  <w:r>
                    <w:rPr>
                      <w:rFonts w:hint="eastAsia"/>
                      <w:vertAlign w:val="subscript"/>
                    </w:rPr>
                    <w:t>3</w:t>
                  </w:r>
                </w:p>
              </w:tc>
              <w:tc>
                <w:tcPr>
                  <w:tcW w:w="1410" w:type="pct"/>
                  <w:vAlign w:val="center"/>
                </w:tcPr>
                <w:p w14:paraId="379295FF">
                  <w:pPr>
                    <w:pStyle w:val="86"/>
                    <w:rPr>
                      <w:lang w:val="zh-CN"/>
                    </w:rPr>
                  </w:pPr>
                  <w:r>
                    <w:rPr>
                      <w:rFonts w:hint="eastAsia"/>
                    </w:rPr>
                    <w:t>日最大8小时平均</w:t>
                  </w:r>
                </w:p>
              </w:tc>
              <w:tc>
                <w:tcPr>
                  <w:tcW w:w="1593" w:type="pct"/>
                  <w:vAlign w:val="center"/>
                </w:tcPr>
                <w:p w14:paraId="3A33F187">
                  <w:pPr>
                    <w:pStyle w:val="86"/>
                  </w:pPr>
                  <w:r>
                    <w:rPr>
                      <w:rFonts w:hint="eastAsia"/>
                    </w:rPr>
                    <w:t>160</w:t>
                  </w:r>
                </w:p>
              </w:tc>
              <w:tc>
                <w:tcPr>
                  <w:tcW w:w="621" w:type="pct"/>
                  <w:vMerge w:val="restart"/>
                  <w:vAlign w:val="center"/>
                </w:tcPr>
                <w:p w14:paraId="37BA031C">
                  <w:pPr>
                    <w:pStyle w:val="86"/>
                    <w:rPr>
                      <w:lang w:val="zh-CN"/>
                    </w:rPr>
                  </w:pPr>
                  <w:r>
                    <w:t>μg/</w:t>
                  </w:r>
                  <w:r>
                    <w:rPr>
                      <w:rFonts w:hint="eastAsia"/>
                    </w:rPr>
                    <w:t>m³</w:t>
                  </w:r>
                </w:p>
              </w:tc>
            </w:tr>
            <w:tr w14:paraId="5A029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6DCD0906">
                  <w:pPr>
                    <w:pStyle w:val="86"/>
                    <w:rPr>
                      <w:lang w:val="zh-CN"/>
                    </w:rPr>
                  </w:pPr>
                </w:p>
              </w:tc>
              <w:tc>
                <w:tcPr>
                  <w:tcW w:w="864" w:type="pct"/>
                  <w:vMerge w:val="continue"/>
                  <w:vAlign w:val="center"/>
                </w:tcPr>
                <w:p w14:paraId="2EAC7C4E">
                  <w:pPr>
                    <w:pStyle w:val="86"/>
                    <w:rPr>
                      <w:lang w:val="zh-CN"/>
                    </w:rPr>
                  </w:pPr>
                </w:p>
              </w:tc>
              <w:tc>
                <w:tcPr>
                  <w:tcW w:w="1410" w:type="pct"/>
                  <w:vAlign w:val="center"/>
                </w:tcPr>
                <w:p w14:paraId="5C392F11">
                  <w:pPr>
                    <w:pStyle w:val="86"/>
                    <w:rPr>
                      <w:lang w:val="zh-CN"/>
                    </w:rPr>
                  </w:pPr>
                  <w:r>
                    <w:rPr>
                      <w:rFonts w:hint="eastAsia"/>
                    </w:rPr>
                    <w:t>1小时平均</w:t>
                  </w:r>
                </w:p>
              </w:tc>
              <w:tc>
                <w:tcPr>
                  <w:tcW w:w="1593" w:type="pct"/>
                  <w:vAlign w:val="center"/>
                </w:tcPr>
                <w:p w14:paraId="583DFBF6">
                  <w:pPr>
                    <w:pStyle w:val="86"/>
                  </w:pPr>
                  <w:r>
                    <w:rPr>
                      <w:rFonts w:hint="eastAsia"/>
                    </w:rPr>
                    <w:t>200</w:t>
                  </w:r>
                </w:p>
              </w:tc>
              <w:tc>
                <w:tcPr>
                  <w:tcW w:w="621" w:type="pct"/>
                  <w:vMerge w:val="continue"/>
                  <w:vAlign w:val="center"/>
                </w:tcPr>
                <w:p w14:paraId="1F0D50D2">
                  <w:pPr>
                    <w:pStyle w:val="86"/>
                    <w:rPr>
                      <w:lang w:val="zh-CN"/>
                    </w:rPr>
                  </w:pPr>
                </w:p>
              </w:tc>
            </w:tr>
            <w:tr w14:paraId="1147D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10" w:type="pct"/>
                  <w:vMerge w:val="restart"/>
                  <w:vAlign w:val="center"/>
                </w:tcPr>
                <w:p w14:paraId="24DEDA35">
                  <w:pPr>
                    <w:pStyle w:val="86"/>
                  </w:pPr>
                  <w:r>
                    <w:rPr>
                      <w:rFonts w:hint="eastAsia"/>
                    </w:rPr>
                    <w:t>5</w:t>
                  </w:r>
                </w:p>
              </w:tc>
              <w:tc>
                <w:tcPr>
                  <w:tcW w:w="864" w:type="pct"/>
                  <w:vMerge w:val="restart"/>
                  <w:vAlign w:val="center"/>
                </w:tcPr>
                <w:p w14:paraId="50AB3E69">
                  <w:pPr>
                    <w:pStyle w:val="86"/>
                    <w:rPr>
                      <w:lang w:val="zh-CN"/>
                    </w:rPr>
                  </w:pPr>
                  <w:r>
                    <w:t>PM</w:t>
                  </w:r>
                  <w:r>
                    <w:rPr>
                      <w:vertAlign w:val="subscript"/>
                    </w:rPr>
                    <w:t>10</w:t>
                  </w:r>
                </w:p>
              </w:tc>
              <w:tc>
                <w:tcPr>
                  <w:tcW w:w="1410" w:type="pct"/>
                  <w:vAlign w:val="center"/>
                </w:tcPr>
                <w:p w14:paraId="469CEF7E">
                  <w:pPr>
                    <w:pStyle w:val="86"/>
                    <w:rPr>
                      <w:lang w:val="zh-CN"/>
                    </w:rPr>
                  </w:pPr>
                  <w:r>
                    <w:rPr>
                      <w:rFonts w:hint="eastAsia"/>
                    </w:rPr>
                    <w:t>年平均</w:t>
                  </w:r>
                </w:p>
              </w:tc>
              <w:tc>
                <w:tcPr>
                  <w:tcW w:w="1593" w:type="pct"/>
                  <w:vAlign w:val="center"/>
                </w:tcPr>
                <w:p w14:paraId="483D2502">
                  <w:pPr>
                    <w:pStyle w:val="86"/>
                  </w:pPr>
                  <w:r>
                    <w:rPr>
                      <w:rFonts w:hint="eastAsia"/>
                    </w:rPr>
                    <w:t>70</w:t>
                  </w:r>
                </w:p>
              </w:tc>
              <w:tc>
                <w:tcPr>
                  <w:tcW w:w="621" w:type="pct"/>
                  <w:vMerge w:val="restart"/>
                  <w:vAlign w:val="center"/>
                </w:tcPr>
                <w:p w14:paraId="2A2687CA">
                  <w:pPr>
                    <w:pStyle w:val="86"/>
                    <w:rPr>
                      <w:lang w:val="zh-CN"/>
                    </w:rPr>
                  </w:pPr>
                  <w:r>
                    <w:t>μg/</w:t>
                  </w:r>
                  <w:r>
                    <w:rPr>
                      <w:rFonts w:hint="eastAsia"/>
                    </w:rPr>
                    <w:t>m³</w:t>
                  </w:r>
                </w:p>
              </w:tc>
            </w:tr>
            <w:tr w14:paraId="0DB77B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7161C479">
                  <w:pPr>
                    <w:pStyle w:val="86"/>
                    <w:rPr>
                      <w:lang w:val="zh-CN"/>
                    </w:rPr>
                  </w:pPr>
                </w:p>
              </w:tc>
              <w:tc>
                <w:tcPr>
                  <w:tcW w:w="864" w:type="pct"/>
                  <w:vMerge w:val="continue"/>
                  <w:vAlign w:val="center"/>
                </w:tcPr>
                <w:p w14:paraId="625100A7">
                  <w:pPr>
                    <w:pStyle w:val="86"/>
                    <w:rPr>
                      <w:lang w:val="zh-CN"/>
                    </w:rPr>
                  </w:pPr>
                </w:p>
              </w:tc>
              <w:tc>
                <w:tcPr>
                  <w:tcW w:w="1410" w:type="pct"/>
                  <w:vAlign w:val="center"/>
                </w:tcPr>
                <w:p w14:paraId="3E97EA8F">
                  <w:pPr>
                    <w:pStyle w:val="86"/>
                    <w:rPr>
                      <w:lang w:val="zh-CN"/>
                    </w:rPr>
                  </w:pPr>
                  <w:r>
                    <w:rPr>
                      <w:rFonts w:hint="eastAsia"/>
                    </w:rPr>
                    <w:t>24小时平均</w:t>
                  </w:r>
                </w:p>
              </w:tc>
              <w:tc>
                <w:tcPr>
                  <w:tcW w:w="1593" w:type="pct"/>
                  <w:vAlign w:val="center"/>
                </w:tcPr>
                <w:p w14:paraId="49C5D1BD">
                  <w:pPr>
                    <w:pStyle w:val="86"/>
                  </w:pPr>
                  <w:r>
                    <w:rPr>
                      <w:rFonts w:hint="eastAsia"/>
                    </w:rPr>
                    <w:t>150</w:t>
                  </w:r>
                </w:p>
              </w:tc>
              <w:tc>
                <w:tcPr>
                  <w:tcW w:w="621" w:type="pct"/>
                  <w:vMerge w:val="continue"/>
                  <w:vAlign w:val="center"/>
                </w:tcPr>
                <w:p w14:paraId="0343C311">
                  <w:pPr>
                    <w:pStyle w:val="86"/>
                    <w:rPr>
                      <w:lang w:val="zh-CN"/>
                    </w:rPr>
                  </w:pPr>
                </w:p>
              </w:tc>
            </w:tr>
            <w:tr w14:paraId="7A0987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10" w:type="pct"/>
                  <w:vMerge w:val="restart"/>
                  <w:vAlign w:val="center"/>
                </w:tcPr>
                <w:p w14:paraId="236756B3">
                  <w:pPr>
                    <w:pStyle w:val="86"/>
                  </w:pPr>
                  <w:r>
                    <w:rPr>
                      <w:rFonts w:hint="eastAsia"/>
                    </w:rPr>
                    <w:t>6</w:t>
                  </w:r>
                </w:p>
              </w:tc>
              <w:tc>
                <w:tcPr>
                  <w:tcW w:w="864" w:type="pct"/>
                  <w:vMerge w:val="restart"/>
                  <w:vAlign w:val="center"/>
                </w:tcPr>
                <w:p w14:paraId="01924555">
                  <w:pPr>
                    <w:pStyle w:val="86"/>
                    <w:rPr>
                      <w:lang w:val="zh-CN"/>
                    </w:rPr>
                  </w:pPr>
                  <w:r>
                    <w:t>PM</w:t>
                  </w:r>
                  <w:r>
                    <w:rPr>
                      <w:vertAlign w:val="subscript"/>
                    </w:rPr>
                    <w:t>2.5</w:t>
                  </w:r>
                </w:p>
              </w:tc>
              <w:tc>
                <w:tcPr>
                  <w:tcW w:w="1410" w:type="pct"/>
                  <w:vAlign w:val="center"/>
                </w:tcPr>
                <w:p w14:paraId="3023DE21">
                  <w:pPr>
                    <w:pStyle w:val="86"/>
                    <w:rPr>
                      <w:lang w:val="zh-CN"/>
                    </w:rPr>
                  </w:pPr>
                  <w:r>
                    <w:rPr>
                      <w:rFonts w:hint="eastAsia"/>
                    </w:rPr>
                    <w:t>年平均</w:t>
                  </w:r>
                </w:p>
              </w:tc>
              <w:tc>
                <w:tcPr>
                  <w:tcW w:w="1593" w:type="pct"/>
                  <w:vAlign w:val="center"/>
                </w:tcPr>
                <w:p w14:paraId="49B7AF13">
                  <w:pPr>
                    <w:pStyle w:val="86"/>
                  </w:pPr>
                  <w:r>
                    <w:rPr>
                      <w:rFonts w:hint="eastAsia"/>
                    </w:rPr>
                    <w:t>35</w:t>
                  </w:r>
                </w:p>
              </w:tc>
              <w:tc>
                <w:tcPr>
                  <w:tcW w:w="621" w:type="pct"/>
                  <w:vMerge w:val="restart"/>
                  <w:vAlign w:val="center"/>
                </w:tcPr>
                <w:p w14:paraId="77CCB1BB">
                  <w:pPr>
                    <w:pStyle w:val="86"/>
                    <w:rPr>
                      <w:lang w:val="zh-CN"/>
                    </w:rPr>
                  </w:pPr>
                  <w:r>
                    <w:t>μg/</w:t>
                  </w:r>
                  <w:r>
                    <w:rPr>
                      <w:rFonts w:hint="eastAsia"/>
                    </w:rPr>
                    <w:t>m³</w:t>
                  </w:r>
                </w:p>
              </w:tc>
            </w:tr>
            <w:tr w14:paraId="289512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5438B773">
                  <w:pPr>
                    <w:pStyle w:val="86"/>
                    <w:rPr>
                      <w:lang w:val="zh-CN"/>
                    </w:rPr>
                  </w:pPr>
                </w:p>
              </w:tc>
              <w:tc>
                <w:tcPr>
                  <w:tcW w:w="864" w:type="pct"/>
                  <w:vMerge w:val="continue"/>
                  <w:vAlign w:val="center"/>
                </w:tcPr>
                <w:p w14:paraId="32C9C018">
                  <w:pPr>
                    <w:pStyle w:val="86"/>
                    <w:rPr>
                      <w:lang w:val="zh-CN"/>
                    </w:rPr>
                  </w:pPr>
                </w:p>
              </w:tc>
              <w:tc>
                <w:tcPr>
                  <w:tcW w:w="1410" w:type="pct"/>
                  <w:vAlign w:val="center"/>
                </w:tcPr>
                <w:p w14:paraId="0369E6B4">
                  <w:pPr>
                    <w:pStyle w:val="86"/>
                    <w:rPr>
                      <w:lang w:val="zh-CN"/>
                    </w:rPr>
                  </w:pPr>
                  <w:r>
                    <w:rPr>
                      <w:rFonts w:hint="eastAsia"/>
                    </w:rPr>
                    <w:t>24小时平均</w:t>
                  </w:r>
                </w:p>
              </w:tc>
              <w:tc>
                <w:tcPr>
                  <w:tcW w:w="1593" w:type="pct"/>
                  <w:vAlign w:val="center"/>
                </w:tcPr>
                <w:p w14:paraId="2E3FC803">
                  <w:pPr>
                    <w:pStyle w:val="86"/>
                  </w:pPr>
                  <w:r>
                    <w:rPr>
                      <w:rFonts w:hint="eastAsia"/>
                    </w:rPr>
                    <w:t>75</w:t>
                  </w:r>
                </w:p>
              </w:tc>
              <w:tc>
                <w:tcPr>
                  <w:tcW w:w="621" w:type="pct"/>
                  <w:vMerge w:val="continue"/>
                  <w:vAlign w:val="center"/>
                </w:tcPr>
                <w:p w14:paraId="19D5BCF0">
                  <w:pPr>
                    <w:pStyle w:val="86"/>
                    <w:rPr>
                      <w:lang w:val="zh-CN"/>
                    </w:rPr>
                  </w:pPr>
                </w:p>
              </w:tc>
            </w:tr>
            <w:tr w14:paraId="4E6B7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1" w:hRule="atLeast"/>
                <w:jc w:val="center"/>
              </w:trPr>
              <w:tc>
                <w:tcPr>
                  <w:tcW w:w="510" w:type="pct"/>
                  <w:vMerge w:val="restart"/>
                  <w:vAlign w:val="center"/>
                </w:tcPr>
                <w:p w14:paraId="5E530734">
                  <w:pPr>
                    <w:pStyle w:val="86"/>
                  </w:pPr>
                  <w:r>
                    <w:rPr>
                      <w:rFonts w:hint="eastAsia"/>
                    </w:rPr>
                    <w:t>7</w:t>
                  </w:r>
                </w:p>
              </w:tc>
              <w:tc>
                <w:tcPr>
                  <w:tcW w:w="864" w:type="pct"/>
                  <w:vMerge w:val="restart"/>
                  <w:vAlign w:val="center"/>
                </w:tcPr>
                <w:p w14:paraId="42BC1AB8">
                  <w:pPr>
                    <w:pStyle w:val="86"/>
                    <w:rPr>
                      <w:lang w:val="zh-CN"/>
                    </w:rPr>
                  </w:pPr>
                  <w:r>
                    <w:t>TSP</w:t>
                  </w:r>
                </w:p>
              </w:tc>
              <w:tc>
                <w:tcPr>
                  <w:tcW w:w="1410" w:type="pct"/>
                  <w:vAlign w:val="center"/>
                </w:tcPr>
                <w:p w14:paraId="63BD7C69">
                  <w:pPr>
                    <w:pStyle w:val="86"/>
                    <w:rPr>
                      <w:lang w:val="zh-CN"/>
                    </w:rPr>
                  </w:pPr>
                  <w:r>
                    <w:rPr>
                      <w:rFonts w:hint="eastAsia"/>
                    </w:rPr>
                    <w:t>年平均</w:t>
                  </w:r>
                </w:p>
              </w:tc>
              <w:tc>
                <w:tcPr>
                  <w:tcW w:w="1593" w:type="pct"/>
                  <w:vAlign w:val="center"/>
                </w:tcPr>
                <w:p w14:paraId="0551FA95">
                  <w:pPr>
                    <w:pStyle w:val="86"/>
                  </w:pPr>
                  <w:r>
                    <w:rPr>
                      <w:rFonts w:hint="eastAsia"/>
                    </w:rPr>
                    <w:t>200</w:t>
                  </w:r>
                </w:p>
              </w:tc>
              <w:tc>
                <w:tcPr>
                  <w:tcW w:w="621" w:type="pct"/>
                  <w:vMerge w:val="restart"/>
                  <w:vAlign w:val="center"/>
                </w:tcPr>
                <w:p w14:paraId="74769B21">
                  <w:pPr>
                    <w:pStyle w:val="86"/>
                    <w:rPr>
                      <w:lang w:val="zh-CN"/>
                    </w:rPr>
                  </w:pPr>
                  <w:r>
                    <w:t>μg/</w:t>
                  </w:r>
                  <w:r>
                    <w:rPr>
                      <w:rFonts w:hint="eastAsia"/>
                    </w:rPr>
                    <w:t>m³</w:t>
                  </w:r>
                </w:p>
              </w:tc>
            </w:tr>
            <w:tr w14:paraId="5D81E3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1239B976">
                  <w:pPr>
                    <w:pStyle w:val="86"/>
                    <w:rPr>
                      <w:lang w:val="zh-CN"/>
                    </w:rPr>
                  </w:pPr>
                </w:p>
              </w:tc>
              <w:tc>
                <w:tcPr>
                  <w:tcW w:w="864" w:type="pct"/>
                  <w:vMerge w:val="continue"/>
                  <w:vAlign w:val="center"/>
                </w:tcPr>
                <w:p w14:paraId="05E55B6D">
                  <w:pPr>
                    <w:pStyle w:val="86"/>
                    <w:rPr>
                      <w:lang w:val="zh-CN"/>
                    </w:rPr>
                  </w:pPr>
                </w:p>
              </w:tc>
              <w:tc>
                <w:tcPr>
                  <w:tcW w:w="1410" w:type="pct"/>
                  <w:vAlign w:val="center"/>
                </w:tcPr>
                <w:p w14:paraId="2FCA3DC5">
                  <w:pPr>
                    <w:pStyle w:val="86"/>
                    <w:rPr>
                      <w:lang w:val="zh-CN"/>
                    </w:rPr>
                  </w:pPr>
                  <w:r>
                    <w:rPr>
                      <w:rFonts w:hint="eastAsia"/>
                    </w:rPr>
                    <w:t>24小时平均</w:t>
                  </w:r>
                </w:p>
              </w:tc>
              <w:tc>
                <w:tcPr>
                  <w:tcW w:w="1593" w:type="pct"/>
                  <w:vAlign w:val="center"/>
                </w:tcPr>
                <w:p w14:paraId="0BA3EBAC">
                  <w:pPr>
                    <w:pStyle w:val="86"/>
                  </w:pPr>
                  <w:r>
                    <w:rPr>
                      <w:rFonts w:hint="eastAsia"/>
                    </w:rPr>
                    <w:t>300</w:t>
                  </w:r>
                </w:p>
              </w:tc>
              <w:tc>
                <w:tcPr>
                  <w:tcW w:w="621" w:type="pct"/>
                  <w:vMerge w:val="continue"/>
                  <w:vAlign w:val="center"/>
                </w:tcPr>
                <w:p w14:paraId="12B7660F">
                  <w:pPr>
                    <w:pStyle w:val="86"/>
                    <w:rPr>
                      <w:lang w:val="zh-CN"/>
                    </w:rPr>
                  </w:pPr>
                </w:p>
              </w:tc>
            </w:tr>
            <w:tr w14:paraId="0F496A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0" w:type="pct"/>
                  <w:vMerge w:val="continue"/>
                  <w:vAlign w:val="center"/>
                </w:tcPr>
                <w:p w14:paraId="55FF2BCA">
                  <w:pPr>
                    <w:pStyle w:val="86"/>
                  </w:pPr>
                </w:p>
              </w:tc>
              <w:tc>
                <w:tcPr>
                  <w:tcW w:w="864" w:type="pct"/>
                  <w:vMerge w:val="continue"/>
                  <w:vAlign w:val="center"/>
                </w:tcPr>
                <w:p w14:paraId="492FCAF1">
                  <w:pPr>
                    <w:pStyle w:val="86"/>
                  </w:pPr>
                </w:p>
              </w:tc>
              <w:tc>
                <w:tcPr>
                  <w:tcW w:w="1410" w:type="pct"/>
                  <w:vAlign w:val="center"/>
                </w:tcPr>
                <w:p w14:paraId="45E1A362">
                  <w:pPr>
                    <w:pStyle w:val="86"/>
                  </w:pPr>
                  <w:r>
                    <w:rPr>
                      <w:rFonts w:hint="eastAsia"/>
                    </w:rPr>
                    <w:t>日平均</w:t>
                  </w:r>
                </w:p>
              </w:tc>
              <w:tc>
                <w:tcPr>
                  <w:tcW w:w="1593" w:type="pct"/>
                  <w:vAlign w:val="center"/>
                </w:tcPr>
                <w:p w14:paraId="1A784F48">
                  <w:pPr>
                    <w:pStyle w:val="86"/>
                  </w:pPr>
                  <w:r>
                    <w:rPr>
                      <w:rFonts w:hint="eastAsia"/>
                    </w:rPr>
                    <w:t>50</w:t>
                  </w:r>
                </w:p>
              </w:tc>
              <w:tc>
                <w:tcPr>
                  <w:tcW w:w="621" w:type="pct"/>
                  <w:vMerge w:val="continue"/>
                  <w:vAlign w:val="center"/>
                </w:tcPr>
                <w:p w14:paraId="55178DB0">
                  <w:pPr>
                    <w:pStyle w:val="86"/>
                    <w:rPr>
                      <w:lang w:val="zh-CN"/>
                    </w:rPr>
                  </w:pPr>
                </w:p>
              </w:tc>
            </w:tr>
          </w:tbl>
          <w:p w14:paraId="4949EE00">
            <w:pPr>
              <w:pStyle w:val="71"/>
              <w:adjustRightInd w:val="0"/>
              <w:ind w:firstLine="496" w:firstLineChars="0"/>
              <w:jc w:val="both"/>
              <w:rPr>
                <w:b/>
                <w:bCs/>
                <w:lang w:val="en-US"/>
              </w:rPr>
            </w:pPr>
            <w:r>
              <w:rPr>
                <w:rFonts w:hint="eastAsia"/>
                <w:b/>
                <w:bCs/>
                <w:lang w:val="en-US"/>
              </w:rPr>
              <w:t>（2）地表水环境</w:t>
            </w:r>
          </w:p>
          <w:p w14:paraId="7818E188">
            <w:pPr>
              <w:pStyle w:val="71"/>
              <w:keepNext w:val="0"/>
              <w:keepLines w:val="0"/>
              <w:pageBreakBefore w:val="0"/>
              <w:widowControl w:val="0"/>
              <w:numPr>
                <w:ilvl w:val="0"/>
                <w:numId w:val="0"/>
              </w:numPr>
              <w:kinsoku/>
              <w:wordWrap/>
              <w:overflowPunct/>
              <w:topLinePunct w:val="0"/>
              <w:autoSpaceDE/>
              <w:autoSpaceDN/>
              <w:bidi w:val="0"/>
              <w:adjustRightInd w:val="0"/>
              <w:snapToGrid w:val="0"/>
              <w:ind w:firstLine="496"/>
              <w:jc w:val="both"/>
              <w:textAlignment w:val="auto"/>
              <w:rPr>
                <w:rFonts w:hint="eastAsia" w:ascii="Times New Roman" w:hAnsi="Times New Roman" w:eastAsia="宋体" w:cs="Times New Roman"/>
                <w:color w:val="auto"/>
                <w:highlight w:val="none"/>
                <w:lang w:val="en-US" w:eastAsia="zh-CN"/>
              </w:rPr>
            </w:pPr>
            <w:r>
              <w:rPr>
                <w:rFonts w:hint="default" w:ascii="Times New Roman" w:hAnsi="Times New Roman" w:eastAsia="宋体" w:cs="Times New Roman"/>
                <w:color w:val="000000" w:themeColor="text1"/>
                <w:kern w:val="0"/>
                <w:sz w:val="24"/>
                <w:szCs w:val="24"/>
                <w:highlight w:val="none"/>
                <w:lang w:val="en-US" w:eastAsia="zh-CN" w:bidi="ar"/>
                <w14:textFill>
                  <w14:solidFill>
                    <w14:schemeClr w14:val="tx1"/>
                  </w14:solidFill>
                </w14:textFill>
              </w:rPr>
              <w:t>根据《昆明市和滇中产业新区水功能区划》（2011～2030年），卡巴拉河属于九龙河支流，</w:t>
            </w:r>
            <w:r>
              <w:rPr>
                <w:rFonts w:hint="default" w:ascii="Times New Roman" w:hAnsi="Times New Roman" w:eastAsia="宋体" w:cs="Times New Roman"/>
                <w:sz w:val="24"/>
                <w:szCs w:val="24"/>
              </w:rPr>
              <w:t>九龙河寻甸-禄劝保留区：源头至洗马河汇口，河长49.2km。流域内以农村经济为主，经济不发达，河道外水资源利用程度不高，生活用水量不大。其现状水质为Ⅲ类，规划水平年水质保护目标Ⅲ类。</w:t>
            </w:r>
            <w:r>
              <w:rPr>
                <w:rFonts w:hint="eastAsia" w:ascii="Times New Roman" w:hAnsi="Times New Roman" w:eastAsia="宋体" w:cs="Times New Roman"/>
                <w:color w:val="auto"/>
                <w:highlight w:val="none"/>
                <w:lang w:val="en-US" w:eastAsia="zh-CN"/>
              </w:rPr>
              <w:t>项目</w:t>
            </w:r>
            <w:r>
              <w:rPr>
                <w:rFonts w:hint="eastAsia" w:cs="Times New Roman"/>
                <w:color w:val="auto"/>
                <w:highlight w:val="none"/>
                <w:lang w:val="en-US" w:eastAsia="zh-CN"/>
              </w:rPr>
              <w:t>卡巴拉河</w:t>
            </w:r>
            <w:r>
              <w:rPr>
                <w:rFonts w:hint="eastAsia" w:ascii="Times New Roman" w:hAnsi="Times New Roman" w:eastAsia="宋体" w:cs="Times New Roman"/>
                <w:color w:val="auto"/>
                <w:highlight w:val="none"/>
                <w:lang w:val="en-US" w:eastAsia="zh-CN"/>
              </w:rPr>
              <w:t>地表水环境质量标准执行《地表水环境质量标准》（GB3838-2002）</w:t>
            </w:r>
            <w:r>
              <w:rPr>
                <w:rFonts w:hint="eastAsia" w:ascii="宋体" w:hAnsi="宋体" w:eastAsia="宋体" w:cs="宋体"/>
                <w:b w:val="0"/>
                <w:bCs w:val="0"/>
                <w:color w:val="auto"/>
                <w:lang w:val="en-US" w:eastAsia="zh-CN"/>
              </w:rPr>
              <w:t>Ⅲ</w:t>
            </w:r>
            <w:r>
              <w:rPr>
                <w:rFonts w:hint="eastAsia" w:ascii="Times New Roman" w:hAnsi="Times New Roman" w:eastAsia="宋体" w:cs="Times New Roman"/>
                <w:color w:val="auto"/>
                <w:highlight w:val="none"/>
                <w:lang w:val="en-US" w:eastAsia="zh-CN"/>
              </w:rPr>
              <w:t>类标准，标准限值见下表。</w:t>
            </w:r>
          </w:p>
          <w:p w14:paraId="76DCC35F">
            <w:pPr>
              <w:pStyle w:val="7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表3-1</w:t>
            </w:r>
            <w:r>
              <w:rPr>
                <w:rFonts w:hint="eastAsia" w:cs="Times New Roman"/>
                <w:b/>
                <w:bCs/>
                <w:color w:val="auto"/>
                <w:sz w:val="24"/>
                <w:szCs w:val="24"/>
                <w:highlight w:val="none"/>
                <w:lang w:val="en-US" w:eastAsia="zh-CN"/>
              </w:rPr>
              <w:t xml:space="preserve">8 </w:t>
            </w:r>
            <w:r>
              <w:rPr>
                <w:rFonts w:hint="eastAsia" w:ascii="Times New Roman" w:hAnsi="Times New Roman" w:eastAsia="宋体" w:cs="Times New Roman"/>
                <w:b/>
                <w:bCs/>
                <w:color w:val="auto"/>
                <w:sz w:val="24"/>
                <w:szCs w:val="24"/>
                <w:highlight w:val="none"/>
                <w:lang w:val="en-US" w:eastAsia="zh-CN"/>
              </w:rPr>
              <w:t xml:space="preserve"> 地表水环境质量标准（pH为无量纲）单位：（mg/L）</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62"/>
              <w:gridCol w:w="2094"/>
              <w:gridCol w:w="4926"/>
            </w:tblGrid>
            <w:tr w14:paraId="33E714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3696750A">
                  <w:pPr>
                    <w:pStyle w:val="86"/>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序号</w:t>
                  </w:r>
                </w:p>
              </w:tc>
              <w:tc>
                <w:tcPr>
                  <w:tcW w:w="1264" w:type="pct"/>
                  <w:noWrap w:val="0"/>
                  <w:vAlign w:val="center"/>
                </w:tcPr>
                <w:p w14:paraId="0D3A13A2">
                  <w:pPr>
                    <w:pStyle w:val="86"/>
                    <w:rPr>
                      <w:rFonts w:hint="default" w:ascii="Times New Roman" w:hAnsi="Times New Roman" w:cs="Times New Roman"/>
                      <w:b/>
                      <w:bCs/>
                      <w:color w:val="auto"/>
                      <w:lang w:val="en-US" w:eastAsia="zh-CN"/>
                    </w:rPr>
                  </w:pPr>
                  <w:r>
                    <w:rPr>
                      <w:rFonts w:hint="default" w:ascii="Times New Roman" w:hAnsi="Times New Roman" w:cs="Times New Roman"/>
                      <w:b/>
                      <w:bCs/>
                      <w:color w:val="auto"/>
                      <w:lang w:val="en-US" w:eastAsia="zh-CN"/>
                    </w:rPr>
                    <w:t>项目名称</w:t>
                  </w:r>
                </w:p>
              </w:tc>
              <w:tc>
                <w:tcPr>
                  <w:tcW w:w="2973" w:type="pct"/>
                  <w:noWrap w:val="0"/>
                  <w:vAlign w:val="center"/>
                </w:tcPr>
                <w:p w14:paraId="077C970A">
                  <w:pPr>
                    <w:pStyle w:val="86"/>
                    <w:rPr>
                      <w:rFonts w:hint="default" w:ascii="Times New Roman" w:hAnsi="Times New Roman" w:cs="Times New Roman"/>
                      <w:b/>
                      <w:bCs/>
                      <w:color w:val="auto"/>
                      <w:lang w:val="en-US" w:eastAsia="zh-CN"/>
                    </w:rPr>
                  </w:pPr>
                  <w:r>
                    <w:rPr>
                      <w:rFonts w:hint="default" w:ascii="Times New Roman" w:hAnsi="Times New Roman" w:eastAsia="宋体" w:cs="Times New Roman"/>
                      <w:b/>
                      <w:bCs/>
                      <w:color w:val="auto"/>
                      <w:lang w:val="en-US" w:eastAsia="zh-CN"/>
                    </w:rPr>
                    <w:t>Ⅲ</w:t>
                  </w:r>
                  <w:r>
                    <w:rPr>
                      <w:rFonts w:hint="default" w:ascii="Times New Roman" w:hAnsi="Times New Roman" w:cs="Times New Roman"/>
                      <w:b/>
                      <w:bCs/>
                      <w:color w:val="auto"/>
                      <w:lang w:val="en-US" w:eastAsia="zh-CN"/>
                    </w:rPr>
                    <w:t>类</w:t>
                  </w:r>
                </w:p>
              </w:tc>
            </w:tr>
            <w:tr w14:paraId="7FC433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486CA9A6">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w:t>
                  </w:r>
                </w:p>
              </w:tc>
              <w:tc>
                <w:tcPr>
                  <w:tcW w:w="1264" w:type="pct"/>
                  <w:noWrap w:val="0"/>
                  <w:vAlign w:val="center"/>
                </w:tcPr>
                <w:p w14:paraId="191CAF5B">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pH值（无量纲）</w:t>
                  </w:r>
                </w:p>
              </w:tc>
              <w:tc>
                <w:tcPr>
                  <w:tcW w:w="2973" w:type="pct"/>
                  <w:noWrap w:val="0"/>
                  <w:vAlign w:val="center"/>
                </w:tcPr>
                <w:p w14:paraId="1FB0F263">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6-9</w:t>
                  </w:r>
                </w:p>
              </w:tc>
            </w:tr>
            <w:tr w14:paraId="76C5EB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1047456C">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w:t>
                  </w:r>
                </w:p>
              </w:tc>
              <w:tc>
                <w:tcPr>
                  <w:tcW w:w="1264" w:type="pct"/>
                  <w:noWrap w:val="0"/>
                  <w:vAlign w:val="center"/>
                </w:tcPr>
                <w:p w14:paraId="2D26EE60">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COD</w:t>
                  </w:r>
                </w:p>
              </w:tc>
              <w:tc>
                <w:tcPr>
                  <w:tcW w:w="2973" w:type="pct"/>
                  <w:noWrap w:val="0"/>
                  <w:vAlign w:val="center"/>
                </w:tcPr>
                <w:p w14:paraId="6B990401">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r>
                    <w:rPr>
                      <w:rFonts w:hint="eastAsia" w:ascii="Times New Roman" w:hAnsi="Times New Roman" w:cs="Times New Roman"/>
                      <w:color w:val="auto"/>
                      <w:lang w:val="en-US" w:eastAsia="zh-CN"/>
                    </w:rPr>
                    <w:t>.0</w:t>
                  </w:r>
                </w:p>
              </w:tc>
            </w:tr>
            <w:tr w14:paraId="2F8C57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044A4757">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3</w:t>
                  </w:r>
                </w:p>
              </w:tc>
              <w:tc>
                <w:tcPr>
                  <w:tcW w:w="1264" w:type="pct"/>
                  <w:noWrap w:val="0"/>
                  <w:vAlign w:val="center"/>
                </w:tcPr>
                <w:p w14:paraId="4FC5EDCB">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BOD</w:t>
                  </w:r>
                  <w:r>
                    <w:rPr>
                      <w:rFonts w:hint="default" w:ascii="Times New Roman" w:hAnsi="Times New Roman" w:cs="Times New Roman"/>
                      <w:color w:val="auto"/>
                      <w:vertAlign w:val="subscript"/>
                      <w:lang w:val="en-US" w:eastAsia="zh-CN"/>
                    </w:rPr>
                    <w:t>5</w:t>
                  </w:r>
                </w:p>
              </w:tc>
              <w:tc>
                <w:tcPr>
                  <w:tcW w:w="2973" w:type="pct"/>
                  <w:noWrap w:val="0"/>
                  <w:vAlign w:val="center"/>
                </w:tcPr>
                <w:p w14:paraId="7B132AC8">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4.0</w:t>
                  </w:r>
                </w:p>
              </w:tc>
            </w:tr>
            <w:tr w14:paraId="2838A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16C3973F">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4</w:t>
                  </w:r>
                </w:p>
              </w:tc>
              <w:tc>
                <w:tcPr>
                  <w:tcW w:w="1264" w:type="pct"/>
                  <w:noWrap w:val="0"/>
                  <w:vAlign w:val="center"/>
                </w:tcPr>
                <w:p w14:paraId="6E3C8045">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氨氮</w:t>
                  </w:r>
                </w:p>
              </w:tc>
              <w:tc>
                <w:tcPr>
                  <w:tcW w:w="2973" w:type="pct"/>
                  <w:noWrap w:val="0"/>
                  <w:vAlign w:val="center"/>
                </w:tcPr>
                <w:p w14:paraId="18A54ED4">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1.0</w:t>
                  </w:r>
                </w:p>
              </w:tc>
            </w:tr>
            <w:tr w14:paraId="15FBA9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3F099DCC">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5</w:t>
                  </w:r>
                </w:p>
              </w:tc>
              <w:tc>
                <w:tcPr>
                  <w:tcW w:w="1264" w:type="pct"/>
                  <w:noWrap w:val="0"/>
                  <w:vAlign w:val="center"/>
                </w:tcPr>
                <w:p w14:paraId="116BAC7D">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总磷</w:t>
                  </w:r>
                </w:p>
              </w:tc>
              <w:tc>
                <w:tcPr>
                  <w:tcW w:w="2973" w:type="pct"/>
                  <w:noWrap w:val="0"/>
                  <w:vAlign w:val="center"/>
                </w:tcPr>
                <w:p w14:paraId="5FCE33ED">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w:t>
                  </w:r>
                  <w:r>
                    <w:rPr>
                      <w:rFonts w:hint="eastAsia" w:ascii="Times New Roman" w:hAnsi="Times New Roman" w:cs="Times New Roman"/>
                      <w:color w:val="auto"/>
                      <w:lang w:val="en-US" w:eastAsia="zh-CN"/>
                    </w:rPr>
                    <w:t>2</w:t>
                  </w:r>
                </w:p>
              </w:tc>
            </w:tr>
            <w:tr w14:paraId="039AC0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019B9333">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6</w:t>
                  </w:r>
                </w:p>
              </w:tc>
              <w:tc>
                <w:tcPr>
                  <w:tcW w:w="1264" w:type="pct"/>
                  <w:noWrap w:val="0"/>
                  <w:vAlign w:val="center"/>
                </w:tcPr>
                <w:p w14:paraId="0569E428">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总氮</w:t>
                  </w:r>
                </w:p>
              </w:tc>
              <w:tc>
                <w:tcPr>
                  <w:tcW w:w="2973" w:type="pct"/>
                  <w:noWrap w:val="0"/>
                  <w:vAlign w:val="center"/>
                </w:tcPr>
                <w:p w14:paraId="5A9B3D28">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1.0</w:t>
                  </w:r>
                </w:p>
              </w:tc>
            </w:tr>
            <w:tr w14:paraId="3D2BC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7C2D0DAA">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7</w:t>
                  </w:r>
                </w:p>
              </w:tc>
              <w:tc>
                <w:tcPr>
                  <w:tcW w:w="1264" w:type="pct"/>
                  <w:noWrap w:val="0"/>
                  <w:vAlign w:val="center"/>
                </w:tcPr>
                <w:p w14:paraId="00C18DE0">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氟化物</w:t>
                  </w:r>
                </w:p>
              </w:tc>
              <w:tc>
                <w:tcPr>
                  <w:tcW w:w="2973" w:type="pct"/>
                  <w:noWrap w:val="0"/>
                  <w:vAlign w:val="center"/>
                </w:tcPr>
                <w:p w14:paraId="39CE0BD5">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r>
            <w:tr w14:paraId="65E073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3E18F336">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8</w:t>
                  </w:r>
                </w:p>
              </w:tc>
              <w:tc>
                <w:tcPr>
                  <w:tcW w:w="1264" w:type="pct"/>
                  <w:noWrap w:val="0"/>
                  <w:vAlign w:val="center"/>
                </w:tcPr>
                <w:p w14:paraId="431AB15A">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石油类</w:t>
                  </w:r>
                </w:p>
              </w:tc>
              <w:tc>
                <w:tcPr>
                  <w:tcW w:w="2973" w:type="pct"/>
                  <w:noWrap w:val="0"/>
                  <w:vAlign w:val="center"/>
                </w:tcPr>
                <w:p w14:paraId="658253A8">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≤0.05</w:t>
                  </w:r>
                </w:p>
              </w:tc>
            </w:tr>
            <w:tr w14:paraId="0BFA9E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32DEB920">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9</w:t>
                  </w:r>
                </w:p>
              </w:tc>
              <w:tc>
                <w:tcPr>
                  <w:tcW w:w="1264" w:type="pct"/>
                  <w:noWrap w:val="0"/>
                  <w:vAlign w:val="center"/>
                </w:tcPr>
                <w:p w14:paraId="5357A56B">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粪大肠菌群（个/L）</w:t>
                  </w:r>
                </w:p>
              </w:tc>
              <w:tc>
                <w:tcPr>
                  <w:tcW w:w="2973" w:type="pct"/>
                  <w:noWrap w:val="0"/>
                  <w:vAlign w:val="center"/>
                </w:tcPr>
                <w:p w14:paraId="11C191CD">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10000</w:t>
                  </w:r>
                </w:p>
              </w:tc>
            </w:tr>
            <w:tr w14:paraId="72BAF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28711762">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10</w:t>
                  </w:r>
                </w:p>
              </w:tc>
              <w:tc>
                <w:tcPr>
                  <w:tcW w:w="1264" w:type="pct"/>
                  <w:noWrap w:val="0"/>
                  <w:vAlign w:val="center"/>
                </w:tcPr>
                <w:p w14:paraId="3BED5BB3">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水温（℃）</w:t>
                  </w:r>
                </w:p>
              </w:tc>
              <w:tc>
                <w:tcPr>
                  <w:tcW w:w="2973" w:type="pct"/>
                  <w:noWrap w:val="0"/>
                  <w:vAlign w:val="center"/>
                </w:tcPr>
                <w:p w14:paraId="38137F06">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人为造成的环境水温变化应限制在：周平均最大温升≤1；周平均最大温降≤2</w:t>
                  </w:r>
                </w:p>
              </w:tc>
            </w:tr>
            <w:tr w14:paraId="21DA8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1DF7FD76">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11</w:t>
                  </w:r>
                </w:p>
              </w:tc>
              <w:tc>
                <w:tcPr>
                  <w:tcW w:w="1264" w:type="pct"/>
                  <w:noWrap w:val="0"/>
                  <w:vAlign w:val="center"/>
                </w:tcPr>
                <w:p w14:paraId="5AFF17B6">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氰化物</w:t>
                  </w:r>
                </w:p>
              </w:tc>
              <w:tc>
                <w:tcPr>
                  <w:tcW w:w="2973" w:type="pct"/>
                  <w:noWrap w:val="0"/>
                  <w:vAlign w:val="center"/>
                </w:tcPr>
                <w:p w14:paraId="5211A96D">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0.2</w:t>
                  </w:r>
                </w:p>
              </w:tc>
            </w:tr>
            <w:tr w14:paraId="11CAE3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71ECA98F">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12</w:t>
                  </w:r>
                </w:p>
              </w:tc>
              <w:tc>
                <w:tcPr>
                  <w:tcW w:w="1264" w:type="pct"/>
                  <w:noWrap w:val="0"/>
                  <w:vAlign w:val="center"/>
                </w:tcPr>
                <w:p w14:paraId="118B018C">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硒</w:t>
                  </w:r>
                </w:p>
              </w:tc>
              <w:tc>
                <w:tcPr>
                  <w:tcW w:w="2973" w:type="pct"/>
                  <w:noWrap w:val="0"/>
                  <w:vAlign w:val="center"/>
                </w:tcPr>
                <w:p w14:paraId="4B9C4E97">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≤0.01</w:t>
                  </w:r>
                </w:p>
              </w:tc>
            </w:tr>
            <w:tr w14:paraId="04BDF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12C7C4CD">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13</w:t>
                  </w:r>
                </w:p>
              </w:tc>
              <w:tc>
                <w:tcPr>
                  <w:tcW w:w="1264" w:type="pct"/>
                  <w:noWrap w:val="0"/>
                  <w:vAlign w:val="center"/>
                </w:tcPr>
                <w:p w14:paraId="10401958">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硫化物</w:t>
                  </w:r>
                </w:p>
              </w:tc>
              <w:tc>
                <w:tcPr>
                  <w:tcW w:w="2973" w:type="pct"/>
                  <w:noWrap w:val="0"/>
                  <w:vAlign w:val="center"/>
                </w:tcPr>
                <w:p w14:paraId="3E142EB9">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≤0.</w:t>
                  </w:r>
                  <w:r>
                    <w:rPr>
                      <w:rFonts w:hint="eastAsia" w:ascii="Times New Roman" w:hAnsi="Times New Roman" w:cs="Times New Roman"/>
                      <w:color w:val="auto"/>
                      <w:lang w:val="en-US" w:eastAsia="zh-CN"/>
                    </w:rPr>
                    <w:t>2</w:t>
                  </w:r>
                </w:p>
              </w:tc>
            </w:tr>
            <w:tr w14:paraId="7283C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2494491A">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14</w:t>
                  </w:r>
                </w:p>
              </w:tc>
              <w:tc>
                <w:tcPr>
                  <w:tcW w:w="1264" w:type="pct"/>
                  <w:noWrap w:val="0"/>
                  <w:vAlign w:val="center"/>
                </w:tcPr>
                <w:p w14:paraId="202E3F37">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挥发酚</w:t>
                  </w:r>
                </w:p>
              </w:tc>
              <w:tc>
                <w:tcPr>
                  <w:tcW w:w="2973" w:type="pct"/>
                  <w:noWrap w:val="0"/>
                  <w:vAlign w:val="center"/>
                </w:tcPr>
                <w:p w14:paraId="2C6DAE2B">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≤0.00</w:t>
                  </w:r>
                  <w:r>
                    <w:rPr>
                      <w:rFonts w:hint="eastAsia" w:ascii="Times New Roman" w:hAnsi="Times New Roman" w:cs="Times New Roman"/>
                      <w:color w:val="auto"/>
                      <w:lang w:val="en-US" w:eastAsia="zh-CN"/>
                    </w:rPr>
                    <w:t>5</w:t>
                  </w:r>
                </w:p>
              </w:tc>
            </w:tr>
            <w:tr w14:paraId="654597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797FF143">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15</w:t>
                  </w:r>
                </w:p>
              </w:tc>
              <w:tc>
                <w:tcPr>
                  <w:tcW w:w="1264" w:type="pct"/>
                  <w:noWrap w:val="0"/>
                  <w:vAlign w:val="center"/>
                </w:tcPr>
                <w:p w14:paraId="09AD690C">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阴离子表面活性剂</w:t>
                  </w:r>
                </w:p>
              </w:tc>
              <w:tc>
                <w:tcPr>
                  <w:tcW w:w="2973" w:type="pct"/>
                  <w:noWrap w:val="0"/>
                  <w:vAlign w:val="center"/>
                </w:tcPr>
                <w:p w14:paraId="6FEACCE0">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≤0.2</w:t>
                  </w:r>
                </w:p>
              </w:tc>
            </w:tr>
            <w:tr w14:paraId="25ECA2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016CF20C">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16</w:t>
                  </w:r>
                </w:p>
              </w:tc>
              <w:tc>
                <w:tcPr>
                  <w:tcW w:w="1264" w:type="pct"/>
                  <w:noWrap w:val="0"/>
                  <w:vAlign w:val="center"/>
                </w:tcPr>
                <w:p w14:paraId="6FD848AA">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溶解氧（无量纲）</w:t>
                  </w:r>
                </w:p>
              </w:tc>
              <w:tc>
                <w:tcPr>
                  <w:tcW w:w="2973" w:type="pct"/>
                  <w:noWrap w:val="0"/>
                  <w:vAlign w:val="center"/>
                </w:tcPr>
                <w:p w14:paraId="614BB7E5">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5</w:t>
                  </w:r>
                </w:p>
              </w:tc>
            </w:tr>
            <w:tr w14:paraId="0D096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55A589B7">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17</w:t>
                  </w:r>
                </w:p>
              </w:tc>
              <w:tc>
                <w:tcPr>
                  <w:tcW w:w="1264" w:type="pct"/>
                  <w:noWrap w:val="0"/>
                  <w:vAlign w:val="center"/>
                </w:tcPr>
                <w:p w14:paraId="43CEE11F">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高锰酸钾盐指数</w:t>
                  </w:r>
                </w:p>
              </w:tc>
              <w:tc>
                <w:tcPr>
                  <w:tcW w:w="2973" w:type="pct"/>
                  <w:noWrap w:val="0"/>
                  <w:vAlign w:val="center"/>
                </w:tcPr>
                <w:p w14:paraId="10BA6609">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w:t>
                  </w:r>
                  <w:r>
                    <w:rPr>
                      <w:rFonts w:hint="eastAsia" w:ascii="Times New Roman" w:hAnsi="Times New Roman" w:cs="Times New Roman"/>
                      <w:color w:val="auto"/>
                      <w:lang w:val="en-US" w:eastAsia="zh-CN"/>
                    </w:rPr>
                    <w:t>6</w:t>
                  </w:r>
                </w:p>
              </w:tc>
            </w:tr>
            <w:tr w14:paraId="4BACC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194AE59B">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18</w:t>
                  </w:r>
                </w:p>
              </w:tc>
              <w:tc>
                <w:tcPr>
                  <w:tcW w:w="1264" w:type="pct"/>
                  <w:noWrap w:val="0"/>
                  <w:vAlign w:val="center"/>
                </w:tcPr>
                <w:p w14:paraId="4ED8B6D1">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铜</w:t>
                  </w:r>
                </w:p>
              </w:tc>
              <w:tc>
                <w:tcPr>
                  <w:tcW w:w="2973" w:type="pct"/>
                  <w:noWrap w:val="0"/>
                  <w:vAlign w:val="center"/>
                </w:tcPr>
                <w:p w14:paraId="5386FB9E">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≤1.0</w:t>
                  </w:r>
                </w:p>
              </w:tc>
            </w:tr>
            <w:tr w14:paraId="6C1ED29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0BB6926E">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19</w:t>
                  </w:r>
                </w:p>
              </w:tc>
              <w:tc>
                <w:tcPr>
                  <w:tcW w:w="1264" w:type="pct"/>
                  <w:noWrap w:val="0"/>
                  <w:vAlign w:val="center"/>
                </w:tcPr>
                <w:p w14:paraId="55F77D2F">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锌</w:t>
                  </w:r>
                </w:p>
              </w:tc>
              <w:tc>
                <w:tcPr>
                  <w:tcW w:w="2973" w:type="pct"/>
                  <w:noWrap w:val="0"/>
                  <w:vAlign w:val="center"/>
                </w:tcPr>
                <w:p w14:paraId="5490AB0A">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≤1.0</w:t>
                  </w:r>
                </w:p>
              </w:tc>
            </w:tr>
            <w:tr w14:paraId="09CB31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7ED5FE04">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20</w:t>
                  </w:r>
                </w:p>
              </w:tc>
              <w:tc>
                <w:tcPr>
                  <w:tcW w:w="1264" w:type="pct"/>
                  <w:noWrap w:val="0"/>
                  <w:vAlign w:val="center"/>
                </w:tcPr>
                <w:p w14:paraId="7282568C">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镉</w:t>
                  </w:r>
                </w:p>
              </w:tc>
              <w:tc>
                <w:tcPr>
                  <w:tcW w:w="2973" w:type="pct"/>
                  <w:noWrap w:val="0"/>
                  <w:vAlign w:val="center"/>
                </w:tcPr>
                <w:p w14:paraId="2990C57F">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≤0.005</w:t>
                  </w:r>
                </w:p>
              </w:tc>
            </w:tr>
            <w:tr w14:paraId="0D88B6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62A7701E">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21</w:t>
                  </w:r>
                </w:p>
              </w:tc>
              <w:tc>
                <w:tcPr>
                  <w:tcW w:w="1264" w:type="pct"/>
                  <w:noWrap w:val="0"/>
                  <w:vAlign w:val="center"/>
                </w:tcPr>
                <w:p w14:paraId="164B112E">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铅</w:t>
                  </w:r>
                </w:p>
              </w:tc>
              <w:tc>
                <w:tcPr>
                  <w:tcW w:w="2973" w:type="pct"/>
                  <w:noWrap w:val="0"/>
                  <w:vAlign w:val="center"/>
                </w:tcPr>
                <w:p w14:paraId="5E6F9E8D">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≤0.0</w:t>
                  </w:r>
                  <w:r>
                    <w:rPr>
                      <w:rFonts w:hint="eastAsia" w:ascii="Times New Roman" w:hAnsi="Times New Roman" w:cs="Times New Roman"/>
                      <w:color w:val="auto"/>
                      <w:lang w:val="en-US" w:eastAsia="zh-CN"/>
                    </w:rPr>
                    <w:t>5</w:t>
                  </w:r>
                </w:p>
              </w:tc>
            </w:tr>
            <w:tr w14:paraId="1FD199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5FBCFB4D">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22</w:t>
                  </w:r>
                </w:p>
              </w:tc>
              <w:tc>
                <w:tcPr>
                  <w:tcW w:w="1264" w:type="pct"/>
                  <w:noWrap w:val="0"/>
                  <w:vAlign w:val="center"/>
                </w:tcPr>
                <w:p w14:paraId="2B1BA0A8">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六价铬</w:t>
                  </w:r>
                </w:p>
              </w:tc>
              <w:tc>
                <w:tcPr>
                  <w:tcW w:w="2973" w:type="pct"/>
                  <w:noWrap w:val="0"/>
                  <w:vAlign w:val="center"/>
                </w:tcPr>
                <w:p w14:paraId="3DA2A202">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≤0.05</w:t>
                  </w:r>
                </w:p>
              </w:tc>
            </w:tr>
            <w:tr w14:paraId="759C8D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54F16421">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23</w:t>
                  </w:r>
                </w:p>
              </w:tc>
              <w:tc>
                <w:tcPr>
                  <w:tcW w:w="1264" w:type="pct"/>
                  <w:noWrap w:val="0"/>
                  <w:vAlign w:val="center"/>
                </w:tcPr>
                <w:p w14:paraId="3A9D91C8">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汞</w:t>
                  </w:r>
                </w:p>
              </w:tc>
              <w:tc>
                <w:tcPr>
                  <w:tcW w:w="2973" w:type="pct"/>
                  <w:noWrap w:val="0"/>
                  <w:vAlign w:val="center"/>
                </w:tcPr>
                <w:p w14:paraId="72B4F61F">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≤0.000</w:t>
                  </w:r>
                  <w:r>
                    <w:rPr>
                      <w:rFonts w:hint="eastAsia" w:ascii="Times New Roman" w:hAnsi="Times New Roman" w:cs="Times New Roman"/>
                      <w:color w:val="auto"/>
                      <w:lang w:val="en-US" w:eastAsia="zh-CN"/>
                    </w:rPr>
                    <w:t>1</w:t>
                  </w:r>
                </w:p>
              </w:tc>
            </w:tr>
            <w:tr w14:paraId="187599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62" w:type="pct"/>
                  <w:noWrap w:val="0"/>
                  <w:vAlign w:val="center"/>
                </w:tcPr>
                <w:p w14:paraId="4B38C76A">
                  <w:pPr>
                    <w:pStyle w:val="86"/>
                    <w:rPr>
                      <w:rFonts w:hint="default" w:ascii="Times New Roman" w:hAnsi="Times New Roman" w:cs="Times New Roman"/>
                      <w:color w:val="auto"/>
                      <w:lang w:val="en-US" w:eastAsia="zh-CN"/>
                    </w:rPr>
                  </w:pPr>
                  <w:r>
                    <w:rPr>
                      <w:rFonts w:hint="default" w:ascii="Times New Roman" w:hAnsi="Times New Roman" w:cs="Times New Roman"/>
                      <w:color w:val="auto"/>
                      <w:lang w:val="en-US" w:eastAsia="zh-CN"/>
                    </w:rPr>
                    <w:t>24</w:t>
                  </w:r>
                </w:p>
              </w:tc>
              <w:tc>
                <w:tcPr>
                  <w:tcW w:w="1264" w:type="pct"/>
                  <w:noWrap w:val="0"/>
                  <w:vAlign w:val="center"/>
                </w:tcPr>
                <w:p w14:paraId="54F217BA">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砷</w:t>
                  </w:r>
                </w:p>
              </w:tc>
              <w:tc>
                <w:tcPr>
                  <w:tcW w:w="2973" w:type="pct"/>
                  <w:noWrap w:val="0"/>
                  <w:vAlign w:val="center"/>
                </w:tcPr>
                <w:p w14:paraId="3DE6D7BA">
                  <w:pPr>
                    <w:pStyle w:val="86"/>
                    <w:rPr>
                      <w:rFonts w:hint="default" w:ascii="Times New Roman" w:hAnsi="Times New Roman" w:eastAsia="宋体" w:cs="Times New Roman"/>
                      <w:color w:val="auto"/>
                      <w:kern w:val="2"/>
                      <w:sz w:val="21"/>
                      <w:szCs w:val="24"/>
                      <w:lang w:val="en-US" w:eastAsia="zh-CN" w:bidi="ar-SA"/>
                    </w:rPr>
                  </w:pPr>
                  <w:r>
                    <w:rPr>
                      <w:rFonts w:hint="default" w:ascii="Times New Roman" w:hAnsi="Times New Roman" w:cs="Times New Roman"/>
                      <w:color w:val="auto"/>
                      <w:lang w:val="en-US" w:eastAsia="zh-CN"/>
                    </w:rPr>
                    <w:t>≤0.05</w:t>
                  </w:r>
                </w:p>
              </w:tc>
            </w:tr>
          </w:tbl>
          <w:p w14:paraId="08E364A8">
            <w:pPr>
              <w:pStyle w:val="71"/>
              <w:adjustRightInd w:val="0"/>
              <w:ind w:firstLine="496" w:firstLineChars="0"/>
              <w:jc w:val="both"/>
              <w:rPr>
                <w:b/>
                <w:bCs/>
                <w:lang w:val="en-US"/>
              </w:rPr>
            </w:pPr>
            <w:r>
              <w:rPr>
                <w:rFonts w:hint="eastAsia"/>
                <w:b/>
                <w:bCs/>
                <w:lang w:val="en-US"/>
              </w:rPr>
              <w:t>（3）地下水环境</w:t>
            </w:r>
          </w:p>
          <w:p w14:paraId="660D3A39">
            <w:pPr>
              <w:pStyle w:val="71"/>
              <w:adjustRightInd w:val="0"/>
              <w:ind w:firstLine="496" w:firstLineChars="0"/>
              <w:jc w:val="both"/>
              <w:rPr>
                <w:lang w:val="en-US"/>
              </w:rPr>
            </w:pPr>
            <w:r>
              <w:rPr>
                <w:rFonts w:hint="eastAsia"/>
                <w:lang w:val="en-US"/>
              </w:rPr>
              <w:t>项目区地下水环境执行《地下水质量标准》（</w:t>
            </w:r>
            <w:r>
              <w:rPr>
                <w:lang w:val="en-US"/>
              </w:rPr>
              <w:t>GB/T14848-2017</w:t>
            </w:r>
            <w:r>
              <w:rPr>
                <w:rFonts w:hint="eastAsia"/>
                <w:lang w:val="en-US"/>
              </w:rPr>
              <w:t>）</w:t>
            </w:r>
            <w:r>
              <w:rPr>
                <w:lang w:val="en-US"/>
              </w:rPr>
              <w:t>III</w:t>
            </w:r>
            <w:r>
              <w:rPr>
                <w:rFonts w:hint="eastAsia"/>
                <w:lang w:val="en-US"/>
              </w:rPr>
              <w:t>类标准，标准限值见下表。</w:t>
            </w:r>
          </w:p>
          <w:p w14:paraId="29449ADB">
            <w:pPr>
              <w:pStyle w:val="71"/>
              <w:adjustRightInd w:val="0"/>
              <w:spacing w:line="240" w:lineRule="auto"/>
              <w:ind w:firstLine="0" w:firstLineChars="0"/>
              <w:jc w:val="center"/>
              <w:rPr>
                <w:b/>
                <w:bCs/>
                <w:sz w:val="24"/>
                <w:szCs w:val="24"/>
                <w:lang w:val="en-US"/>
              </w:rPr>
            </w:pPr>
            <w:r>
              <w:rPr>
                <w:rFonts w:hint="eastAsia"/>
                <w:b/>
                <w:bCs/>
                <w:sz w:val="24"/>
                <w:szCs w:val="24"/>
                <w:lang w:val="en-US"/>
              </w:rPr>
              <w:t>表3-</w:t>
            </w:r>
            <w:r>
              <w:rPr>
                <w:rFonts w:hint="eastAsia"/>
                <w:b/>
                <w:bCs/>
                <w:sz w:val="24"/>
                <w:szCs w:val="24"/>
                <w:lang w:val="en-US" w:eastAsia="zh-CN"/>
              </w:rPr>
              <w:t xml:space="preserve">19 </w:t>
            </w:r>
            <w:r>
              <w:rPr>
                <w:rFonts w:hint="eastAsia"/>
                <w:b/>
                <w:bCs/>
                <w:sz w:val="24"/>
                <w:szCs w:val="24"/>
                <w:lang w:val="en-US"/>
              </w:rPr>
              <w:t xml:space="preserve"> 地下水质量标准单位：mg/L</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3"/>
              <w:gridCol w:w="2698"/>
              <w:gridCol w:w="1218"/>
              <w:gridCol w:w="459"/>
              <w:gridCol w:w="1439"/>
              <w:gridCol w:w="1229"/>
            </w:tblGrid>
            <w:tr w14:paraId="39977D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vAlign w:val="center"/>
                </w:tcPr>
                <w:p w14:paraId="69CD03FF">
                  <w:pPr>
                    <w:pStyle w:val="86"/>
                    <w:rPr>
                      <w:b/>
                      <w:bCs/>
                    </w:rPr>
                  </w:pPr>
                  <w:r>
                    <w:rPr>
                      <w:rFonts w:hint="eastAsia"/>
                      <w:b/>
                      <w:bCs/>
                    </w:rPr>
                    <w:t>序号</w:t>
                  </w:r>
                </w:p>
              </w:tc>
              <w:tc>
                <w:tcPr>
                  <w:tcW w:w="2698" w:type="dxa"/>
                  <w:vAlign w:val="center"/>
                </w:tcPr>
                <w:p w14:paraId="7A8AEE09">
                  <w:pPr>
                    <w:pStyle w:val="86"/>
                    <w:rPr>
                      <w:b/>
                      <w:bCs/>
                    </w:rPr>
                  </w:pPr>
                  <w:r>
                    <w:rPr>
                      <w:rFonts w:hint="eastAsia"/>
                      <w:b/>
                      <w:bCs/>
                    </w:rPr>
                    <w:t>水质指标</w:t>
                  </w:r>
                </w:p>
              </w:tc>
              <w:tc>
                <w:tcPr>
                  <w:tcW w:w="1218" w:type="dxa"/>
                  <w:vAlign w:val="center"/>
                </w:tcPr>
                <w:p w14:paraId="6D1A7D9F">
                  <w:pPr>
                    <w:pStyle w:val="86"/>
                    <w:rPr>
                      <w:b/>
                      <w:bCs/>
                    </w:rPr>
                  </w:pPr>
                  <w:r>
                    <w:rPr>
                      <w:b/>
                      <w:bCs/>
                    </w:rPr>
                    <w:t>III</w:t>
                  </w:r>
                  <w:r>
                    <w:rPr>
                      <w:rFonts w:hint="eastAsia"/>
                      <w:b/>
                      <w:bCs/>
                    </w:rPr>
                    <w:t>类标准</w:t>
                  </w:r>
                </w:p>
              </w:tc>
              <w:tc>
                <w:tcPr>
                  <w:tcW w:w="459" w:type="dxa"/>
                  <w:vAlign w:val="center"/>
                </w:tcPr>
                <w:p w14:paraId="0F85C884">
                  <w:pPr>
                    <w:pStyle w:val="86"/>
                    <w:rPr>
                      <w:b/>
                      <w:bCs/>
                    </w:rPr>
                  </w:pPr>
                  <w:r>
                    <w:rPr>
                      <w:rFonts w:hint="eastAsia"/>
                      <w:b/>
                      <w:bCs/>
                    </w:rPr>
                    <w:t>序号</w:t>
                  </w:r>
                </w:p>
              </w:tc>
              <w:tc>
                <w:tcPr>
                  <w:tcW w:w="1439" w:type="dxa"/>
                  <w:vAlign w:val="center"/>
                </w:tcPr>
                <w:p w14:paraId="3A6AE00A">
                  <w:pPr>
                    <w:pStyle w:val="86"/>
                    <w:rPr>
                      <w:b/>
                      <w:bCs/>
                    </w:rPr>
                  </w:pPr>
                  <w:r>
                    <w:rPr>
                      <w:rFonts w:hint="eastAsia"/>
                      <w:b/>
                      <w:bCs/>
                    </w:rPr>
                    <w:t>水质指标</w:t>
                  </w:r>
                </w:p>
              </w:tc>
              <w:tc>
                <w:tcPr>
                  <w:tcW w:w="1229" w:type="dxa"/>
                  <w:vAlign w:val="center"/>
                </w:tcPr>
                <w:p w14:paraId="0E482CD6">
                  <w:pPr>
                    <w:pStyle w:val="86"/>
                    <w:rPr>
                      <w:b/>
                      <w:bCs/>
                    </w:rPr>
                  </w:pPr>
                  <w:r>
                    <w:rPr>
                      <w:b/>
                      <w:bCs/>
                    </w:rPr>
                    <w:t>III</w:t>
                  </w:r>
                  <w:r>
                    <w:rPr>
                      <w:rFonts w:hint="eastAsia"/>
                      <w:b/>
                      <w:bCs/>
                    </w:rPr>
                    <w:t>类标准</w:t>
                  </w:r>
                </w:p>
              </w:tc>
            </w:tr>
            <w:tr w14:paraId="1DD602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dxa"/>
                </w:tcPr>
                <w:p w14:paraId="53F8CCC0">
                  <w:pPr>
                    <w:pStyle w:val="86"/>
                  </w:pPr>
                  <w:r>
                    <w:rPr>
                      <w:rFonts w:hint="eastAsia"/>
                    </w:rPr>
                    <w:t>1</w:t>
                  </w:r>
                </w:p>
              </w:tc>
              <w:tc>
                <w:tcPr>
                  <w:tcW w:w="2698" w:type="dxa"/>
                </w:tcPr>
                <w:p w14:paraId="79D22604">
                  <w:pPr>
                    <w:pStyle w:val="86"/>
                  </w:pPr>
                  <w:r>
                    <w:rPr>
                      <w:rFonts w:hint="eastAsia"/>
                    </w:rPr>
                    <w:t>色度（度）</w:t>
                  </w:r>
                </w:p>
              </w:tc>
              <w:tc>
                <w:tcPr>
                  <w:tcW w:w="1218" w:type="dxa"/>
                </w:tcPr>
                <w:p w14:paraId="29357CB8">
                  <w:pPr>
                    <w:pStyle w:val="86"/>
                  </w:pPr>
                  <w:r>
                    <w:rPr>
                      <w:rFonts w:hint="eastAsia"/>
                    </w:rPr>
                    <w:t>≤15</w:t>
                  </w:r>
                </w:p>
              </w:tc>
              <w:tc>
                <w:tcPr>
                  <w:tcW w:w="459" w:type="dxa"/>
                </w:tcPr>
                <w:p w14:paraId="21541404">
                  <w:pPr>
                    <w:pStyle w:val="86"/>
                  </w:pPr>
                  <w:r>
                    <w:rPr>
                      <w:rFonts w:hint="eastAsia"/>
                    </w:rPr>
                    <w:t>20</w:t>
                  </w:r>
                </w:p>
              </w:tc>
              <w:tc>
                <w:tcPr>
                  <w:tcW w:w="1439" w:type="dxa"/>
                </w:tcPr>
                <w:p w14:paraId="5C8A01DB">
                  <w:pPr>
                    <w:pStyle w:val="86"/>
                  </w:pPr>
                  <w:r>
                    <w:rPr>
                      <w:rFonts w:hint="eastAsia"/>
                    </w:rPr>
                    <w:t>挥发酚</w:t>
                  </w:r>
                </w:p>
              </w:tc>
              <w:tc>
                <w:tcPr>
                  <w:tcW w:w="1229" w:type="dxa"/>
                </w:tcPr>
                <w:p w14:paraId="6B4CDEF1">
                  <w:pPr>
                    <w:pStyle w:val="86"/>
                  </w:pPr>
                  <w:r>
                    <w:rPr>
                      <w:rFonts w:hint="eastAsia"/>
                    </w:rPr>
                    <w:t>≤0.002</w:t>
                  </w:r>
                </w:p>
              </w:tc>
            </w:tr>
            <w:tr w14:paraId="0C976B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27CDD097">
                  <w:pPr>
                    <w:pStyle w:val="86"/>
                  </w:pPr>
                  <w:r>
                    <w:rPr>
                      <w:rFonts w:hint="eastAsia"/>
                    </w:rPr>
                    <w:t>2</w:t>
                  </w:r>
                </w:p>
              </w:tc>
              <w:tc>
                <w:tcPr>
                  <w:tcW w:w="2698" w:type="dxa"/>
                </w:tcPr>
                <w:p w14:paraId="256DF039">
                  <w:pPr>
                    <w:pStyle w:val="86"/>
                  </w:pPr>
                  <w:r>
                    <w:rPr>
                      <w:rFonts w:hint="eastAsia"/>
                    </w:rPr>
                    <w:t>肉眼可见物</w:t>
                  </w:r>
                </w:p>
              </w:tc>
              <w:tc>
                <w:tcPr>
                  <w:tcW w:w="1218" w:type="dxa"/>
                </w:tcPr>
                <w:p w14:paraId="5A2FB218">
                  <w:pPr>
                    <w:pStyle w:val="86"/>
                  </w:pPr>
                  <w:r>
                    <w:rPr>
                      <w:rFonts w:hint="eastAsia"/>
                    </w:rPr>
                    <w:t>无</w:t>
                  </w:r>
                </w:p>
              </w:tc>
              <w:tc>
                <w:tcPr>
                  <w:tcW w:w="459" w:type="dxa"/>
                </w:tcPr>
                <w:p w14:paraId="62E791E5">
                  <w:pPr>
                    <w:pStyle w:val="86"/>
                  </w:pPr>
                  <w:r>
                    <w:rPr>
                      <w:rFonts w:hint="eastAsia"/>
                    </w:rPr>
                    <w:t>21</w:t>
                  </w:r>
                </w:p>
              </w:tc>
              <w:tc>
                <w:tcPr>
                  <w:tcW w:w="1439" w:type="dxa"/>
                </w:tcPr>
                <w:p w14:paraId="5B46E0D6">
                  <w:pPr>
                    <w:pStyle w:val="86"/>
                  </w:pPr>
                  <w:r>
                    <w:rPr>
                      <w:rFonts w:hint="eastAsia"/>
                    </w:rPr>
                    <w:t>总硬度</w:t>
                  </w:r>
                </w:p>
              </w:tc>
              <w:tc>
                <w:tcPr>
                  <w:tcW w:w="1229" w:type="dxa"/>
                </w:tcPr>
                <w:p w14:paraId="0870A32B">
                  <w:pPr>
                    <w:pStyle w:val="86"/>
                  </w:pPr>
                  <w:r>
                    <w:rPr>
                      <w:rFonts w:hint="eastAsia"/>
                    </w:rPr>
                    <w:t>≤450</w:t>
                  </w:r>
                </w:p>
              </w:tc>
            </w:tr>
            <w:tr w14:paraId="2775CD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5B4C62FF">
                  <w:pPr>
                    <w:pStyle w:val="86"/>
                  </w:pPr>
                  <w:r>
                    <w:rPr>
                      <w:rFonts w:hint="eastAsia"/>
                    </w:rPr>
                    <w:t>3</w:t>
                  </w:r>
                </w:p>
              </w:tc>
              <w:tc>
                <w:tcPr>
                  <w:tcW w:w="2698" w:type="dxa"/>
                </w:tcPr>
                <w:p w14:paraId="62D83BDB">
                  <w:pPr>
                    <w:pStyle w:val="86"/>
                  </w:pPr>
                  <w:r>
                    <w:rPr>
                      <w:rFonts w:hint="eastAsia"/>
                    </w:rPr>
                    <w:t>pH（无量纲）</w:t>
                  </w:r>
                </w:p>
              </w:tc>
              <w:tc>
                <w:tcPr>
                  <w:tcW w:w="1218" w:type="dxa"/>
                </w:tcPr>
                <w:p w14:paraId="7147EC5D">
                  <w:pPr>
                    <w:pStyle w:val="86"/>
                  </w:pPr>
                  <w:r>
                    <w:rPr>
                      <w:rFonts w:hint="eastAsia"/>
                    </w:rPr>
                    <w:t>6.5-8.5</w:t>
                  </w:r>
                </w:p>
              </w:tc>
              <w:tc>
                <w:tcPr>
                  <w:tcW w:w="459" w:type="dxa"/>
                </w:tcPr>
                <w:p w14:paraId="4792E16E">
                  <w:pPr>
                    <w:pStyle w:val="86"/>
                  </w:pPr>
                  <w:r>
                    <w:rPr>
                      <w:rFonts w:hint="eastAsia"/>
                    </w:rPr>
                    <w:t>22</w:t>
                  </w:r>
                </w:p>
              </w:tc>
              <w:tc>
                <w:tcPr>
                  <w:tcW w:w="1439" w:type="dxa"/>
                </w:tcPr>
                <w:p w14:paraId="4CF93012">
                  <w:pPr>
                    <w:pStyle w:val="86"/>
                  </w:pPr>
                  <w:r>
                    <w:rPr>
                      <w:rFonts w:hint="eastAsia"/>
                    </w:rPr>
                    <w:t>氯化物</w:t>
                  </w:r>
                </w:p>
              </w:tc>
              <w:tc>
                <w:tcPr>
                  <w:tcW w:w="1229" w:type="dxa"/>
                </w:tcPr>
                <w:p w14:paraId="30E79E89">
                  <w:pPr>
                    <w:pStyle w:val="86"/>
                  </w:pPr>
                  <w:r>
                    <w:rPr>
                      <w:rFonts w:hint="eastAsia"/>
                    </w:rPr>
                    <w:t>≤250</w:t>
                  </w:r>
                </w:p>
              </w:tc>
            </w:tr>
            <w:tr w14:paraId="422DDD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62FECEC0">
                  <w:pPr>
                    <w:pStyle w:val="86"/>
                  </w:pPr>
                  <w:r>
                    <w:rPr>
                      <w:rFonts w:hint="eastAsia"/>
                    </w:rPr>
                    <w:t>4</w:t>
                  </w:r>
                </w:p>
              </w:tc>
              <w:tc>
                <w:tcPr>
                  <w:tcW w:w="2698" w:type="dxa"/>
                </w:tcPr>
                <w:p w14:paraId="2D0979DE">
                  <w:pPr>
                    <w:pStyle w:val="86"/>
                  </w:pPr>
                  <w:r>
                    <w:rPr>
                      <w:rFonts w:hint="eastAsia"/>
                    </w:rPr>
                    <w:t>硝酸盐</w:t>
                  </w:r>
                </w:p>
              </w:tc>
              <w:tc>
                <w:tcPr>
                  <w:tcW w:w="1218" w:type="dxa"/>
                </w:tcPr>
                <w:p w14:paraId="72765231">
                  <w:pPr>
                    <w:pStyle w:val="86"/>
                  </w:pPr>
                  <w:r>
                    <w:rPr>
                      <w:rFonts w:hint="eastAsia"/>
                    </w:rPr>
                    <w:t>≤20</w:t>
                  </w:r>
                </w:p>
              </w:tc>
              <w:tc>
                <w:tcPr>
                  <w:tcW w:w="459" w:type="dxa"/>
                </w:tcPr>
                <w:p w14:paraId="074DA6E3">
                  <w:pPr>
                    <w:pStyle w:val="86"/>
                  </w:pPr>
                  <w:r>
                    <w:rPr>
                      <w:rFonts w:hint="eastAsia"/>
                    </w:rPr>
                    <w:t>23</w:t>
                  </w:r>
                </w:p>
              </w:tc>
              <w:tc>
                <w:tcPr>
                  <w:tcW w:w="1439" w:type="dxa"/>
                </w:tcPr>
                <w:p w14:paraId="6B28D4D8">
                  <w:pPr>
                    <w:pStyle w:val="86"/>
                  </w:pPr>
                  <w:r>
                    <w:rPr>
                      <w:rFonts w:hint="eastAsia"/>
                    </w:rPr>
                    <w:t>氰化物</w:t>
                  </w:r>
                </w:p>
              </w:tc>
              <w:tc>
                <w:tcPr>
                  <w:tcW w:w="1229" w:type="dxa"/>
                </w:tcPr>
                <w:p w14:paraId="0C4F6F95">
                  <w:pPr>
                    <w:pStyle w:val="86"/>
                  </w:pPr>
                  <w:r>
                    <w:rPr>
                      <w:rFonts w:hint="eastAsia"/>
                    </w:rPr>
                    <w:t>≤0.005</w:t>
                  </w:r>
                </w:p>
              </w:tc>
            </w:tr>
            <w:tr w14:paraId="016A59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trPr>
              <w:tc>
                <w:tcPr>
                  <w:tcW w:w="503" w:type="dxa"/>
                </w:tcPr>
                <w:p w14:paraId="277C63E6">
                  <w:pPr>
                    <w:pStyle w:val="86"/>
                  </w:pPr>
                  <w:r>
                    <w:rPr>
                      <w:rFonts w:hint="eastAsia"/>
                    </w:rPr>
                    <w:t>5</w:t>
                  </w:r>
                </w:p>
              </w:tc>
              <w:tc>
                <w:tcPr>
                  <w:tcW w:w="2698" w:type="dxa"/>
                </w:tcPr>
                <w:p w14:paraId="0DCD7F6E">
                  <w:pPr>
                    <w:pStyle w:val="86"/>
                  </w:pPr>
                  <w:r>
                    <w:rPr>
                      <w:rFonts w:hint="eastAsia"/>
                    </w:rPr>
                    <w:t>溶解性总固体</w:t>
                  </w:r>
                </w:p>
              </w:tc>
              <w:tc>
                <w:tcPr>
                  <w:tcW w:w="1218" w:type="dxa"/>
                </w:tcPr>
                <w:p w14:paraId="51F8BB40">
                  <w:pPr>
                    <w:pStyle w:val="86"/>
                  </w:pPr>
                  <w:r>
                    <w:rPr>
                      <w:rFonts w:hint="eastAsia"/>
                    </w:rPr>
                    <w:t>1000</w:t>
                  </w:r>
                </w:p>
              </w:tc>
              <w:tc>
                <w:tcPr>
                  <w:tcW w:w="459" w:type="dxa"/>
                </w:tcPr>
                <w:p w14:paraId="579648E5">
                  <w:pPr>
                    <w:pStyle w:val="86"/>
                  </w:pPr>
                  <w:r>
                    <w:rPr>
                      <w:rFonts w:hint="eastAsia"/>
                    </w:rPr>
                    <w:t>24</w:t>
                  </w:r>
                </w:p>
              </w:tc>
              <w:tc>
                <w:tcPr>
                  <w:tcW w:w="1439" w:type="dxa"/>
                </w:tcPr>
                <w:p w14:paraId="223541CA">
                  <w:pPr>
                    <w:pStyle w:val="86"/>
                  </w:pPr>
                  <w:r>
                    <w:rPr>
                      <w:rFonts w:hint="eastAsia"/>
                    </w:rPr>
                    <w:t>氨氮</w:t>
                  </w:r>
                </w:p>
              </w:tc>
              <w:tc>
                <w:tcPr>
                  <w:tcW w:w="1229" w:type="dxa"/>
                </w:tcPr>
                <w:p w14:paraId="4E2A831A">
                  <w:pPr>
                    <w:pStyle w:val="86"/>
                  </w:pPr>
                  <w:r>
                    <w:rPr>
                      <w:rFonts w:hint="eastAsia"/>
                    </w:rPr>
                    <w:t>≤0.5</w:t>
                  </w:r>
                </w:p>
              </w:tc>
            </w:tr>
            <w:tr w14:paraId="50D7BA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2CE0F322">
                  <w:pPr>
                    <w:pStyle w:val="86"/>
                  </w:pPr>
                  <w:r>
                    <w:rPr>
                      <w:rFonts w:hint="eastAsia"/>
                    </w:rPr>
                    <w:t>6</w:t>
                  </w:r>
                </w:p>
              </w:tc>
              <w:tc>
                <w:tcPr>
                  <w:tcW w:w="2698" w:type="dxa"/>
                </w:tcPr>
                <w:p w14:paraId="622D33FE">
                  <w:pPr>
                    <w:pStyle w:val="86"/>
                  </w:pPr>
                  <w:r>
                    <w:rPr>
                      <w:rFonts w:hint="eastAsia"/>
                    </w:rPr>
                    <w:t>钾</w:t>
                  </w:r>
                </w:p>
              </w:tc>
              <w:tc>
                <w:tcPr>
                  <w:tcW w:w="1218" w:type="dxa"/>
                </w:tcPr>
                <w:p w14:paraId="7DD9A027">
                  <w:pPr>
                    <w:pStyle w:val="86"/>
                  </w:pPr>
                  <w:r>
                    <w:rPr>
                      <w:rFonts w:hint="eastAsia"/>
                    </w:rPr>
                    <w:t>/</w:t>
                  </w:r>
                </w:p>
              </w:tc>
              <w:tc>
                <w:tcPr>
                  <w:tcW w:w="459" w:type="dxa"/>
                </w:tcPr>
                <w:p w14:paraId="02222802">
                  <w:pPr>
                    <w:pStyle w:val="86"/>
                  </w:pPr>
                  <w:r>
                    <w:rPr>
                      <w:rFonts w:hint="eastAsia"/>
                    </w:rPr>
                    <w:t>25</w:t>
                  </w:r>
                </w:p>
              </w:tc>
              <w:tc>
                <w:tcPr>
                  <w:tcW w:w="1439" w:type="dxa"/>
                </w:tcPr>
                <w:p w14:paraId="4C5AAD5A">
                  <w:pPr>
                    <w:pStyle w:val="86"/>
                  </w:pPr>
                  <w:r>
                    <w:rPr>
                      <w:rFonts w:hint="eastAsia"/>
                    </w:rPr>
                    <w:t>硫化物</w:t>
                  </w:r>
                </w:p>
              </w:tc>
              <w:tc>
                <w:tcPr>
                  <w:tcW w:w="1229" w:type="dxa"/>
                </w:tcPr>
                <w:p w14:paraId="5632A1B0">
                  <w:pPr>
                    <w:pStyle w:val="86"/>
                  </w:pPr>
                  <w:r>
                    <w:rPr>
                      <w:rFonts w:hint="eastAsia"/>
                    </w:rPr>
                    <w:t>≤200</w:t>
                  </w:r>
                </w:p>
              </w:tc>
            </w:tr>
            <w:tr w14:paraId="6A436F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0D1C04C9">
                  <w:pPr>
                    <w:pStyle w:val="86"/>
                  </w:pPr>
                  <w:r>
                    <w:rPr>
                      <w:rFonts w:hint="eastAsia"/>
                    </w:rPr>
                    <w:t>7</w:t>
                  </w:r>
                </w:p>
              </w:tc>
              <w:tc>
                <w:tcPr>
                  <w:tcW w:w="2698" w:type="dxa"/>
                </w:tcPr>
                <w:p w14:paraId="4963D796">
                  <w:pPr>
                    <w:pStyle w:val="86"/>
                  </w:pPr>
                  <w:r>
                    <w:rPr>
                      <w:rFonts w:hint="eastAsia"/>
                    </w:rPr>
                    <w:t>亚硝酸盐</w:t>
                  </w:r>
                </w:p>
              </w:tc>
              <w:tc>
                <w:tcPr>
                  <w:tcW w:w="1218" w:type="dxa"/>
                </w:tcPr>
                <w:p w14:paraId="21C552FA">
                  <w:pPr>
                    <w:pStyle w:val="86"/>
                  </w:pPr>
                  <w:r>
                    <w:rPr>
                      <w:rFonts w:hint="eastAsia"/>
                    </w:rPr>
                    <w:t>≤1.0</w:t>
                  </w:r>
                </w:p>
              </w:tc>
              <w:tc>
                <w:tcPr>
                  <w:tcW w:w="459" w:type="dxa"/>
                </w:tcPr>
                <w:p w14:paraId="1D7DAD24">
                  <w:pPr>
                    <w:pStyle w:val="86"/>
                  </w:pPr>
                  <w:r>
                    <w:rPr>
                      <w:rFonts w:hint="eastAsia"/>
                    </w:rPr>
                    <w:t>26</w:t>
                  </w:r>
                </w:p>
              </w:tc>
              <w:tc>
                <w:tcPr>
                  <w:tcW w:w="1439" w:type="dxa"/>
                </w:tcPr>
                <w:p w14:paraId="2708414B">
                  <w:pPr>
                    <w:pStyle w:val="86"/>
                  </w:pPr>
                  <w:r>
                    <w:rPr>
                      <w:rFonts w:hint="eastAsia"/>
                    </w:rPr>
                    <w:t>六价铬</w:t>
                  </w:r>
                </w:p>
              </w:tc>
              <w:tc>
                <w:tcPr>
                  <w:tcW w:w="1229" w:type="dxa"/>
                </w:tcPr>
                <w:p w14:paraId="31BFCFEB">
                  <w:pPr>
                    <w:pStyle w:val="86"/>
                  </w:pPr>
                  <w:r>
                    <w:rPr>
                      <w:rFonts w:hint="eastAsia"/>
                    </w:rPr>
                    <w:t>≤0.05</w:t>
                  </w:r>
                </w:p>
              </w:tc>
            </w:tr>
            <w:tr w14:paraId="1FFDC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38880C51">
                  <w:pPr>
                    <w:pStyle w:val="86"/>
                  </w:pPr>
                  <w:r>
                    <w:rPr>
                      <w:rFonts w:hint="eastAsia"/>
                    </w:rPr>
                    <w:t>8</w:t>
                  </w:r>
                </w:p>
              </w:tc>
              <w:tc>
                <w:tcPr>
                  <w:tcW w:w="2698" w:type="dxa"/>
                </w:tcPr>
                <w:p w14:paraId="2C2580E3">
                  <w:pPr>
                    <w:pStyle w:val="86"/>
                  </w:pPr>
                  <w:r>
                    <w:rPr>
                      <w:rFonts w:hint="eastAsia"/>
                    </w:rPr>
                    <w:t>钠</w:t>
                  </w:r>
                </w:p>
              </w:tc>
              <w:tc>
                <w:tcPr>
                  <w:tcW w:w="1218" w:type="dxa"/>
                </w:tcPr>
                <w:p w14:paraId="52C1531B">
                  <w:pPr>
                    <w:pStyle w:val="86"/>
                  </w:pPr>
                  <w:r>
                    <w:rPr>
                      <w:rFonts w:hint="eastAsia"/>
                    </w:rPr>
                    <w:t>≤200</w:t>
                  </w:r>
                </w:p>
              </w:tc>
              <w:tc>
                <w:tcPr>
                  <w:tcW w:w="459" w:type="dxa"/>
                </w:tcPr>
                <w:p w14:paraId="7E5C290D">
                  <w:pPr>
                    <w:pStyle w:val="86"/>
                  </w:pPr>
                  <w:r>
                    <w:rPr>
                      <w:rFonts w:hint="eastAsia"/>
                    </w:rPr>
                    <w:t>27</w:t>
                  </w:r>
                </w:p>
              </w:tc>
              <w:tc>
                <w:tcPr>
                  <w:tcW w:w="1439" w:type="dxa"/>
                </w:tcPr>
                <w:p w14:paraId="7F36FBA6">
                  <w:pPr>
                    <w:pStyle w:val="86"/>
                  </w:pPr>
                  <w:r>
                    <w:rPr>
                      <w:rFonts w:hint="eastAsia"/>
                    </w:rPr>
                    <w:t>镉</w:t>
                  </w:r>
                </w:p>
              </w:tc>
              <w:tc>
                <w:tcPr>
                  <w:tcW w:w="1229" w:type="dxa"/>
                </w:tcPr>
                <w:p w14:paraId="7F8613D8">
                  <w:pPr>
                    <w:pStyle w:val="86"/>
                  </w:pPr>
                  <w:r>
                    <w:rPr>
                      <w:rFonts w:hint="eastAsia"/>
                    </w:rPr>
                    <w:t>≤0.005</w:t>
                  </w:r>
                </w:p>
              </w:tc>
            </w:tr>
            <w:tr w14:paraId="55AC5F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503" w:type="dxa"/>
                </w:tcPr>
                <w:p w14:paraId="34A57D66">
                  <w:pPr>
                    <w:pStyle w:val="86"/>
                  </w:pPr>
                  <w:r>
                    <w:rPr>
                      <w:rFonts w:hint="eastAsia"/>
                    </w:rPr>
                    <w:t>9</w:t>
                  </w:r>
                </w:p>
              </w:tc>
              <w:tc>
                <w:tcPr>
                  <w:tcW w:w="2698" w:type="dxa"/>
                </w:tcPr>
                <w:p w14:paraId="21E96C15">
                  <w:pPr>
                    <w:pStyle w:val="86"/>
                  </w:pPr>
                  <w:r>
                    <w:rPr>
                      <w:rFonts w:hint="eastAsia"/>
                    </w:rPr>
                    <w:t>钙</w:t>
                  </w:r>
                </w:p>
              </w:tc>
              <w:tc>
                <w:tcPr>
                  <w:tcW w:w="1218" w:type="dxa"/>
                </w:tcPr>
                <w:p w14:paraId="48AD31A6">
                  <w:pPr>
                    <w:pStyle w:val="86"/>
                  </w:pPr>
                  <w:r>
                    <w:rPr>
                      <w:rFonts w:hint="eastAsia"/>
                    </w:rPr>
                    <w:t>/</w:t>
                  </w:r>
                </w:p>
              </w:tc>
              <w:tc>
                <w:tcPr>
                  <w:tcW w:w="459" w:type="dxa"/>
                </w:tcPr>
                <w:p w14:paraId="6B2298C4">
                  <w:pPr>
                    <w:pStyle w:val="86"/>
                  </w:pPr>
                  <w:r>
                    <w:rPr>
                      <w:rFonts w:hint="eastAsia"/>
                    </w:rPr>
                    <w:t>28</w:t>
                  </w:r>
                </w:p>
              </w:tc>
              <w:tc>
                <w:tcPr>
                  <w:tcW w:w="1439" w:type="dxa"/>
                </w:tcPr>
                <w:p w14:paraId="57EDE7F3">
                  <w:pPr>
                    <w:pStyle w:val="86"/>
                  </w:pPr>
                  <w:r>
                    <w:rPr>
                      <w:rFonts w:hint="eastAsia"/>
                    </w:rPr>
                    <w:t>铁</w:t>
                  </w:r>
                </w:p>
              </w:tc>
              <w:tc>
                <w:tcPr>
                  <w:tcW w:w="1229" w:type="dxa"/>
                </w:tcPr>
                <w:p w14:paraId="7F4411F2">
                  <w:pPr>
                    <w:pStyle w:val="86"/>
                  </w:pPr>
                  <w:r>
                    <w:rPr>
                      <w:rFonts w:hint="eastAsia"/>
                    </w:rPr>
                    <w:t>≤0.3</w:t>
                  </w:r>
                </w:p>
              </w:tc>
            </w:tr>
            <w:tr w14:paraId="6A9137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2D6B0FD2">
                  <w:pPr>
                    <w:pStyle w:val="86"/>
                  </w:pPr>
                  <w:r>
                    <w:rPr>
                      <w:rFonts w:hint="eastAsia"/>
                    </w:rPr>
                    <w:t>10</w:t>
                  </w:r>
                </w:p>
              </w:tc>
              <w:tc>
                <w:tcPr>
                  <w:tcW w:w="2698" w:type="dxa"/>
                </w:tcPr>
                <w:p w14:paraId="31EDCFC6">
                  <w:pPr>
                    <w:pStyle w:val="86"/>
                  </w:pPr>
                  <w:r>
                    <w:rPr>
                      <w:rFonts w:hint="eastAsia"/>
                    </w:rPr>
                    <w:t>细菌总数（CFU/mL）</w:t>
                  </w:r>
                </w:p>
              </w:tc>
              <w:tc>
                <w:tcPr>
                  <w:tcW w:w="1218" w:type="dxa"/>
                </w:tcPr>
                <w:p w14:paraId="54B4AAAE">
                  <w:pPr>
                    <w:pStyle w:val="86"/>
                  </w:pPr>
                  <w:r>
                    <w:rPr>
                      <w:rFonts w:hint="eastAsia"/>
                    </w:rPr>
                    <w:t>≤100</w:t>
                  </w:r>
                </w:p>
              </w:tc>
              <w:tc>
                <w:tcPr>
                  <w:tcW w:w="459" w:type="dxa"/>
                </w:tcPr>
                <w:p w14:paraId="5B483E1D">
                  <w:pPr>
                    <w:pStyle w:val="86"/>
                  </w:pPr>
                  <w:r>
                    <w:rPr>
                      <w:rFonts w:hint="eastAsia"/>
                    </w:rPr>
                    <w:t>29</w:t>
                  </w:r>
                </w:p>
              </w:tc>
              <w:tc>
                <w:tcPr>
                  <w:tcW w:w="1439" w:type="dxa"/>
                </w:tcPr>
                <w:p w14:paraId="4EA0B62E">
                  <w:pPr>
                    <w:pStyle w:val="86"/>
                  </w:pPr>
                  <w:r>
                    <w:rPr>
                      <w:rFonts w:hint="eastAsia"/>
                    </w:rPr>
                    <w:t>锌</w:t>
                  </w:r>
                </w:p>
              </w:tc>
              <w:tc>
                <w:tcPr>
                  <w:tcW w:w="1229" w:type="dxa"/>
                </w:tcPr>
                <w:p w14:paraId="02D9EBAB">
                  <w:pPr>
                    <w:pStyle w:val="86"/>
                  </w:pPr>
                  <w:r>
                    <w:rPr>
                      <w:rFonts w:hint="eastAsia"/>
                    </w:rPr>
                    <w:t>≤1.0</w:t>
                  </w:r>
                </w:p>
              </w:tc>
            </w:tr>
            <w:tr w14:paraId="485055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487E957F">
                  <w:pPr>
                    <w:pStyle w:val="86"/>
                  </w:pPr>
                  <w:r>
                    <w:rPr>
                      <w:rFonts w:hint="eastAsia"/>
                    </w:rPr>
                    <w:t>11</w:t>
                  </w:r>
                </w:p>
              </w:tc>
              <w:tc>
                <w:tcPr>
                  <w:tcW w:w="2698" w:type="dxa"/>
                </w:tcPr>
                <w:p w14:paraId="0F1C10E3">
                  <w:pPr>
                    <w:pStyle w:val="86"/>
                  </w:pPr>
                  <w:r>
                    <w:rPr>
                      <w:rFonts w:hint="eastAsia"/>
                    </w:rPr>
                    <w:t>砷</w:t>
                  </w:r>
                </w:p>
              </w:tc>
              <w:tc>
                <w:tcPr>
                  <w:tcW w:w="1218" w:type="dxa"/>
                </w:tcPr>
                <w:p w14:paraId="6476EB87">
                  <w:pPr>
                    <w:pStyle w:val="86"/>
                  </w:pPr>
                  <w:r>
                    <w:rPr>
                      <w:rFonts w:hint="eastAsia"/>
                    </w:rPr>
                    <w:t>≤0.01</w:t>
                  </w:r>
                </w:p>
              </w:tc>
              <w:tc>
                <w:tcPr>
                  <w:tcW w:w="459" w:type="dxa"/>
                </w:tcPr>
                <w:p w14:paraId="0CE6F677">
                  <w:pPr>
                    <w:pStyle w:val="86"/>
                  </w:pPr>
                  <w:r>
                    <w:rPr>
                      <w:rFonts w:hint="eastAsia"/>
                    </w:rPr>
                    <w:t>30</w:t>
                  </w:r>
                </w:p>
              </w:tc>
              <w:tc>
                <w:tcPr>
                  <w:tcW w:w="1439" w:type="dxa"/>
                </w:tcPr>
                <w:p w14:paraId="16216D2A">
                  <w:pPr>
                    <w:pStyle w:val="86"/>
                  </w:pPr>
                  <w:r>
                    <w:rPr>
                      <w:rFonts w:hint="eastAsia"/>
                    </w:rPr>
                    <w:t>锑</w:t>
                  </w:r>
                </w:p>
              </w:tc>
              <w:tc>
                <w:tcPr>
                  <w:tcW w:w="1229" w:type="dxa"/>
                </w:tcPr>
                <w:p w14:paraId="73CC1C46">
                  <w:pPr>
                    <w:pStyle w:val="86"/>
                  </w:pPr>
                  <w:r>
                    <w:rPr>
                      <w:rFonts w:hint="eastAsia"/>
                    </w:rPr>
                    <w:t>≤0.005</w:t>
                  </w:r>
                </w:p>
              </w:tc>
            </w:tr>
            <w:tr w14:paraId="7DD7E3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4998B6F0">
                  <w:pPr>
                    <w:pStyle w:val="86"/>
                  </w:pPr>
                  <w:r>
                    <w:rPr>
                      <w:rFonts w:hint="eastAsia"/>
                    </w:rPr>
                    <w:t>12</w:t>
                  </w:r>
                </w:p>
              </w:tc>
              <w:tc>
                <w:tcPr>
                  <w:tcW w:w="2698" w:type="dxa"/>
                </w:tcPr>
                <w:p w14:paraId="2A8D67FC">
                  <w:pPr>
                    <w:pStyle w:val="86"/>
                  </w:pPr>
                  <w:r>
                    <w:rPr>
                      <w:rFonts w:hint="eastAsia"/>
                    </w:rPr>
                    <w:t>总大肠菌群（MPN/100mL）</w:t>
                  </w:r>
                </w:p>
              </w:tc>
              <w:tc>
                <w:tcPr>
                  <w:tcW w:w="1218" w:type="dxa"/>
                </w:tcPr>
                <w:p w14:paraId="1F937E65">
                  <w:pPr>
                    <w:pStyle w:val="86"/>
                  </w:pPr>
                  <w:r>
                    <w:rPr>
                      <w:rFonts w:hint="eastAsia"/>
                    </w:rPr>
                    <w:t>≤3</w:t>
                  </w:r>
                </w:p>
              </w:tc>
              <w:tc>
                <w:tcPr>
                  <w:tcW w:w="459" w:type="dxa"/>
                </w:tcPr>
                <w:p w14:paraId="59091976">
                  <w:pPr>
                    <w:pStyle w:val="86"/>
                  </w:pPr>
                  <w:r>
                    <w:rPr>
                      <w:rFonts w:hint="eastAsia"/>
                    </w:rPr>
                    <w:t>31</w:t>
                  </w:r>
                </w:p>
              </w:tc>
              <w:tc>
                <w:tcPr>
                  <w:tcW w:w="1439" w:type="dxa"/>
                </w:tcPr>
                <w:p w14:paraId="0F369806">
                  <w:pPr>
                    <w:pStyle w:val="86"/>
                  </w:pPr>
                  <w:r>
                    <w:rPr>
                      <w:rFonts w:hint="eastAsia"/>
                    </w:rPr>
                    <w:t>铅</w:t>
                  </w:r>
                </w:p>
              </w:tc>
              <w:tc>
                <w:tcPr>
                  <w:tcW w:w="1229" w:type="dxa"/>
                </w:tcPr>
                <w:p w14:paraId="0445B703">
                  <w:pPr>
                    <w:pStyle w:val="86"/>
                  </w:pPr>
                  <w:r>
                    <w:rPr>
                      <w:rFonts w:hint="eastAsia"/>
                    </w:rPr>
                    <w:t>≤0.01</w:t>
                  </w:r>
                </w:p>
              </w:tc>
            </w:tr>
            <w:tr w14:paraId="070E98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579B096A">
                  <w:pPr>
                    <w:pStyle w:val="86"/>
                  </w:pPr>
                  <w:r>
                    <w:rPr>
                      <w:rFonts w:hint="eastAsia"/>
                    </w:rPr>
                    <w:t>13</w:t>
                  </w:r>
                </w:p>
              </w:tc>
              <w:tc>
                <w:tcPr>
                  <w:tcW w:w="2698" w:type="dxa"/>
                </w:tcPr>
                <w:p w14:paraId="2DF1031C">
                  <w:pPr>
                    <w:pStyle w:val="86"/>
                  </w:pPr>
                  <w:r>
                    <w:rPr>
                      <w:rFonts w:hint="eastAsia"/>
                    </w:rPr>
                    <w:t>镁</w:t>
                  </w:r>
                </w:p>
              </w:tc>
              <w:tc>
                <w:tcPr>
                  <w:tcW w:w="1218" w:type="dxa"/>
                </w:tcPr>
                <w:p w14:paraId="3A6C2F52">
                  <w:pPr>
                    <w:pStyle w:val="86"/>
                  </w:pPr>
                  <w:r>
                    <w:rPr>
                      <w:rFonts w:hint="eastAsia"/>
                    </w:rPr>
                    <w:t>/</w:t>
                  </w:r>
                </w:p>
              </w:tc>
              <w:tc>
                <w:tcPr>
                  <w:tcW w:w="459" w:type="dxa"/>
                </w:tcPr>
                <w:p w14:paraId="78DC8B1D">
                  <w:pPr>
                    <w:pStyle w:val="86"/>
                  </w:pPr>
                  <w:r>
                    <w:rPr>
                      <w:rFonts w:hint="eastAsia"/>
                    </w:rPr>
                    <w:t>32</w:t>
                  </w:r>
                </w:p>
              </w:tc>
              <w:tc>
                <w:tcPr>
                  <w:tcW w:w="1439" w:type="dxa"/>
                </w:tcPr>
                <w:p w14:paraId="3E062D6F">
                  <w:pPr>
                    <w:pStyle w:val="86"/>
                  </w:pPr>
                  <w:r>
                    <w:rPr>
                      <w:rFonts w:hint="eastAsia"/>
                    </w:rPr>
                    <w:t>镍</w:t>
                  </w:r>
                </w:p>
              </w:tc>
              <w:tc>
                <w:tcPr>
                  <w:tcW w:w="1229" w:type="dxa"/>
                </w:tcPr>
                <w:p w14:paraId="70A5D2B5">
                  <w:pPr>
                    <w:pStyle w:val="86"/>
                  </w:pPr>
                  <w:r>
                    <w:rPr>
                      <w:rFonts w:hint="eastAsia"/>
                    </w:rPr>
                    <w:t>≤0.02</w:t>
                  </w:r>
                </w:p>
              </w:tc>
            </w:tr>
            <w:tr w14:paraId="6B6377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2842C288">
                  <w:pPr>
                    <w:pStyle w:val="86"/>
                  </w:pPr>
                  <w:r>
                    <w:rPr>
                      <w:rFonts w:hint="eastAsia"/>
                    </w:rPr>
                    <w:t>14</w:t>
                  </w:r>
                </w:p>
              </w:tc>
              <w:tc>
                <w:tcPr>
                  <w:tcW w:w="2698" w:type="dxa"/>
                </w:tcPr>
                <w:p w14:paraId="64B15E37">
                  <w:pPr>
                    <w:pStyle w:val="86"/>
                  </w:pPr>
                  <w:r>
                    <w:rPr>
                      <w:rFonts w:hint="eastAsia"/>
                    </w:rPr>
                    <w:t>硫酸盐</w:t>
                  </w:r>
                </w:p>
              </w:tc>
              <w:tc>
                <w:tcPr>
                  <w:tcW w:w="1218" w:type="dxa"/>
                </w:tcPr>
                <w:p w14:paraId="0C7E2BF0">
                  <w:pPr>
                    <w:pStyle w:val="86"/>
                  </w:pPr>
                  <w:r>
                    <w:rPr>
                      <w:rFonts w:hint="eastAsia"/>
                    </w:rPr>
                    <w:t>≤250</w:t>
                  </w:r>
                </w:p>
              </w:tc>
              <w:tc>
                <w:tcPr>
                  <w:tcW w:w="459" w:type="dxa"/>
                </w:tcPr>
                <w:p w14:paraId="30053C44">
                  <w:pPr>
                    <w:pStyle w:val="86"/>
                  </w:pPr>
                  <w:r>
                    <w:rPr>
                      <w:rFonts w:hint="eastAsia"/>
                    </w:rPr>
                    <w:t>33</w:t>
                  </w:r>
                </w:p>
              </w:tc>
              <w:tc>
                <w:tcPr>
                  <w:tcW w:w="1439" w:type="dxa"/>
                </w:tcPr>
                <w:p w14:paraId="15F0BAC3">
                  <w:pPr>
                    <w:pStyle w:val="86"/>
                  </w:pPr>
                  <w:r>
                    <w:rPr>
                      <w:rFonts w:hint="eastAsia"/>
                    </w:rPr>
                    <w:t>铍</w:t>
                  </w:r>
                </w:p>
              </w:tc>
              <w:tc>
                <w:tcPr>
                  <w:tcW w:w="1229" w:type="dxa"/>
                </w:tcPr>
                <w:p w14:paraId="37527F72">
                  <w:pPr>
                    <w:pStyle w:val="86"/>
                  </w:pPr>
                  <w:r>
                    <w:rPr>
                      <w:rFonts w:hint="eastAsia"/>
                    </w:rPr>
                    <w:t>≤0.002</w:t>
                  </w:r>
                </w:p>
              </w:tc>
            </w:tr>
            <w:tr w14:paraId="6A9B9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1B41F390">
                  <w:pPr>
                    <w:pStyle w:val="86"/>
                  </w:pPr>
                  <w:r>
                    <w:rPr>
                      <w:rFonts w:hint="eastAsia"/>
                    </w:rPr>
                    <w:t>15</w:t>
                  </w:r>
                </w:p>
              </w:tc>
              <w:tc>
                <w:tcPr>
                  <w:tcW w:w="2698" w:type="dxa"/>
                </w:tcPr>
                <w:p w14:paraId="773C239D">
                  <w:pPr>
                    <w:pStyle w:val="86"/>
                  </w:pPr>
                  <w:r>
                    <w:rPr>
                      <w:rFonts w:hint="eastAsia"/>
                    </w:rPr>
                    <w:t>氟化物</w:t>
                  </w:r>
                </w:p>
              </w:tc>
              <w:tc>
                <w:tcPr>
                  <w:tcW w:w="1218" w:type="dxa"/>
                </w:tcPr>
                <w:p w14:paraId="72DB2B1B">
                  <w:pPr>
                    <w:pStyle w:val="86"/>
                  </w:pPr>
                  <w:r>
                    <w:rPr>
                      <w:rFonts w:hint="eastAsia"/>
                    </w:rPr>
                    <w:t>≤1.0</w:t>
                  </w:r>
                </w:p>
              </w:tc>
              <w:tc>
                <w:tcPr>
                  <w:tcW w:w="459" w:type="dxa"/>
                </w:tcPr>
                <w:p w14:paraId="03C10FD4">
                  <w:pPr>
                    <w:pStyle w:val="86"/>
                  </w:pPr>
                  <w:r>
                    <w:rPr>
                      <w:rFonts w:hint="eastAsia"/>
                    </w:rPr>
                    <w:t>34</w:t>
                  </w:r>
                </w:p>
              </w:tc>
              <w:tc>
                <w:tcPr>
                  <w:tcW w:w="1439" w:type="dxa"/>
                </w:tcPr>
                <w:p w14:paraId="1D07C36F">
                  <w:pPr>
                    <w:pStyle w:val="86"/>
                  </w:pPr>
                  <w:r>
                    <w:rPr>
                      <w:rFonts w:hint="eastAsia"/>
                    </w:rPr>
                    <w:t>银</w:t>
                  </w:r>
                </w:p>
              </w:tc>
              <w:tc>
                <w:tcPr>
                  <w:tcW w:w="1229" w:type="dxa"/>
                </w:tcPr>
                <w:p w14:paraId="34DCA9D0">
                  <w:pPr>
                    <w:pStyle w:val="86"/>
                  </w:pPr>
                  <w:r>
                    <w:rPr>
                      <w:rFonts w:hint="eastAsia"/>
                    </w:rPr>
                    <w:t>≤0.05</w:t>
                  </w:r>
                </w:p>
              </w:tc>
            </w:tr>
            <w:tr w14:paraId="2952E1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78BFAB85">
                  <w:pPr>
                    <w:pStyle w:val="86"/>
                  </w:pPr>
                  <w:r>
                    <w:rPr>
                      <w:rFonts w:hint="eastAsia"/>
                    </w:rPr>
                    <w:t>16</w:t>
                  </w:r>
                </w:p>
              </w:tc>
              <w:tc>
                <w:tcPr>
                  <w:tcW w:w="2698" w:type="dxa"/>
                </w:tcPr>
                <w:p w14:paraId="37F2AF88">
                  <w:pPr>
                    <w:pStyle w:val="86"/>
                  </w:pPr>
                  <w:r>
                    <w:rPr>
                      <w:rFonts w:hint="eastAsia"/>
                    </w:rPr>
                    <w:t>碳酸根</w:t>
                  </w:r>
                </w:p>
              </w:tc>
              <w:tc>
                <w:tcPr>
                  <w:tcW w:w="1218" w:type="dxa"/>
                </w:tcPr>
                <w:p w14:paraId="7E8DBDE7">
                  <w:pPr>
                    <w:pStyle w:val="86"/>
                  </w:pPr>
                  <w:r>
                    <w:rPr>
                      <w:rFonts w:hint="eastAsia"/>
                    </w:rPr>
                    <w:t>/</w:t>
                  </w:r>
                </w:p>
              </w:tc>
              <w:tc>
                <w:tcPr>
                  <w:tcW w:w="459" w:type="dxa"/>
                </w:tcPr>
                <w:p w14:paraId="2716DBB5">
                  <w:pPr>
                    <w:pStyle w:val="86"/>
                  </w:pPr>
                  <w:r>
                    <w:rPr>
                      <w:rFonts w:hint="eastAsia"/>
                    </w:rPr>
                    <w:t>35</w:t>
                  </w:r>
                </w:p>
              </w:tc>
              <w:tc>
                <w:tcPr>
                  <w:tcW w:w="1439" w:type="dxa"/>
                </w:tcPr>
                <w:p w14:paraId="5B35667E">
                  <w:pPr>
                    <w:pStyle w:val="86"/>
                  </w:pPr>
                  <w:r>
                    <w:rPr>
                      <w:rFonts w:hint="eastAsia"/>
                    </w:rPr>
                    <w:t>汞</w:t>
                  </w:r>
                </w:p>
              </w:tc>
              <w:tc>
                <w:tcPr>
                  <w:tcW w:w="1229" w:type="dxa"/>
                </w:tcPr>
                <w:p w14:paraId="6B9BBF8F">
                  <w:pPr>
                    <w:pStyle w:val="86"/>
                  </w:pPr>
                  <w:r>
                    <w:rPr>
                      <w:rFonts w:hint="eastAsia"/>
                    </w:rPr>
                    <w:t>≤0.001</w:t>
                  </w:r>
                </w:p>
              </w:tc>
            </w:tr>
            <w:tr w14:paraId="7C24C6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503" w:type="dxa"/>
                </w:tcPr>
                <w:p w14:paraId="350E5227">
                  <w:pPr>
                    <w:pStyle w:val="86"/>
                  </w:pPr>
                  <w:r>
                    <w:rPr>
                      <w:rFonts w:hint="eastAsia"/>
                    </w:rPr>
                    <w:t>17</w:t>
                  </w:r>
                </w:p>
              </w:tc>
              <w:tc>
                <w:tcPr>
                  <w:tcW w:w="2698" w:type="dxa"/>
                </w:tcPr>
                <w:p w14:paraId="09462B26">
                  <w:pPr>
                    <w:pStyle w:val="86"/>
                  </w:pPr>
                  <w:r>
                    <w:rPr>
                      <w:rFonts w:hint="eastAsia"/>
                    </w:rPr>
                    <w:t>耗氧量</w:t>
                  </w:r>
                </w:p>
              </w:tc>
              <w:tc>
                <w:tcPr>
                  <w:tcW w:w="1218" w:type="dxa"/>
                </w:tcPr>
                <w:p w14:paraId="58D385CF">
                  <w:pPr>
                    <w:pStyle w:val="86"/>
                  </w:pPr>
                  <w:r>
                    <w:rPr>
                      <w:rFonts w:hint="eastAsia"/>
                    </w:rPr>
                    <w:t>≤3.0</w:t>
                  </w:r>
                </w:p>
              </w:tc>
              <w:tc>
                <w:tcPr>
                  <w:tcW w:w="459" w:type="dxa"/>
                </w:tcPr>
                <w:p w14:paraId="4AA17CF0">
                  <w:pPr>
                    <w:pStyle w:val="86"/>
                  </w:pPr>
                  <w:r>
                    <w:rPr>
                      <w:rFonts w:hint="eastAsia"/>
                    </w:rPr>
                    <w:t>36</w:t>
                  </w:r>
                </w:p>
              </w:tc>
              <w:tc>
                <w:tcPr>
                  <w:tcW w:w="1439" w:type="dxa"/>
                </w:tcPr>
                <w:p w14:paraId="780297EF">
                  <w:pPr>
                    <w:pStyle w:val="86"/>
                  </w:pPr>
                  <w:r>
                    <w:rPr>
                      <w:rFonts w:hint="eastAsia"/>
                    </w:rPr>
                    <w:t>铜</w:t>
                  </w:r>
                </w:p>
              </w:tc>
              <w:tc>
                <w:tcPr>
                  <w:tcW w:w="1229" w:type="dxa"/>
                </w:tcPr>
                <w:p w14:paraId="33A0C37E">
                  <w:pPr>
                    <w:pStyle w:val="86"/>
                  </w:pPr>
                  <w:r>
                    <w:rPr>
                      <w:rFonts w:hint="eastAsia"/>
                    </w:rPr>
                    <w:t>≤1.0</w:t>
                  </w:r>
                </w:p>
              </w:tc>
            </w:tr>
            <w:tr w14:paraId="4D544E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2" w:hRule="atLeast"/>
              </w:trPr>
              <w:tc>
                <w:tcPr>
                  <w:tcW w:w="503" w:type="dxa"/>
                </w:tcPr>
                <w:p w14:paraId="08C91EB7">
                  <w:pPr>
                    <w:pStyle w:val="86"/>
                  </w:pPr>
                  <w:r>
                    <w:rPr>
                      <w:rFonts w:hint="eastAsia"/>
                    </w:rPr>
                    <w:t>18</w:t>
                  </w:r>
                </w:p>
              </w:tc>
              <w:tc>
                <w:tcPr>
                  <w:tcW w:w="2698" w:type="dxa"/>
                </w:tcPr>
                <w:p w14:paraId="74D531A5">
                  <w:pPr>
                    <w:pStyle w:val="86"/>
                  </w:pPr>
                  <w:r>
                    <w:rPr>
                      <w:rFonts w:hint="eastAsia"/>
                    </w:rPr>
                    <w:t>碳酸氢根</w:t>
                  </w:r>
                </w:p>
              </w:tc>
              <w:tc>
                <w:tcPr>
                  <w:tcW w:w="1218" w:type="dxa"/>
                </w:tcPr>
                <w:p w14:paraId="221404B5">
                  <w:pPr>
                    <w:pStyle w:val="86"/>
                  </w:pPr>
                  <w:r>
                    <w:rPr>
                      <w:rFonts w:hint="eastAsia"/>
                    </w:rPr>
                    <w:t>/</w:t>
                  </w:r>
                </w:p>
              </w:tc>
              <w:tc>
                <w:tcPr>
                  <w:tcW w:w="459" w:type="dxa"/>
                </w:tcPr>
                <w:p w14:paraId="16E18E04">
                  <w:pPr>
                    <w:pStyle w:val="86"/>
                  </w:pPr>
                  <w:r>
                    <w:rPr>
                      <w:rFonts w:hint="eastAsia"/>
                    </w:rPr>
                    <w:t>37</w:t>
                  </w:r>
                </w:p>
              </w:tc>
              <w:tc>
                <w:tcPr>
                  <w:tcW w:w="1439" w:type="dxa"/>
                </w:tcPr>
                <w:p w14:paraId="5C722679">
                  <w:pPr>
                    <w:pStyle w:val="86"/>
                  </w:pPr>
                  <w:r>
                    <w:rPr>
                      <w:rFonts w:hint="eastAsia"/>
                    </w:rPr>
                    <w:t>猛</w:t>
                  </w:r>
                </w:p>
              </w:tc>
              <w:tc>
                <w:tcPr>
                  <w:tcW w:w="1229" w:type="dxa"/>
                </w:tcPr>
                <w:p w14:paraId="45813C6E">
                  <w:pPr>
                    <w:pStyle w:val="86"/>
                  </w:pPr>
                  <w:r>
                    <w:rPr>
                      <w:rFonts w:hint="eastAsia"/>
                    </w:rPr>
                    <w:t>≤0.1</w:t>
                  </w:r>
                </w:p>
              </w:tc>
            </w:tr>
            <w:tr w14:paraId="44105D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3" w:type="dxa"/>
                </w:tcPr>
                <w:p w14:paraId="768EB0F6">
                  <w:pPr>
                    <w:pStyle w:val="86"/>
                  </w:pPr>
                  <w:r>
                    <w:rPr>
                      <w:rFonts w:hint="eastAsia"/>
                    </w:rPr>
                    <w:t>19</w:t>
                  </w:r>
                </w:p>
              </w:tc>
              <w:tc>
                <w:tcPr>
                  <w:tcW w:w="2698" w:type="dxa"/>
                </w:tcPr>
                <w:p w14:paraId="4902DF44">
                  <w:pPr>
                    <w:pStyle w:val="86"/>
                  </w:pPr>
                  <w:r>
                    <w:rPr>
                      <w:rFonts w:hint="eastAsia"/>
                    </w:rPr>
                    <w:t>氯化物</w:t>
                  </w:r>
                </w:p>
              </w:tc>
              <w:tc>
                <w:tcPr>
                  <w:tcW w:w="1218" w:type="dxa"/>
                </w:tcPr>
                <w:p w14:paraId="34A50948">
                  <w:pPr>
                    <w:pStyle w:val="86"/>
                  </w:pPr>
                  <w:r>
                    <w:rPr>
                      <w:rFonts w:hint="eastAsia"/>
                    </w:rPr>
                    <w:t>≤250</w:t>
                  </w:r>
                </w:p>
              </w:tc>
              <w:tc>
                <w:tcPr>
                  <w:tcW w:w="459" w:type="dxa"/>
                </w:tcPr>
                <w:p w14:paraId="0CD2B067">
                  <w:pPr>
                    <w:pStyle w:val="86"/>
                  </w:pPr>
                </w:p>
              </w:tc>
              <w:tc>
                <w:tcPr>
                  <w:tcW w:w="1439" w:type="dxa"/>
                </w:tcPr>
                <w:p w14:paraId="6ECB765F">
                  <w:pPr>
                    <w:pStyle w:val="86"/>
                  </w:pPr>
                </w:p>
              </w:tc>
              <w:tc>
                <w:tcPr>
                  <w:tcW w:w="1229" w:type="dxa"/>
                </w:tcPr>
                <w:p w14:paraId="4C509C3D">
                  <w:pPr>
                    <w:pStyle w:val="86"/>
                  </w:pPr>
                </w:p>
              </w:tc>
            </w:tr>
          </w:tbl>
          <w:p w14:paraId="04FCC11F">
            <w:pPr>
              <w:pStyle w:val="71"/>
              <w:adjustRightInd w:val="0"/>
              <w:ind w:firstLine="496" w:firstLineChars="0"/>
              <w:jc w:val="both"/>
              <w:rPr>
                <w:b/>
                <w:bCs/>
                <w:lang w:val="en-US"/>
              </w:rPr>
            </w:pPr>
            <w:r>
              <w:rPr>
                <w:rFonts w:hint="eastAsia"/>
                <w:b/>
                <w:bCs/>
                <w:lang w:val="en-US"/>
              </w:rPr>
              <w:t>（4）土壤环境</w:t>
            </w:r>
          </w:p>
          <w:p w14:paraId="34B1F62D">
            <w:pPr>
              <w:pStyle w:val="71"/>
              <w:keepNext w:val="0"/>
              <w:keepLines w:val="0"/>
              <w:pageBreakBefore w:val="0"/>
              <w:widowControl w:val="0"/>
              <w:numPr>
                <w:ilvl w:val="0"/>
                <w:numId w:val="0"/>
              </w:numPr>
              <w:kinsoku/>
              <w:wordWrap/>
              <w:overflowPunct/>
              <w:topLinePunct w:val="0"/>
              <w:autoSpaceDE/>
              <w:autoSpaceDN/>
              <w:bidi w:val="0"/>
              <w:adjustRightInd w:val="0"/>
              <w:snapToGrid w:val="0"/>
              <w:ind w:firstLine="496"/>
              <w:jc w:val="both"/>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项目区内工矿用地土壤环境执行《土壤环境质量 建设用地土壤污染</w:t>
            </w:r>
            <w:r>
              <w:rPr>
                <w:rFonts w:hint="eastAsia" w:ascii="Times New Roman" w:hAnsi="Times New Roman" w:eastAsia="宋体" w:cs="Times New Roman"/>
                <w:color w:val="000000" w:themeColor="text1"/>
                <w:highlight w:val="none"/>
                <w:lang w:val="en-US" w:eastAsia="zh-CN"/>
                <w14:textFill>
                  <w14:solidFill>
                    <w14:schemeClr w14:val="tx1"/>
                  </w14:solidFill>
                </w14:textFill>
              </w:rPr>
              <w:t>风险管控标准（试行）》（</w:t>
            </w:r>
            <w:r>
              <w:rPr>
                <w:rFonts w:hint="default" w:ascii="Times New Roman" w:hAnsi="Times New Roman" w:eastAsia="宋体" w:cs="Times New Roman"/>
                <w:color w:val="000000" w:themeColor="text1"/>
                <w:highlight w:val="none"/>
                <w:lang w:val="en-US" w:eastAsia="zh-CN"/>
                <w14:textFill>
                  <w14:solidFill>
                    <w14:schemeClr w14:val="tx1"/>
                  </w14:solidFill>
                </w14:textFill>
              </w:rPr>
              <w:t>GB36600-2018</w:t>
            </w:r>
            <w:r>
              <w:rPr>
                <w:rFonts w:hint="eastAsia" w:ascii="Times New Roman" w:hAnsi="Times New Roman" w:eastAsia="宋体" w:cs="Times New Roman"/>
                <w:color w:val="000000" w:themeColor="text1"/>
                <w:highlight w:val="none"/>
                <w:lang w:val="en-US" w:eastAsia="zh-CN"/>
                <w14:textFill>
                  <w14:solidFill>
                    <w14:schemeClr w14:val="tx1"/>
                  </w14:solidFill>
                </w14:textFill>
              </w:rPr>
              <w:t>）中第二类用地筛选值标准。</w:t>
            </w:r>
            <w:r>
              <w:rPr>
                <w:rFonts w:hint="eastAsia" w:cs="Times New Roman"/>
                <w:color w:val="000000" w:themeColor="text1"/>
                <w:highlight w:val="none"/>
                <w:lang w:val="en-US" w:eastAsia="zh-CN"/>
                <w14:textFill>
                  <w14:solidFill>
                    <w14:schemeClr w14:val="tx1"/>
                  </w14:solidFill>
                </w14:textFill>
              </w:rPr>
              <w:t>而项目区外S6村庄土壤环境执行</w:t>
            </w:r>
            <w:r>
              <w:rPr>
                <w:rFonts w:hint="eastAsia" w:ascii="Times New Roman" w:hAnsi="Times New Roman" w:eastAsia="宋体" w:cs="Times New Roman"/>
                <w:color w:val="000000" w:themeColor="text1"/>
                <w:highlight w:val="none"/>
                <w:lang w:val="en-US" w:eastAsia="zh-CN"/>
                <w14:textFill>
                  <w14:solidFill>
                    <w14:schemeClr w14:val="tx1"/>
                  </w14:solidFill>
                </w14:textFill>
              </w:rPr>
              <w:t>《土壤环境质量 建设用地土壤污染风险管控标准（试行）》</w:t>
            </w:r>
            <w:r>
              <w:rPr>
                <w:rFonts w:hint="eastAsia" w:ascii="Times New Roman" w:hAnsi="Times New Roman" w:eastAsia="宋体" w:cs="Times New Roman"/>
                <w:color w:val="auto"/>
                <w:highlight w:val="none"/>
                <w:lang w:val="en-US" w:eastAsia="zh-CN"/>
              </w:rPr>
              <w:t>（</w:t>
            </w:r>
            <w:r>
              <w:rPr>
                <w:rFonts w:hint="default" w:ascii="Times New Roman" w:hAnsi="Times New Roman" w:eastAsia="宋体" w:cs="Times New Roman"/>
                <w:color w:val="auto"/>
                <w:highlight w:val="none"/>
                <w:lang w:val="en-US" w:eastAsia="zh-CN"/>
              </w:rPr>
              <w:t>GB36600-2018</w:t>
            </w:r>
            <w:r>
              <w:rPr>
                <w:rFonts w:hint="eastAsia" w:ascii="Times New Roman" w:hAnsi="Times New Roman" w:eastAsia="宋体" w:cs="Times New Roman"/>
                <w:color w:val="auto"/>
                <w:highlight w:val="none"/>
                <w:lang w:val="en-US" w:eastAsia="zh-CN"/>
              </w:rPr>
              <w:t>）中第一类用地筛选值标准。标准限值见下表。</w:t>
            </w:r>
          </w:p>
          <w:p w14:paraId="1644ECC6">
            <w:pPr>
              <w:pStyle w:val="7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表3-</w:t>
            </w:r>
            <w:r>
              <w:rPr>
                <w:rFonts w:hint="eastAsia" w:cs="Times New Roman"/>
                <w:b/>
                <w:bCs/>
                <w:color w:val="auto"/>
                <w:sz w:val="24"/>
                <w:szCs w:val="24"/>
                <w:highlight w:val="none"/>
                <w:lang w:val="en-US" w:eastAsia="zh-CN"/>
              </w:rPr>
              <w:t xml:space="preserve">20  </w:t>
            </w:r>
            <w:r>
              <w:rPr>
                <w:rFonts w:hint="eastAsia" w:ascii="Times New Roman" w:hAnsi="Times New Roman" w:eastAsia="宋体" w:cs="Times New Roman"/>
                <w:b/>
                <w:bCs/>
                <w:color w:val="auto"/>
                <w:sz w:val="24"/>
                <w:szCs w:val="24"/>
                <w:highlight w:val="none"/>
                <w:lang w:val="en-US" w:eastAsia="zh-CN"/>
              </w:rPr>
              <w:t>土壤环境质量标准限值单位：mg/kg，pH为量纲</w:t>
            </w:r>
          </w:p>
          <w:tbl>
            <w:tblPr>
              <w:tblStyle w:val="41"/>
              <w:tblpPr w:leftFromText="180" w:rightFromText="180" w:vertAnchor="text" w:horzAnchor="page" w:tblpXSpec="center" w:tblpY="259"/>
              <w:tblOverlap w:val="never"/>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3"/>
              <w:gridCol w:w="2827"/>
              <w:gridCol w:w="1150"/>
              <w:gridCol w:w="1150"/>
              <w:gridCol w:w="1150"/>
              <w:gridCol w:w="1152"/>
            </w:tblGrid>
            <w:tr w14:paraId="2E94C8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restart"/>
                  <w:noWrap w:val="0"/>
                  <w:vAlign w:val="center"/>
                </w:tcPr>
                <w:p w14:paraId="1C5FE2FC">
                  <w:pPr>
                    <w:pStyle w:val="86"/>
                    <w:jc w:val="center"/>
                    <w:rPr>
                      <w:rFonts w:hint="default"/>
                      <w:b/>
                      <w:bCs/>
                      <w:color w:val="auto"/>
                      <w:lang w:val="en-US" w:eastAsia="zh-CN"/>
                    </w:rPr>
                  </w:pPr>
                  <w:r>
                    <w:rPr>
                      <w:rFonts w:hint="eastAsia"/>
                      <w:b/>
                      <w:bCs/>
                      <w:color w:val="auto"/>
                      <w:lang w:val="en-US" w:eastAsia="zh-CN"/>
                    </w:rPr>
                    <w:t>序号</w:t>
                  </w:r>
                </w:p>
              </w:tc>
              <w:tc>
                <w:tcPr>
                  <w:tcW w:w="1706" w:type="pct"/>
                  <w:vMerge w:val="restart"/>
                  <w:noWrap w:val="0"/>
                  <w:vAlign w:val="center"/>
                </w:tcPr>
                <w:p w14:paraId="359BFE6D">
                  <w:pPr>
                    <w:pStyle w:val="86"/>
                    <w:jc w:val="center"/>
                    <w:rPr>
                      <w:rFonts w:hint="default"/>
                      <w:b/>
                      <w:bCs/>
                      <w:color w:val="auto"/>
                      <w:lang w:val="en-US" w:eastAsia="zh-CN"/>
                    </w:rPr>
                  </w:pPr>
                  <w:r>
                    <w:rPr>
                      <w:rFonts w:hint="eastAsia"/>
                      <w:b/>
                      <w:bCs/>
                      <w:color w:val="auto"/>
                      <w:lang w:val="en-US" w:eastAsia="zh-CN"/>
                    </w:rPr>
                    <w:t>污染物项目</w:t>
                  </w:r>
                </w:p>
              </w:tc>
              <w:tc>
                <w:tcPr>
                  <w:tcW w:w="1388" w:type="pct"/>
                  <w:gridSpan w:val="2"/>
                  <w:noWrap w:val="0"/>
                  <w:vAlign w:val="center"/>
                </w:tcPr>
                <w:p w14:paraId="5DF7DE75">
                  <w:pPr>
                    <w:pStyle w:val="86"/>
                    <w:jc w:val="center"/>
                    <w:rPr>
                      <w:rFonts w:hint="default"/>
                      <w:b/>
                      <w:bCs/>
                      <w:color w:val="auto"/>
                      <w:lang w:val="en-US" w:eastAsia="zh-CN"/>
                    </w:rPr>
                  </w:pPr>
                  <w:r>
                    <w:rPr>
                      <w:rFonts w:hint="eastAsia"/>
                      <w:b/>
                      <w:bCs/>
                      <w:color w:val="auto"/>
                      <w:lang w:val="en-US" w:eastAsia="zh-CN"/>
                    </w:rPr>
                    <w:t>筛选值</w:t>
                  </w:r>
                </w:p>
              </w:tc>
              <w:tc>
                <w:tcPr>
                  <w:tcW w:w="1389" w:type="pct"/>
                  <w:gridSpan w:val="2"/>
                  <w:noWrap w:val="0"/>
                  <w:vAlign w:val="center"/>
                </w:tcPr>
                <w:p w14:paraId="67BBE56A">
                  <w:pPr>
                    <w:pStyle w:val="86"/>
                    <w:jc w:val="center"/>
                    <w:rPr>
                      <w:rFonts w:hint="default"/>
                      <w:b/>
                      <w:bCs/>
                      <w:color w:val="auto"/>
                      <w:lang w:val="en-US" w:eastAsia="zh-CN"/>
                    </w:rPr>
                  </w:pPr>
                  <w:r>
                    <w:rPr>
                      <w:rFonts w:hint="eastAsia"/>
                      <w:b/>
                      <w:bCs/>
                      <w:color w:val="auto"/>
                      <w:lang w:val="en-US" w:eastAsia="zh-CN"/>
                    </w:rPr>
                    <w:t>管制值</w:t>
                  </w:r>
                </w:p>
              </w:tc>
            </w:tr>
            <w:tr w14:paraId="30907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vMerge w:val="continue"/>
                  <w:noWrap w:val="0"/>
                  <w:vAlign w:val="center"/>
                </w:tcPr>
                <w:p w14:paraId="4DEC8EB3">
                  <w:pPr>
                    <w:pStyle w:val="86"/>
                    <w:jc w:val="center"/>
                    <w:rPr>
                      <w:rFonts w:hint="eastAsia"/>
                      <w:b/>
                      <w:bCs/>
                      <w:color w:val="auto"/>
                      <w:lang w:val="en-US" w:eastAsia="zh-CN"/>
                    </w:rPr>
                  </w:pPr>
                </w:p>
              </w:tc>
              <w:tc>
                <w:tcPr>
                  <w:tcW w:w="1706" w:type="pct"/>
                  <w:vMerge w:val="continue"/>
                  <w:noWrap w:val="0"/>
                  <w:vAlign w:val="center"/>
                </w:tcPr>
                <w:p w14:paraId="7150DDD4">
                  <w:pPr>
                    <w:pStyle w:val="86"/>
                    <w:jc w:val="center"/>
                    <w:rPr>
                      <w:rFonts w:hint="eastAsia"/>
                      <w:b/>
                      <w:bCs/>
                      <w:color w:val="auto"/>
                      <w:lang w:val="en-US" w:eastAsia="zh-CN"/>
                    </w:rPr>
                  </w:pPr>
                </w:p>
              </w:tc>
              <w:tc>
                <w:tcPr>
                  <w:tcW w:w="694" w:type="pct"/>
                  <w:noWrap w:val="0"/>
                  <w:vAlign w:val="center"/>
                </w:tcPr>
                <w:p w14:paraId="1256BBDD">
                  <w:pPr>
                    <w:pStyle w:val="86"/>
                    <w:jc w:val="center"/>
                    <w:rPr>
                      <w:rFonts w:hint="default"/>
                      <w:b/>
                      <w:bCs/>
                      <w:color w:val="auto"/>
                      <w:lang w:val="en-US" w:eastAsia="zh-CN"/>
                    </w:rPr>
                  </w:pPr>
                  <w:r>
                    <w:rPr>
                      <w:rFonts w:hint="eastAsia"/>
                      <w:b/>
                      <w:bCs/>
                      <w:color w:val="auto"/>
                      <w:lang w:val="en-US" w:eastAsia="zh-CN"/>
                    </w:rPr>
                    <w:t>第一类用地</w:t>
                  </w:r>
                </w:p>
              </w:tc>
              <w:tc>
                <w:tcPr>
                  <w:tcW w:w="694" w:type="pct"/>
                  <w:noWrap w:val="0"/>
                  <w:vAlign w:val="center"/>
                </w:tcPr>
                <w:p w14:paraId="7063AF95">
                  <w:pPr>
                    <w:pStyle w:val="86"/>
                    <w:jc w:val="center"/>
                    <w:rPr>
                      <w:rFonts w:hint="eastAsia"/>
                      <w:b/>
                      <w:bCs/>
                      <w:color w:val="auto"/>
                      <w:lang w:val="en-US" w:eastAsia="zh-CN"/>
                    </w:rPr>
                  </w:pPr>
                  <w:r>
                    <w:rPr>
                      <w:rFonts w:hint="eastAsia"/>
                      <w:b/>
                      <w:bCs/>
                      <w:color w:val="auto"/>
                      <w:lang w:val="en-US" w:eastAsia="zh-CN"/>
                    </w:rPr>
                    <w:t>第二类用地</w:t>
                  </w:r>
                </w:p>
              </w:tc>
              <w:tc>
                <w:tcPr>
                  <w:tcW w:w="694" w:type="pct"/>
                  <w:noWrap w:val="0"/>
                  <w:vAlign w:val="center"/>
                </w:tcPr>
                <w:p w14:paraId="4CD93197">
                  <w:pPr>
                    <w:pStyle w:val="86"/>
                    <w:jc w:val="center"/>
                    <w:rPr>
                      <w:rFonts w:hint="eastAsia"/>
                      <w:b/>
                      <w:bCs/>
                      <w:color w:val="auto"/>
                      <w:lang w:val="en-US" w:eastAsia="zh-CN"/>
                    </w:rPr>
                  </w:pPr>
                  <w:r>
                    <w:rPr>
                      <w:rFonts w:hint="eastAsia"/>
                      <w:b/>
                      <w:bCs/>
                      <w:color w:val="auto"/>
                      <w:lang w:val="en-US" w:eastAsia="zh-CN"/>
                    </w:rPr>
                    <w:t>第一类用地</w:t>
                  </w:r>
                </w:p>
              </w:tc>
              <w:tc>
                <w:tcPr>
                  <w:tcW w:w="695" w:type="pct"/>
                  <w:noWrap w:val="0"/>
                  <w:vAlign w:val="center"/>
                </w:tcPr>
                <w:p w14:paraId="45357E2F">
                  <w:pPr>
                    <w:pStyle w:val="86"/>
                    <w:jc w:val="center"/>
                    <w:rPr>
                      <w:rFonts w:hint="eastAsia"/>
                      <w:b/>
                      <w:bCs/>
                      <w:color w:val="auto"/>
                      <w:lang w:val="en-US" w:eastAsia="zh-CN"/>
                    </w:rPr>
                  </w:pPr>
                  <w:r>
                    <w:rPr>
                      <w:rFonts w:hint="eastAsia"/>
                      <w:b/>
                      <w:bCs/>
                      <w:color w:val="auto"/>
                      <w:lang w:val="en-US" w:eastAsia="zh-CN"/>
                    </w:rPr>
                    <w:t>第二类用地</w:t>
                  </w:r>
                </w:p>
              </w:tc>
            </w:tr>
            <w:tr w14:paraId="0FB34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0A0B9131">
                  <w:pPr>
                    <w:pStyle w:val="86"/>
                    <w:jc w:val="center"/>
                    <w:rPr>
                      <w:rFonts w:hint="default"/>
                      <w:color w:val="auto"/>
                      <w:lang w:val="en-US" w:eastAsia="zh-CN"/>
                    </w:rPr>
                  </w:pPr>
                  <w:r>
                    <w:rPr>
                      <w:rFonts w:hint="eastAsia"/>
                      <w:color w:val="auto"/>
                      <w:lang w:val="en-US" w:eastAsia="zh-CN"/>
                    </w:rPr>
                    <w:t>1</w:t>
                  </w:r>
                </w:p>
              </w:tc>
              <w:tc>
                <w:tcPr>
                  <w:tcW w:w="1706" w:type="pct"/>
                  <w:noWrap w:val="0"/>
                  <w:vAlign w:val="center"/>
                </w:tcPr>
                <w:p w14:paraId="1B43EB64">
                  <w:pPr>
                    <w:pStyle w:val="86"/>
                    <w:jc w:val="center"/>
                    <w:rPr>
                      <w:rFonts w:hint="default"/>
                      <w:color w:val="auto"/>
                      <w:lang w:val="en-US" w:eastAsia="zh-CN"/>
                    </w:rPr>
                  </w:pPr>
                  <w:r>
                    <w:rPr>
                      <w:rFonts w:hint="eastAsia"/>
                      <w:color w:val="auto"/>
                      <w:lang w:val="en-US" w:eastAsia="zh-CN"/>
                    </w:rPr>
                    <w:t>砷</w:t>
                  </w:r>
                </w:p>
              </w:tc>
              <w:tc>
                <w:tcPr>
                  <w:tcW w:w="694" w:type="pct"/>
                  <w:noWrap w:val="0"/>
                  <w:vAlign w:val="center"/>
                </w:tcPr>
                <w:p w14:paraId="14F6A008">
                  <w:pPr>
                    <w:pStyle w:val="86"/>
                    <w:jc w:val="center"/>
                    <w:rPr>
                      <w:rFonts w:hint="default"/>
                      <w:color w:val="auto"/>
                      <w:vertAlign w:val="superscript"/>
                      <w:lang w:val="en-US" w:eastAsia="zh-CN"/>
                    </w:rPr>
                  </w:pPr>
                  <w:r>
                    <w:rPr>
                      <w:rFonts w:hint="eastAsia"/>
                      <w:color w:val="auto"/>
                      <w:lang w:val="en-US" w:eastAsia="zh-CN"/>
                    </w:rPr>
                    <w:t>20</w:t>
                  </w:r>
                  <w:r>
                    <w:rPr>
                      <w:rFonts w:hint="eastAsia"/>
                      <w:color w:val="auto"/>
                      <w:vertAlign w:val="superscript"/>
                      <w:lang w:val="en-US" w:eastAsia="zh-CN"/>
                    </w:rPr>
                    <w:t>a</w:t>
                  </w:r>
                </w:p>
              </w:tc>
              <w:tc>
                <w:tcPr>
                  <w:tcW w:w="694" w:type="pct"/>
                  <w:shd w:val="clear" w:color="auto" w:fill="auto"/>
                  <w:noWrap w:val="0"/>
                  <w:vAlign w:val="center"/>
                </w:tcPr>
                <w:p w14:paraId="0E5F7089">
                  <w:pPr>
                    <w:pStyle w:val="86"/>
                    <w:jc w:val="center"/>
                    <w:rPr>
                      <w:rFonts w:hint="default" w:ascii="Times New Roman" w:hAnsi="Times New Roman" w:eastAsia="宋体" w:cs="Arial"/>
                      <w:color w:val="auto"/>
                      <w:kern w:val="2"/>
                      <w:sz w:val="21"/>
                      <w:szCs w:val="24"/>
                      <w:vertAlign w:val="superscript"/>
                      <w:lang w:val="en-US" w:eastAsia="zh-CN" w:bidi="ar-SA"/>
                    </w:rPr>
                  </w:pPr>
                  <w:r>
                    <w:rPr>
                      <w:rFonts w:hint="eastAsia"/>
                      <w:color w:val="auto"/>
                      <w:lang w:val="en-US" w:eastAsia="zh-CN"/>
                    </w:rPr>
                    <w:t>60</w:t>
                  </w:r>
                  <w:r>
                    <w:rPr>
                      <w:rFonts w:hint="eastAsia"/>
                      <w:color w:val="auto"/>
                      <w:vertAlign w:val="superscript"/>
                      <w:lang w:val="en-US" w:eastAsia="zh-CN"/>
                    </w:rPr>
                    <w:t>a</w:t>
                  </w:r>
                </w:p>
              </w:tc>
              <w:tc>
                <w:tcPr>
                  <w:tcW w:w="694" w:type="pct"/>
                  <w:noWrap w:val="0"/>
                  <w:vAlign w:val="center"/>
                </w:tcPr>
                <w:p w14:paraId="5196F7E5">
                  <w:pPr>
                    <w:pStyle w:val="86"/>
                    <w:jc w:val="center"/>
                    <w:rPr>
                      <w:rFonts w:hint="default"/>
                      <w:color w:val="auto"/>
                      <w:lang w:val="en-US" w:eastAsia="zh-CN"/>
                    </w:rPr>
                  </w:pPr>
                  <w:r>
                    <w:rPr>
                      <w:rFonts w:hint="eastAsia"/>
                      <w:color w:val="auto"/>
                      <w:lang w:val="en-US" w:eastAsia="zh-CN"/>
                    </w:rPr>
                    <w:t>120</w:t>
                  </w:r>
                </w:p>
              </w:tc>
              <w:tc>
                <w:tcPr>
                  <w:tcW w:w="695" w:type="pct"/>
                  <w:shd w:val="clear" w:color="auto" w:fill="auto"/>
                  <w:noWrap w:val="0"/>
                  <w:vAlign w:val="center"/>
                </w:tcPr>
                <w:p w14:paraId="5286265F">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140</w:t>
                  </w:r>
                </w:p>
              </w:tc>
            </w:tr>
            <w:tr w14:paraId="09A2CC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17131FB3">
                  <w:pPr>
                    <w:pStyle w:val="86"/>
                    <w:jc w:val="center"/>
                    <w:rPr>
                      <w:rFonts w:hint="default"/>
                      <w:color w:val="auto"/>
                      <w:lang w:val="en-US" w:eastAsia="zh-CN"/>
                    </w:rPr>
                  </w:pPr>
                  <w:r>
                    <w:rPr>
                      <w:rFonts w:hint="eastAsia"/>
                      <w:color w:val="auto"/>
                      <w:lang w:val="en-US" w:eastAsia="zh-CN"/>
                    </w:rPr>
                    <w:t>2</w:t>
                  </w:r>
                </w:p>
              </w:tc>
              <w:tc>
                <w:tcPr>
                  <w:tcW w:w="1706" w:type="pct"/>
                  <w:noWrap w:val="0"/>
                  <w:vAlign w:val="center"/>
                </w:tcPr>
                <w:p w14:paraId="571DFA9A">
                  <w:pPr>
                    <w:pStyle w:val="86"/>
                    <w:jc w:val="center"/>
                    <w:rPr>
                      <w:rFonts w:hint="default"/>
                      <w:color w:val="auto"/>
                      <w:lang w:val="en-US" w:eastAsia="zh-CN"/>
                    </w:rPr>
                  </w:pPr>
                  <w:r>
                    <w:rPr>
                      <w:rFonts w:hint="eastAsia"/>
                      <w:color w:val="auto"/>
                      <w:lang w:val="en-US" w:eastAsia="zh-CN"/>
                    </w:rPr>
                    <w:t>镉</w:t>
                  </w:r>
                </w:p>
              </w:tc>
              <w:tc>
                <w:tcPr>
                  <w:tcW w:w="694" w:type="pct"/>
                  <w:noWrap w:val="0"/>
                  <w:vAlign w:val="center"/>
                </w:tcPr>
                <w:p w14:paraId="4D51121F">
                  <w:pPr>
                    <w:pStyle w:val="86"/>
                    <w:jc w:val="center"/>
                    <w:rPr>
                      <w:rFonts w:hint="default"/>
                      <w:color w:val="auto"/>
                      <w:lang w:val="en-US" w:eastAsia="zh-CN"/>
                    </w:rPr>
                  </w:pPr>
                  <w:r>
                    <w:rPr>
                      <w:rFonts w:hint="eastAsia"/>
                      <w:color w:val="auto"/>
                      <w:lang w:val="en-US" w:eastAsia="zh-CN"/>
                    </w:rPr>
                    <w:t>20</w:t>
                  </w:r>
                </w:p>
              </w:tc>
              <w:tc>
                <w:tcPr>
                  <w:tcW w:w="694" w:type="pct"/>
                  <w:shd w:val="clear" w:color="auto" w:fill="auto"/>
                  <w:noWrap w:val="0"/>
                  <w:vAlign w:val="center"/>
                </w:tcPr>
                <w:p w14:paraId="4758910D">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65</w:t>
                  </w:r>
                </w:p>
              </w:tc>
              <w:tc>
                <w:tcPr>
                  <w:tcW w:w="694" w:type="pct"/>
                  <w:noWrap w:val="0"/>
                  <w:vAlign w:val="center"/>
                </w:tcPr>
                <w:p w14:paraId="0E50AC5B">
                  <w:pPr>
                    <w:pStyle w:val="86"/>
                    <w:jc w:val="center"/>
                    <w:rPr>
                      <w:rFonts w:hint="default"/>
                      <w:color w:val="auto"/>
                      <w:lang w:val="en-US" w:eastAsia="zh-CN"/>
                    </w:rPr>
                  </w:pPr>
                  <w:r>
                    <w:rPr>
                      <w:rFonts w:hint="eastAsia"/>
                      <w:color w:val="auto"/>
                      <w:lang w:val="en-US" w:eastAsia="zh-CN"/>
                    </w:rPr>
                    <w:t>47</w:t>
                  </w:r>
                </w:p>
              </w:tc>
              <w:tc>
                <w:tcPr>
                  <w:tcW w:w="695" w:type="pct"/>
                  <w:shd w:val="clear" w:color="auto" w:fill="auto"/>
                  <w:noWrap w:val="0"/>
                  <w:vAlign w:val="center"/>
                </w:tcPr>
                <w:p w14:paraId="6FF018BB">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172</w:t>
                  </w:r>
                </w:p>
              </w:tc>
            </w:tr>
            <w:tr w14:paraId="7E4F9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5DE18665">
                  <w:pPr>
                    <w:pStyle w:val="86"/>
                    <w:jc w:val="center"/>
                    <w:rPr>
                      <w:rFonts w:hint="default"/>
                      <w:color w:val="auto"/>
                      <w:lang w:val="en-US" w:eastAsia="zh-CN"/>
                    </w:rPr>
                  </w:pPr>
                  <w:r>
                    <w:rPr>
                      <w:rFonts w:hint="eastAsia"/>
                      <w:color w:val="auto"/>
                      <w:lang w:val="en-US" w:eastAsia="zh-CN"/>
                    </w:rPr>
                    <w:t>3</w:t>
                  </w:r>
                </w:p>
              </w:tc>
              <w:tc>
                <w:tcPr>
                  <w:tcW w:w="1706" w:type="pct"/>
                  <w:noWrap w:val="0"/>
                  <w:vAlign w:val="center"/>
                </w:tcPr>
                <w:p w14:paraId="6C067322">
                  <w:pPr>
                    <w:pStyle w:val="86"/>
                    <w:jc w:val="center"/>
                    <w:rPr>
                      <w:rFonts w:hint="default"/>
                      <w:color w:val="auto"/>
                      <w:lang w:val="en-US" w:eastAsia="zh-CN"/>
                    </w:rPr>
                  </w:pPr>
                  <w:r>
                    <w:rPr>
                      <w:rFonts w:hint="eastAsia"/>
                      <w:color w:val="auto"/>
                      <w:lang w:val="en-US" w:eastAsia="zh-CN"/>
                    </w:rPr>
                    <w:t>铬（六价）</w:t>
                  </w:r>
                </w:p>
              </w:tc>
              <w:tc>
                <w:tcPr>
                  <w:tcW w:w="694" w:type="pct"/>
                  <w:noWrap w:val="0"/>
                  <w:vAlign w:val="center"/>
                </w:tcPr>
                <w:p w14:paraId="6FA29ECF">
                  <w:pPr>
                    <w:pStyle w:val="86"/>
                    <w:jc w:val="center"/>
                    <w:rPr>
                      <w:rFonts w:hint="default"/>
                      <w:color w:val="auto"/>
                      <w:lang w:val="en-US" w:eastAsia="zh-CN"/>
                    </w:rPr>
                  </w:pPr>
                  <w:r>
                    <w:rPr>
                      <w:rFonts w:hint="eastAsia"/>
                      <w:color w:val="auto"/>
                      <w:lang w:val="en-US" w:eastAsia="zh-CN"/>
                    </w:rPr>
                    <w:t>3.0</w:t>
                  </w:r>
                </w:p>
              </w:tc>
              <w:tc>
                <w:tcPr>
                  <w:tcW w:w="694" w:type="pct"/>
                  <w:shd w:val="clear" w:color="auto" w:fill="auto"/>
                  <w:noWrap w:val="0"/>
                  <w:vAlign w:val="center"/>
                </w:tcPr>
                <w:p w14:paraId="01203605">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5.7</w:t>
                  </w:r>
                </w:p>
              </w:tc>
              <w:tc>
                <w:tcPr>
                  <w:tcW w:w="694" w:type="pct"/>
                  <w:noWrap w:val="0"/>
                  <w:vAlign w:val="center"/>
                </w:tcPr>
                <w:p w14:paraId="6E7135DE">
                  <w:pPr>
                    <w:pStyle w:val="86"/>
                    <w:jc w:val="center"/>
                    <w:rPr>
                      <w:rFonts w:hint="default"/>
                      <w:color w:val="auto"/>
                      <w:lang w:val="en-US" w:eastAsia="zh-CN"/>
                    </w:rPr>
                  </w:pPr>
                  <w:r>
                    <w:rPr>
                      <w:rFonts w:hint="eastAsia"/>
                      <w:color w:val="auto"/>
                      <w:lang w:val="en-US" w:eastAsia="zh-CN"/>
                    </w:rPr>
                    <w:t>30</w:t>
                  </w:r>
                </w:p>
              </w:tc>
              <w:tc>
                <w:tcPr>
                  <w:tcW w:w="695" w:type="pct"/>
                  <w:shd w:val="clear" w:color="auto" w:fill="auto"/>
                  <w:noWrap w:val="0"/>
                  <w:vAlign w:val="center"/>
                </w:tcPr>
                <w:p w14:paraId="1136F743">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78</w:t>
                  </w:r>
                </w:p>
              </w:tc>
            </w:tr>
            <w:tr w14:paraId="4FD67C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1CA94559">
                  <w:pPr>
                    <w:pStyle w:val="86"/>
                    <w:jc w:val="center"/>
                    <w:rPr>
                      <w:rFonts w:hint="default"/>
                      <w:color w:val="auto"/>
                      <w:lang w:val="en-US" w:eastAsia="zh-CN"/>
                    </w:rPr>
                  </w:pPr>
                  <w:r>
                    <w:rPr>
                      <w:rFonts w:hint="eastAsia"/>
                      <w:color w:val="auto"/>
                      <w:lang w:val="en-US" w:eastAsia="zh-CN"/>
                    </w:rPr>
                    <w:t>4</w:t>
                  </w:r>
                </w:p>
              </w:tc>
              <w:tc>
                <w:tcPr>
                  <w:tcW w:w="1706" w:type="pct"/>
                  <w:noWrap w:val="0"/>
                  <w:vAlign w:val="center"/>
                </w:tcPr>
                <w:p w14:paraId="34077E51">
                  <w:pPr>
                    <w:pStyle w:val="86"/>
                    <w:jc w:val="center"/>
                    <w:rPr>
                      <w:rFonts w:hint="default"/>
                      <w:color w:val="auto"/>
                      <w:lang w:val="en-US" w:eastAsia="zh-CN"/>
                    </w:rPr>
                  </w:pPr>
                  <w:r>
                    <w:rPr>
                      <w:rFonts w:hint="eastAsia"/>
                      <w:color w:val="auto"/>
                      <w:lang w:val="en-US" w:eastAsia="zh-CN"/>
                    </w:rPr>
                    <w:t>铜</w:t>
                  </w:r>
                </w:p>
              </w:tc>
              <w:tc>
                <w:tcPr>
                  <w:tcW w:w="694" w:type="pct"/>
                  <w:noWrap w:val="0"/>
                  <w:vAlign w:val="center"/>
                </w:tcPr>
                <w:p w14:paraId="31BB7DD5">
                  <w:pPr>
                    <w:pStyle w:val="86"/>
                    <w:jc w:val="center"/>
                    <w:rPr>
                      <w:rFonts w:hint="default"/>
                      <w:color w:val="auto"/>
                      <w:lang w:val="en-US" w:eastAsia="zh-CN"/>
                    </w:rPr>
                  </w:pPr>
                  <w:r>
                    <w:rPr>
                      <w:rFonts w:hint="eastAsia"/>
                      <w:color w:val="auto"/>
                      <w:lang w:val="en-US" w:eastAsia="zh-CN"/>
                    </w:rPr>
                    <w:t>2000</w:t>
                  </w:r>
                </w:p>
              </w:tc>
              <w:tc>
                <w:tcPr>
                  <w:tcW w:w="694" w:type="pct"/>
                  <w:shd w:val="clear" w:color="auto" w:fill="auto"/>
                  <w:noWrap w:val="0"/>
                  <w:vAlign w:val="center"/>
                </w:tcPr>
                <w:p w14:paraId="4E01D1C2">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18000</w:t>
                  </w:r>
                </w:p>
              </w:tc>
              <w:tc>
                <w:tcPr>
                  <w:tcW w:w="694" w:type="pct"/>
                  <w:noWrap w:val="0"/>
                  <w:vAlign w:val="center"/>
                </w:tcPr>
                <w:p w14:paraId="50915FDD">
                  <w:pPr>
                    <w:pStyle w:val="86"/>
                    <w:jc w:val="center"/>
                    <w:rPr>
                      <w:rFonts w:hint="default"/>
                      <w:color w:val="auto"/>
                      <w:lang w:val="en-US" w:eastAsia="zh-CN"/>
                    </w:rPr>
                  </w:pPr>
                  <w:r>
                    <w:rPr>
                      <w:rFonts w:hint="eastAsia"/>
                      <w:color w:val="auto"/>
                      <w:lang w:val="en-US" w:eastAsia="zh-CN"/>
                    </w:rPr>
                    <w:t>8000</w:t>
                  </w:r>
                </w:p>
              </w:tc>
              <w:tc>
                <w:tcPr>
                  <w:tcW w:w="695" w:type="pct"/>
                  <w:shd w:val="clear" w:color="auto" w:fill="auto"/>
                  <w:noWrap w:val="0"/>
                  <w:vAlign w:val="center"/>
                </w:tcPr>
                <w:p w14:paraId="564D82B1">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36000</w:t>
                  </w:r>
                </w:p>
              </w:tc>
            </w:tr>
            <w:tr w14:paraId="124B31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1AAB13CE">
                  <w:pPr>
                    <w:pStyle w:val="86"/>
                    <w:jc w:val="center"/>
                    <w:rPr>
                      <w:rFonts w:hint="default"/>
                      <w:color w:val="auto"/>
                      <w:lang w:val="en-US" w:eastAsia="zh-CN"/>
                    </w:rPr>
                  </w:pPr>
                  <w:r>
                    <w:rPr>
                      <w:rFonts w:hint="eastAsia"/>
                      <w:color w:val="auto"/>
                      <w:lang w:val="en-US" w:eastAsia="zh-CN"/>
                    </w:rPr>
                    <w:t>5</w:t>
                  </w:r>
                </w:p>
              </w:tc>
              <w:tc>
                <w:tcPr>
                  <w:tcW w:w="1706" w:type="pct"/>
                  <w:noWrap w:val="0"/>
                  <w:vAlign w:val="center"/>
                </w:tcPr>
                <w:p w14:paraId="328CB7CE">
                  <w:pPr>
                    <w:pStyle w:val="86"/>
                    <w:jc w:val="center"/>
                    <w:rPr>
                      <w:rFonts w:hint="default"/>
                      <w:color w:val="auto"/>
                      <w:lang w:val="en-US" w:eastAsia="zh-CN"/>
                    </w:rPr>
                  </w:pPr>
                  <w:r>
                    <w:rPr>
                      <w:rFonts w:hint="eastAsia"/>
                      <w:color w:val="auto"/>
                      <w:lang w:val="en-US" w:eastAsia="zh-CN"/>
                    </w:rPr>
                    <w:t>铅</w:t>
                  </w:r>
                </w:p>
              </w:tc>
              <w:tc>
                <w:tcPr>
                  <w:tcW w:w="694" w:type="pct"/>
                  <w:noWrap w:val="0"/>
                  <w:vAlign w:val="center"/>
                </w:tcPr>
                <w:p w14:paraId="1640C56A">
                  <w:pPr>
                    <w:pStyle w:val="86"/>
                    <w:jc w:val="center"/>
                    <w:rPr>
                      <w:rFonts w:hint="default"/>
                      <w:color w:val="auto"/>
                      <w:lang w:val="en-US" w:eastAsia="zh-CN"/>
                    </w:rPr>
                  </w:pPr>
                  <w:r>
                    <w:rPr>
                      <w:rFonts w:hint="eastAsia"/>
                      <w:color w:val="auto"/>
                      <w:lang w:val="en-US" w:eastAsia="zh-CN"/>
                    </w:rPr>
                    <w:t>400</w:t>
                  </w:r>
                </w:p>
              </w:tc>
              <w:tc>
                <w:tcPr>
                  <w:tcW w:w="694" w:type="pct"/>
                  <w:shd w:val="clear" w:color="auto" w:fill="auto"/>
                  <w:noWrap w:val="0"/>
                  <w:vAlign w:val="center"/>
                </w:tcPr>
                <w:p w14:paraId="0B3D5EB5">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800</w:t>
                  </w:r>
                </w:p>
              </w:tc>
              <w:tc>
                <w:tcPr>
                  <w:tcW w:w="694" w:type="pct"/>
                  <w:noWrap w:val="0"/>
                  <w:vAlign w:val="center"/>
                </w:tcPr>
                <w:p w14:paraId="58971C5D">
                  <w:pPr>
                    <w:pStyle w:val="86"/>
                    <w:jc w:val="center"/>
                    <w:rPr>
                      <w:rFonts w:hint="default"/>
                      <w:color w:val="auto"/>
                      <w:lang w:val="en-US" w:eastAsia="zh-CN"/>
                    </w:rPr>
                  </w:pPr>
                  <w:r>
                    <w:rPr>
                      <w:rFonts w:hint="eastAsia"/>
                      <w:color w:val="auto"/>
                      <w:lang w:val="en-US" w:eastAsia="zh-CN"/>
                    </w:rPr>
                    <w:t>800</w:t>
                  </w:r>
                </w:p>
              </w:tc>
              <w:tc>
                <w:tcPr>
                  <w:tcW w:w="695" w:type="pct"/>
                  <w:shd w:val="clear" w:color="auto" w:fill="auto"/>
                  <w:noWrap w:val="0"/>
                  <w:vAlign w:val="center"/>
                </w:tcPr>
                <w:p w14:paraId="69175FDF">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2500</w:t>
                  </w:r>
                </w:p>
              </w:tc>
            </w:tr>
            <w:tr w14:paraId="6A9A3D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0E99A848">
                  <w:pPr>
                    <w:pStyle w:val="86"/>
                    <w:jc w:val="center"/>
                    <w:rPr>
                      <w:rFonts w:hint="default"/>
                      <w:color w:val="auto"/>
                      <w:lang w:val="en-US" w:eastAsia="zh-CN"/>
                    </w:rPr>
                  </w:pPr>
                  <w:r>
                    <w:rPr>
                      <w:rFonts w:hint="eastAsia"/>
                      <w:color w:val="auto"/>
                      <w:lang w:val="en-US" w:eastAsia="zh-CN"/>
                    </w:rPr>
                    <w:t>6</w:t>
                  </w:r>
                </w:p>
              </w:tc>
              <w:tc>
                <w:tcPr>
                  <w:tcW w:w="1706" w:type="pct"/>
                  <w:noWrap w:val="0"/>
                  <w:vAlign w:val="center"/>
                </w:tcPr>
                <w:p w14:paraId="45AFDFE2">
                  <w:pPr>
                    <w:pStyle w:val="86"/>
                    <w:jc w:val="center"/>
                    <w:rPr>
                      <w:rFonts w:hint="default"/>
                      <w:color w:val="auto"/>
                      <w:lang w:val="en-US" w:eastAsia="zh-CN"/>
                    </w:rPr>
                  </w:pPr>
                  <w:r>
                    <w:rPr>
                      <w:rFonts w:hint="eastAsia"/>
                      <w:color w:val="auto"/>
                      <w:lang w:val="en-US" w:eastAsia="zh-CN"/>
                    </w:rPr>
                    <w:t>汞</w:t>
                  </w:r>
                </w:p>
              </w:tc>
              <w:tc>
                <w:tcPr>
                  <w:tcW w:w="694" w:type="pct"/>
                  <w:noWrap w:val="0"/>
                  <w:vAlign w:val="center"/>
                </w:tcPr>
                <w:p w14:paraId="27972804">
                  <w:pPr>
                    <w:pStyle w:val="86"/>
                    <w:jc w:val="center"/>
                    <w:rPr>
                      <w:rFonts w:hint="default"/>
                      <w:color w:val="auto"/>
                      <w:lang w:val="en-US" w:eastAsia="zh-CN"/>
                    </w:rPr>
                  </w:pPr>
                  <w:r>
                    <w:rPr>
                      <w:rFonts w:hint="eastAsia"/>
                      <w:color w:val="auto"/>
                      <w:lang w:val="en-US" w:eastAsia="zh-CN"/>
                    </w:rPr>
                    <w:t>8</w:t>
                  </w:r>
                </w:p>
              </w:tc>
              <w:tc>
                <w:tcPr>
                  <w:tcW w:w="694" w:type="pct"/>
                  <w:shd w:val="clear" w:color="auto" w:fill="auto"/>
                  <w:noWrap w:val="0"/>
                  <w:vAlign w:val="center"/>
                </w:tcPr>
                <w:p w14:paraId="5610F4B4">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38</w:t>
                  </w:r>
                </w:p>
              </w:tc>
              <w:tc>
                <w:tcPr>
                  <w:tcW w:w="694" w:type="pct"/>
                  <w:noWrap w:val="0"/>
                  <w:vAlign w:val="center"/>
                </w:tcPr>
                <w:p w14:paraId="5B67256F">
                  <w:pPr>
                    <w:pStyle w:val="86"/>
                    <w:jc w:val="center"/>
                    <w:rPr>
                      <w:rFonts w:hint="default"/>
                      <w:color w:val="auto"/>
                      <w:lang w:val="en-US" w:eastAsia="zh-CN"/>
                    </w:rPr>
                  </w:pPr>
                  <w:r>
                    <w:rPr>
                      <w:rFonts w:hint="eastAsia"/>
                      <w:color w:val="auto"/>
                      <w:lang w:val="en-US" w:eastAsia="zh-CN"/>
                    </w:rPr>
                    <w:t>33</w:t>
                  </w:r>
                </w:p>
              </w:tc>
              <w:tc>
                <w:tcPr>
                  <w:tcW w:w="695" w:type="pct"/>
                  <w:shd w:val="clear" w:color="auto" w:fill="auto"/>
                  <w:noWrap w:val="0"/>
                  <w:vAlign w:val="center"/>
                </w:tcPr>
                <w:p w14:paraId="6849265A">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82</w:t>
                  </w:r>
                </w:p>
              </w:tc>
            </w:tr>
            <w:tr w14:paraId="15935B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0339FDDA">
                  <w:pPr>
                    <w:pStyle w:val="86"/>
                    <w:jc w:val="center"/>
                    <w:rPr>
                      <w:rFonts w:hint="default"/>
                      <w:color w:val="auto"/>
                      <w:lang w:val="en-US" w:eastAsia="zh-CN"/>
                    </w:rPr>
                  </w:pPr>
                  <w:r>
                    <w:rPr>
                      <w:rFonts w:hint="eastAsia"/>
                      <w:color w:val="auto"/>
                      <w:lang w:val="en-US" w:eastAsia="zh-CN"/>
                    </w:rPr>
                    <w:t>7</w:t>
                  </w:r>
                </w:p>
              </w:tc>
              <w:tc>
                <w:tcPr>
                  <w:tcW w:w="1706" w:type="pct"/>
                  <w:noWrap w:val="0"/>
                  <w:vAlign w:val="center"/>
                </w:tcPr>
                <w:p w14:paraId="0CA4B030">
                  <w:pPr>
                    <w:pStyle w:val="86"/>
                    <w:jc w:val="center"/>
                    <w:rPr>
                      <w:rFonts w:hint="default"/>
                      <w:color w:val="auto"/>
                      <w:lang w:val="en-US" w:eastAsia="zh-CN"/>
                    </w:rPr>
                  </w:pPr>
                  <w:r>
                    <w:rPr>
                      <w:rFonts w:hint="eastAsia"/>
                      <w:color w:val="auto"/>
                      <w:lang w:val="en-US" w:eastAsia="zh-CN"/>
                    </w:rPr>
                    <w:t>镍</w:t>
                  </w:r>
                </w:p>
              </w:tc>
              <w:tc>
                <w:tcPr>
                  <w:tcW w:w="694" w:type="pct"/>
                  <w:noWrap w:val="0"/>
                  <w:vAlign w:val="center"/>
                </w:tcPr>
                <w:p w14:paraId="796F1593">
                  <w:pPr>
                    <w:pStyle w:val="86"/>
                    <w:jc w:val="center"/>
                    <w:rPr>
                      <w:rFonts w:hint="default"/>
                      <w:color w:val="auto"/>
                      <w:lang w:val="en-US" w:eastAsia="zh-CN"/>
                    </w:rPr>
                  </w:pPr>
                  <w:r>
                    <w:rPr>
                      <w:rFonts w:hint="eastAsia"/>
                      <w:color w:val="auto"/>
                      <w:lang w:val="en-US" w:eastAsia="zh-CN"/>
                    </w:rPr>
                    <w:t>150</w:t>
                  </w:r>
                </w:p>
              </w:tc>
              <w:tc>
                <w:tcPr>
                  <w:tcW w:w="694" w:type="pct"/>
                  <w:shd w:val="clear" w:color="auto" w:fill="auto"/>
                  <w:noWrap w:val="0"/>
                  <w:vAlign w:val="center"/>
                </w:tcPr>
                <w:p w14:paraId="38174387">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900</w:t>
                  </w:r>
                </w:p>
              </w:tc>
              <w:tc>
                <w:tcPr>
                  <w:tcW w:w="694" w:type="pct"/>
                  <w:noWrap w:val="0"/>
                  <w:vAlign w:val="center"/>
                </w:tcPr>
                <w:p w14:paraId="4E33EB6A">
                  <w:pPr>
                    <w:pStyle w:val="86"/>
                    <w:jc w:val="center"/>
                    <w:rPr>
                      <w:rFonts w:hint="default"/>
                      <w:color w:val="auto"/>
                      <w:lang w:val="en-US" w:eastAsia="zh-CN"/>
                    </w:rPr>
                  </w:pPr>
                  <w:r>
                    <w:rPr>
                      <w:rFonts w:hint="eastAsia"/>
                      <w:color w:val="auto"/>
                      <w:lang w:val="en-US" w:eastAsia="zh-CN"/>
                    </w:rPr>
                    <w:t>600</w:t>
                  </w:r>
                </w:p>
              </w:tc>
              <w:tc>
                <w:tcPr>
                  <w:tcW w:w="695" w:type="pct"/>
                  <w:shd w:val="clear" w:color="auto" w:fill="auto"/>
                  <w:noWrap w:val="0"/>
                  <w:vAlign w:val="center"/>
                </w:tcPr>
                <w:p w14:paraId="7A640ABA">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2000</w:t>
                  </w:r>
                </w:p>
              </w:tc>
            </w:tr>
            <w:tr w14:paraId="748FB5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20AFA4A3">
                  <w:pPr>
                    <w:pStyle w:val="86"/>
                    <w:jc w:val="center"/>
                    <w:rPr>
                      <w:rFonts w:hint="default"/>
                      <w:color w:val="auto"/>
                      <w:lang w:val="en-US" w:eastAsia="zh-CN"/>
                    </w:rPr>
                  </w:pPr>
                  <w:r>
                    <w:rPr>
                      <w:rFonts w:hint="eastAsia"/>
                      <w:color w:val="auto"/>
                      <w:lang w:val="en-US" w:eastAsia="zh-CN"/>
                    </w:rPr>
                    <w:t>8</w:t>
                  </w:r>
                </w:p>
              </w:tc>
              <w:tc>
                <w:tcPr>
                  <w:tcW w:w="1706" w:type="pct"/>
                  <w:noWrap w:val="0"/>
                  <w:vAlign w:val="center"/>
                </w:tcPr>
                <w:p w14:paraId="3397D70D">
                  <w:pPr>
                    <w:pStyle w:val="86"/>
                    <w:jc w:val="center"/>
                    <w:rPr>
                      <w:rFonts w:hint="default"/>
                      <w:color w:val="auto"/>
                      <w:lang w:val="en-US" w:eastAsia="zh-CN"/>
                    </w:rPr>
                  </w:pPr>
                  <w:r>
                    <w:rPr>
                      <w:rFonts w:hint="eastAsia"/>
                      <w:color w:val="auto"/>
                      <w:lang w:val="en-US" w:eastAsia="zh-CN"/>
                    </w:rPr>
                    <w:t>四氯化碳</w:t>
                  </w:r>
                </w:p>
              </w:tc>
              <w:tc>
                <w:tcPr>
                  <w:tcW w:w="694" w:type="pct"/>
                  <w:noWrap w:val="0"/>
                  <w:vAlign w:val="center"/>
                </w:tcPr>
                <w:p w14:paraId="1EBE3501">
                  <w:pPr>
                    <w:pStyle w:val="86"/>
                    <w:jc w:val="center"/>
                    <w:rPr>
                      <w:rFonts w:hint="default"/>
                      <w:color w:val="auto"/>
                      <w:lang w:val="en-US" w:eastAsia="zh-CN"/>
                    </w:rPr>
                  </w:pPr>
                  <w:r>
                    <w:rPr>
                      <w:rFonts w:hint="eastAsia"/>
                      <w:color w:val="auto"/>
                      <w:lang w:val="en-US" w:eastAsia="zh-CN"/>
                    </w:rPr>
                    <w:t>0.9</w:t>
                  </w:r>
                </w:p>
              </w:tc>
              <w:tc>
                <w:tcPr>
                  <w:tcW w:w="694" w:type="pct"/>
                  <w:shd w:val="clear" w:color="auto" w:fill="auto"/>
                  <w:noWrap w:val="0"/>
                  <w:vAlign w:val="center"/>
                </w:tcPr>
                <w:p w14:paraId="30FF7F3F">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2.8</w:t>
                  </w:r>
                </w:p>
              </w:tc>
              <w:tc>
                <w:tcPr>
                  <w:tcW w:w="694" w:type="pct"/>
                  <w:noWrap w:val="0"/>
                  <w:vAlign w:val="center"/>
                </w:tcPr>
                <w:p w14:paraId="1F480ACB">
                  <w:pPr>
                    <w:pStyle w:val="86"/>
                    <w:jc w:val="center"/>
                    <w:rPr>
                      <w:rFonts w:hint="default"/>
                      <w:color w:val="auto"/>
                      <w:lang w:val="en-US" w:eastAsia="zh-CN"/>
                    </w:rPr>
                  </w:pPr>
                  <w:r>
                    <w:rPr>
                      <w:rFonts w:hint="eastAsia"/>
                      <w:color w:val="auto"/>
                      <w:lang w:val="en-US" w:eastAsia="zh-CN"/>
                    </w:rPr>
                    <w:t>9</w:t>
                  </w:r>
                </w:p>
              </w:tc>
              <w:tc>
                <w:tcPr>
                  <w:tcW w:w="695" w:type="pct"/>
                  <w:shd w:val="clear" w:color="auto" w:fill="auto"/>
                  <w:noWrap w:val="0"/>
                  <w:vAlign w:val="center"/>
                </w:tcPr>
                <w:p w14:paraId="63388FF1">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36</w:t>
                  </w:r>
                </w:p>
              </w:tc>
            </w:tr>
            <w:tr w14:paraId="049C8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44097AC5">
                  <w:pPr>
                    <w:pStyle w:val="86"/>
                    <w:jc w:val="center"/>
                    <w:rPr>
                      <w:rFonts w:hint="default"/>
                      <w:color w:val="auto"/>
                      <w:lang w:val="en-US" w:eastAsia="zh-CN"/>
                    </w:rPr>
                  </w:pPr>
                  <w:r>
                    <w:rPr>
                      <w:rFonts w:hint="eastAsia"/>
                      <w:color w:val="auto"/>
                      <w:lang w:val="en-US" w:eastAsia="zh-CN"/>
                    </w:rPr>
                    <w:t>9</w:t>
                  </w:r>
                </w:p>
              </w:tc>
              <w:tc>
                <w:tcPr>
                  <w:tcW w:w="1706" w:type="pct"/>
                  <w:noWrap w:val="0"/>
                  <w:vAlign w:val="center"/>
                </w:tcPr>
                <w:p w14:paraId="3841584D">
                  <w:pPr>
                    <w:pStyle w:val="86"/>
                    <w:jc w:val="center"/>
                    <w:rPr>
                      <w:rFonts w:hint="default"/>
                      <w:color w:val="auto"/>
                      <w:lang w:val="en-US" w:eastAsia="zh-CN"/>
                    </w:rPr>
                  </w:pPr>
                  <w:r>
                    <w:rPr>
                      <w:rFonts w:hint="eastAsia"/>
                      <w:color w:val="auto"/>
                      <w:lang w:val="en-US" w:eastAsia="zh-CN"/>
                    </w:rPr>
                    <w:t>氯仿</w:t>
                  </w:r>
                </w:p>
              </w:tc>
              <w:tc>
                <w:tcPr>
                  <w:tcW w:w="694" w:type="pct"/>
                  <w:noWrap w:val="0"/>
                  <w:vAlign w:val="center"/>
                </w:tcPr>
                <w:p w14:paraId="672F3A8C">
                  <w:pPr>
                    <w:pStyle w:val="86"/>
                    <w:jc w:val="center"/>
                    <w:rPr>
                      <w:rFonts w:hint="default"/>
                      <w:color w:val="auto"/>
                      <w:lang w:val="en-US" w:eastAsia="zh-CN"/>
                    </w:rPr>
                  </w:pPr>
                  <w:r>
                    <w:rPr>
                      <w:rFonts w:hint="eastAsia"/>
                      <w:color w:val="auto"/>
                      <w:lang w:val="en-US" w:eastAsia="zh-CN"/>
                    </w:rPr>
                    <w:t>0.3</w:t>
                  </w:r>
                </w:p>
              </w:tc>
              <w:tc>
                <w:tcPr>
                  <w:tcW w:w="694" w:type="pct"/>
                  <w:shd w:val="clear" w:color="auto" w:fill="auto"/>
                  <w:noWrap w:val="0"/>
                  <w:vAlign w:val="center"/>
                </w:tcPr>
                <w:p w14:paraId="141B6353">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0.9</w:t>
                  </w:r>
                </w:p>
              </w:tc>
              <w:tc>
                <w:tcPr>
                  <w:tcW w:w="694" w:type="pct"/>
                  <w:noWrap w:val="0"/>
                  <w:vAlign w:val="center"/>
                </w:tcPr>
                <w:p w14:paraId="271BCEBF">
                  <w:pPr>
                    <w:pStyle w:val="86"/>
                    <w:jc w:val="center"/>
                    <w:rPr>
                      <w:rFonts w:hint="default"/>
                      <w:color w:val="auto"/>
                      <w:lang w:val="en-US" w:eastAsia="zh-CN"/>
                    </w:rPr>
                  </w:pPr>
                  <w:r>
                    <w:rPr>
                      <w:rFonts w:hint="eastAsia"/>
                      <w:color w:val="auto"/>
                      <w:lang w:val="en-US" w:eastAsia="zh-CN"/>
                    </w:rPr>
                    <w:t>5</w:t>
                  </w:r>
                </w:p>
              </w:tc>
              <w:tc>
                <w:tcPr>
                  <w:tcW w:w="695" w:type="pct"/>
                  <w:shd w:val="clear" w:color="auto" w:fill="auto"/>
                  <w:noWrap w:val="0"/>
                  <w:vAlign w:val="center"/>
                </w:tcPr>
                <w:p w14:paraId="29DDB8F5">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10</w:t>
                  </w:r>
                </w:p>
              </w:tc>
            </w:tr>
            <w:tr w14:paraId="077D2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64AFCB55">
                  <w:pPr>
                    <w:pStyle w:val="86"/>
                    <w:jc w:val="center"/>
                    <w:rPr>
                      <w:rFonts w:hint="default"/>
                      <w:color w:val="auto"/>
                      <w:lang w:val="en-US" w:eastAsia="zh-CN"/>
                    </w:rPr>
                  </w:pPr>
                  <w:r>
                    <w:rPr>
                      <w:rFonts w:hint="eastAsia"/>
                      <w:color w:val="auto"/>
                      <w:lang w:val="en-US" w:eastAsia="zh-CN"/>
                    </w:rPr>
                    <w:t>10</w:t>
                  </w:r>
                </w:p>
              </w:tc>
              <w:tc>
                <w:tcPr>
                  <w:tcW w:w="1706" w:type="pct"/>
                  <w:noWrap w:val="0"/>
                  <w:vAlign w:val="center"/>
                </w:tcPr>
                <w:p w14:paraId="59F012DD">
                  <w:pPr>
                    <w:pStyle w:val="86"/>
                    <w:jc w:val="center"/>
                    <w:rPr>
                      <w:rFonts w:hint="default"/>
                      <w:color w:val="auto"/>
                      <w:lang w:val="en-US" w:eastAsia="zh-CN"/>
                    </w:rPr>
                  </w:pPr>
                  <w:r>
                    <w:rPr>
                      <w:rFonts w:hint="eastAsia"/>
                      <w:color w:val="auto"/>
                      <w:lang w:val="en-US" w:eastAsia="zh-CN"/>
                    </w:rPr>
                    <w:t>氯甲烷</w:t>
                  </w:r>
                </w:p>
              </w:tc>
              <w:tc>
                <w:tcPr>
                  <w:tcW w:w="694" w:type="pct"/>
                  <w:noWrap w:val="0"/>
                  <w:vAlign w:val="center"/>
                </w:tcPr>
                <w:p w14:paraId="4B080425">
                  <w:pPr>
                    <w:pStyle w:val="86"/>
                    <w:jc w:val="center"/>
                    <w:rPr>
                      <w:rFonts w:hint="default"/>
                      <w:color w:val="auto"/>
                      <w:lang w:val="en-US" w:eastAsia="zh-CN"/>
                    </w:rPr>
                  </w:pPr>
                  <w:r>
                    <w:rPr>
                      <w:rFonts w:hint="eastAsia"/>
                      <w:color w:val="auto"/>
                      <w:lang w:val="en-US" w:eastAsia="zh-CN"/>
                    </w:rPr>
                    <w:t>12</w:t>
                  </w:r>
                </w:p>
              </w:tc>
              <w:tc>
                <w:tcPr>
                  <w:tcW w:w="694" w:type="pct"/>
                  <w:shd w:val="clear" w:color="auto" w:fill="auto"/>
                  <w:noWrap w:val="0"/>
                  <w:vAlign w:val="center"/>
                </w:tcPr>
                <w:p w14:paraId="6D56449C">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37</w:t>
                  </w:r>
                </w:p>
              </w:tc>
              <w:tc>
                <w:tcPr>
                  <w:tcW w:w="694" w:type="pct"/>
                  <w:noWrap w:val="0"/>
                  <w:vAlign w:val="center"/>
                </w:tcPr>
                <w:p w14:paraId="2BD93CC7">
                  <w:pPr>
                    <w:pStyle w:val="86"/>
                    <w:jc w:val="center"/>
                    <w:rPr>
                      <w:rFonts w:hint="default"/>
                      <w:color w:val="auto"/>
                      <w:lang w:val="en-US" w:eastAsia="zh-CN"/>
                    </w:rPr>
                  </w:pPr>
                  <w:r>
                    <w:rPr>
                      <w:rFonts w:hint="eastAsia"/>
                      <w:color w:val="auto"/>
                      <w:lang w:val="en-US" w:eastAsia="zh-CN"/>
                    </w:rPr>
                    <w:t>21</w:t>
                  </w:r>
                </w:p>
              </w:tc>
              <w:tc>
                <w:tcPr>
                  <w:tcW w:w="695" w:type="pct"/>
                  <w:shd w:val="clear" w:color="auto" w:fill="auto"/>
                  <w:noWrap w:val="0"/>
                  <w:vAlign w:val="center"/>
                </w:tcPr>
                <w:p w14:paraId="4E4B6E47">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120</w:t>
                  </w:r>
                </w:p>
              </w:tc>
            </w:tr>
            <w:tr w14:paraId="7BEF73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5CC154D8">
                  <w:pPr>
                    <w:pStyle w:val="86"/>
                    <w:jc w:val="center"/>
                    <w:rPr>
                      <w:rFonts w:hint="default"/>
                      <w:color w:val="auto"/>
                      <w:lang w:val="en-US" w:eastAsia="zh-CN"/>
                    </w:rPr>
                  </w:pPr>
                  <w:r>
                    <w:rPr>
                      <w:rFonts w:hint="eastAsia"/>
                      <w:color w:val="auto"/>
                      <w:lang w:val="en-US" w:eastAsia="zh-CN"/>
                    </w:rPr>
                    <w:t>11</w:t>
                  </w:r>
                </w:p>
              </w:tc>
              <w:tc>
                <w:tcPr>
                  <w:tcW w:w="1706" w:type="pct"/>
                  <w:noWrap w:val="0"/>
                  <w:vAlign w:val="center"/>
                </w:tcPr>
                <w:p w14:paraId="695997BC">
                  <w:pPr>
                    <w:pStyle w:val="86"/>
                    <w:jc w:val="center"/>
                    <w:rPr>
                      <w:rFonts w:hint="default"/>
                      <w:color w:val="auto"/>
                      <w:lang w:val="en-US" w:eastAsia="zh-CN"/>
                    </w:rPr>
                  </w:pPr>
                  <w:r>
                    <w:rPr>
                      <w:rFonts w:hint="eastAsia"/>
                      <w:color w:val="auto"/>
                      <w:lang w:val="en-US" w:eastAsia="zh-CN"/>
                    </w:rPr>
                    <w:t>1,1-二氯乙烷</w:t>
                  </w:r>
                </w:p>
              </w:tc>
              <w:tc>
                <w:tcPr>
                  <w:tcW w:w="694" w:type="pct"/>
                  <w:noWrap w:val="0"/>
                  <w:vAlign w:val="center"/>
                </w:tcPr>
                <w:p w14:paraId="0C6AADC2">
                  <w:pPr>
                    <w:pStyle w:val="86"/>
                    <w:jc w:val="center"/>
                    <w:rPr>
                      <w:rFonts w:hint="default"/>
                      <w:color w:val="auto"/>
                      <w:lang w:val="en-US" w:eastAsia="zh-CN"/>
                    </w:rPr>
                  </w:pPr>
                  <w:r>
                    <w:rPr>
                      <w:rFonts w:hint="eastAsia"/>
                      <w:color w:val="auto"/>
                      <w:lang w:val="en-US" w:eastAsia="zh-CN"/>
                    </w:rPr>
                    <w:t>3</w:t>
                  </w:r>
                </w:p>
              </w:tc>
              <w:tc>
                <w:tcPr>
                  <w:tcW w:w="694" w:type="pct"/>
                  <w:shd w:val="clear" w:color="auto" w:fill="auto"/>
                  <w:noWrap w:val="0"/>
                  <w:vAlign w:val="center"/>
                </w:tcPr>
                <w:p w14:paraId="0BB8DFB8">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9</w:t>
                  </w:r>
                </w:p>
              </w:tc>
              <w:tc>
                <w:tcPr>
                  <w:tcW w:w="694" w:type="pct"/>
                  <w:noWrap w:val="0"/>
                  <w:vAlign w:val="center"/>
                </w:tcPr>
                <w:p w14:paraId="30E9C933">
                  <w:pPr>
                    <w:pStyle w:val="86"/>
                    <w:jc w:val="center"/>
                    <w:rPr>
                      <w:rFonts w:hint="default"/>
                      <w:color w:val="auto"/>
                      <w:lang w:val="en-US" w:eastAsia="zh-CN"/>
                    </w:rPr>
                  </w:pPr>
                  <w:r>
                    <w:rPr>
                      <w:rFonts w:hint="eastAsia"/>
                      <w:color w:val="auto"/>
                      <w:lang w:val="en-US" w:eastAsia="zh-CN"/>
                    </w:rPr>
                    <w:t>20</w:t>
                  </w:r>
                </w:p>
              </w:tc>
              <w:tc>
                <w:tcPr>
                  <w:tcW w:w="695" w:type="pct"/>
                  <w:shd w:val="clear" w:color="auto" w:fill="auto"/>
                  <w:noWrap w:val="0"/>
                  <w:vAlign w:val="center"/>
                </w:tcPr>
                <w:p w14:paraId="0F12362E">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100</w:t>
                  </w:r>
                </w:p>
              </w:tc>
            </w:tr>
            <w:tr w14:paraId="0F808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1FDBB695">
                  <w:pPr>
                    <w:pStyle w:val="86"/>
                    <w:jc w:val="center"/>
                    <w:rPr>
                      <w:rFonts w:hint="default"/>
                      <w:color w:val="auto"/>
                      <w:lang w:val="en-US" w:eastAsia="zh-CN"/>
                    </w:rPr>
                  </w:pPr>
                  <w:r>
                    <w:rPr>
                      <w:rFonts w:hint="eastAsia"/>
                      <w:color w:val="auto"/>
                      <w:lang w:val="en-US" w:eastAsia="zh-CN"/>
                    </w:rPr>
                    <w:t>12</w:t>
                  </w:r>
                </w:p>
              </w:tc>
              <w:tc>
                <w:tcPr>
                  <w:tcW w:w="1706" w:type="pct"/>
                  <w:noWrap w:val="0"/>
                  <w:vAlign w:val="center"/>
                </w:tcPr>
                <w:p w14:paraId="40C705E7">
                  <w:pPr>
                    <w:pStyle w:val="86"/>
                    <w:jc w:val="center"/>
                    <w:rPr>
                      <w:rFonts w:hint="default"/>
                      <w:color w:val="auto"/>
                      <w:lang w:val="en-US" w:eastAsia="zh-CN"/>
                    </w:rPr>
                  </w:pPr>
                  <w:r>
                    <w:rPr>
                      <w:rFonts w:hint="eastAsia"/>
                      <w:color w:val="auto"/>
                      <w:lang w:val="en-US" w:eastAsia="zh-CN"/>
                    </w:rPr>
                    <w:t>1,2-二氯乙烷</w:t>
                  </w:r>
                </w:p>
              </w:tc>
              <w:tc>
                <w:tcPr>
                  <w:tcW w:w="694" w:type="pct"/>
                  <w:noWrap w:val="0"/>
                  <w:vAlign w:val="center"/>
                </w:tcPr>
                <w:p w14:paraId="23E477BE">
                  <w:pPr>
                    <w:pStyle w:val="86"/>
                    <w:jc w:val="center"/>
                    <w:rPr>
                      <w:rFonts w:hint="default"/>
                      <w:color w:val="auto"/>
                      <w:lang w:val="en-US" w:eastAsia="zh-CN"/>
                    </w:rPr>
                  </w:pPr>
                  <w:r>
                    <w:rPr>
                      <w:rFonts w:hint="eastAsia"/>
                      <w:color w:val="auto"/>
                      <w:lang w:val="en-US" w:eastAsia="zh-CN"/>
                    </w:rPr>
                    <w:t>0.52</w:t>
                  </w:r>
                </w:p>
              </w:tc>
              <w:tc>
                <w:tcPr>
                  <w:tcW w:w="694" w:type="pct"/>
                  <w:shd w:val="clear" w:color="auto" w:fill="auto"/>
                  <w:noWrap w:val="0"/>
                  <w:vAlign w:val="center"/>
                </w:tcPr>
                <w:p w14:paraId="1ABBD12D">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5</w:t>
                  </w:r>
                </w:p>
              </w:tc>
              <w:tc>
                <w:tcPr>
                  <w:tcW w:w="694" w:type="pct"/>
                  <w:noWrap w:val="0"/>
                  <w:vAlign w:val="center"/>
                </w:tcPr>
                <w:p w14:paraId="09D66565">
                  <w:pPr>
                    <w:pStyle w:val="86"/>
                    <w:jc w:val="center"/>
                    <w:rPr>
                      <w:rFonts w:hint="default"/>
                      <w:color w:val="auto"/>
                      <w:lang w:val="en-US" w:eastAsia="zh-CN"/>
                    </w:rPr>
                  </w:pPr>
                  <w:r>
                    <w:rPr>
                      <w:rFonts w:hint="eastAsia"/>
                      <w:color w:val="auto"/>
                      <w:lang w:val="en-US" w:eastAsia="zh-CN"/>
                    </w:rPr>
                    <w:t>6</w:t>
                  </w:r>
                </w:p>
              </w:tc>
              <w:tc>
                <w:tcPr>
                  <w:tcW w:w="695" w:type="pct"/>
                  <w:shd w:val="clear" w:color="auto" w:fill="auto"/>
                  <w:noWrap w:val="0"/>
                  <w:vAlign w:val="center"/>
                </w:tcPr>
                <w:p w14:paraId="7AE460B5">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21</w:t>
                  </w:r>
                </w:p>
              </w:tc>
            </w:tr>
            <w:tr w14:paraId="13A935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19EF0318">
                  <w:pPr>
                    <w:pStyle w:val="86"/>
                    <w:jc w:val="center"/>
                    <w:rPr>
                      <w:rFonts w:hint="default"/>
                      <w:color w:val="auto"/>
                      <w:lang w:val="en-US" w:eastAsia="zh-CN"/>
                    </w:rPr>
                  </w:pPr>
                  <w:r>
                    <w:rPr>
                      <w:rFonts w:hint="eastAsia"/>
                      <w:color w:val="auto"/>
                      <w:lang w:val="en-US" w:eastAsia="zh-CN"/>
                    </w:rPr>
                    <w:t>13</w:t>
                  </w:r>
                </w:p>
              </w:tc>
              <w:tc>
                <w:tcPr>
                  <w:tcW w:w="1706" w:type="pct"/>
                  <w:noWrap w:val="0"/>
                  <w:vAlign w:val="center"/>
                </w:tcPr>
                <w:p w14:paraId="2C404EE6">
                  <w:pPr>
                    <w:pStyle w:val="86"/>
                    <w:jc w:val="center"/>
                    <w:rPr>
                      <w:rFonts w:hint="default"/>
                      <w:color w:val="auto"/>
                      <w:lang w:val="en-US" w:eastAsia="zh-CN"/>
                    </w:rPr>
                  </w:pPr>
                  <w:r>
                    <w:rPr>
                      <w:rFonts w:hint="eastAsia"/>
                      <w:color w:val="auto"/>
                      <w:lang w:val="en-US" w:eastAsia="zh-CN"/>
                    </w:rPr>
                    <w:t>1,1-二氯乙烯</w:t>
                  </w:r>
                </w:p>
              </w:tc>
              <w:tc>
                <w:tcPr>
                  <w:tcW w:w="694" w:type="pct"/>
                  <w:noWrap w:val="0"/>
                  <w:vAlign w:val="center"/>
                </w:tcPr>
                <w:p w14:paraId="52C7267F">
                  <w:pPr>
                    <w:pStyle w:val="86"/>
                    <w:jc w:val="center"/>
                    <w:rPr>
                      <w:rFonts w:hint="default"/>
                      <w:color w:val="auto"/>
                      <w:lang w:val="en-US" w:eastAsia="zh-CN"/>
                    </w:rPr>
                  </w:pPr>
                  <w:r>
                    <w:rPr>
                      <w:rFonts w:hint="eastAsia"/>
                      <w:color w:val="auto"/>
                      <w:lang w:val="en-US" w:eastAsia="zh-CN"/>
                    </w:rPr>
                    <w:t>12</w:t>
                  </w:r>
                </w:p>
              </w:tc>
              <w:tc>
                <w:tcPr>
                  <w:tcW w:w="694" w:type="pct"/>
                  <w:shd w:val="clear" w:color="auto" w:fill="auto"/>
                  <w:noWrap w:val="0"/>
                  <w:vAlign w:val="center"/>
                </w:tcPr>
                <w:p w14:paraId="618E615D">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66</w:t>
                  </w:r>
                </w:p>
              </w:tc>
              <w:tc>
                <w:tcPr>
                  <w:tcW w:w="694" w:type="pct"/>
                  <w:noWrap w:val="0"/>
                  <w:vAlign w:val="center"/>
                </w:tcPr>
                <w:p w14:paraId="7E143701">
                  <w:pPr>
                    <w:pStyle w:val="86"/>
                    <w:jc w:val="center"/>
                    <w:rPr>
                      <w:rFonts w:hint="default"/>
                      <w:color w:val="auto"/>
                      <w:lang w:val="en-US" w:eastAsia="zh-CN"/>
                    </w:rPr>
                  </w:pPr>
                  <w:r>
                    <w:rPr>
                      <w:rFonts w:hint="eastAsia"/>
                      <w:color w:val="auto"/>
                      <w:lang w:val="en-US" w:eastAsia="zh-CN"/>
                    </w:rPr>
                    <w:t>40</w:t>
                  </w:r>
                </w:p>
              </w:tc>
              <w:tc>
                <w:tcPr>
                  <w:tcW w:w="695" w:type="pct"/>
                  <w:shd w:val="clear" w:color="auto" w:fill="auto"/>
                  <w:noWrap w:val="0"/>
                  <w:vAlign w:val="center"/>
                </w:tcPr>
                <w:p w14:paraId="47011C32">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200</w:t>
                  </w:r>
                </w:p>
              </w:tc>
            </w:tr>
            <w:tr w14:paraId="53835F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15C24998">
                  <w:pPr>
                    <w:pStyle w:val="86"/>
                    <w:jc w:val="center"/>
                    <w:rPr>
                      <w:rFonts w:hint="default"/>
                      <w:color w:val="auto"/>
                      <w:lang w:val="en-US" w:eastAsia="zh-CN"/>
                    </w:rPr>
                  </w:pPr>
                  <w:r>
                    <w:rPr>
                      <w:rFonts w:hint="eastAsia"/>
                      <w:color w:val="auto"/>
                      <w:lang w:val="en-US" w:eastAsia="zh-CN"/>
                    </w:rPr>
                    <w:t>14</w:t>
                  </w:r>
                </w:p>
              </w:tc>
              <w:tc>
                <w:tcPr>
                  <w:tcW w:w="1706" w:type="pct"/>
                  <w:noWrap w:val="0"/>
                  <w:vAlign w:val="center"/>
                </w:tcPr>
                <w:p w14:paraId="080C870C">
                  <w:pPr>
                    <w:pStyle w:val="86"/>
                    <w:jc w:val="center"/>
                    <w:rPr>
                      <w:rFonts w:hint="default"/>
                      <w:color w:val="auto"/>
                      <w:lang w:val="en-US" w:eastAsia="zh-CN"/>
                    </w:rPr>
                  </w:pPr>
                  <w:r>
                    <w:rPr>
                      <w:rFonts w:hint="eastAsia"/>
                      <w:color w:val="auto"/>
                      <w:lang w:val="en-US" w:eastAsia="zh-CN"/>
                    </w:rPr>
                    <w:t>顺1,2-二氯乙烯</w:t>
                  </w:r>
                </w:p>
              </w:tc>
              <w:tc>
                <w:tcPr>
                  <w:tcW w:w="694" w:type="pct"/>
                  <w:noWrap w:val="0"/>
                  <w:vAlign w:val="center"/>
                </w:tcPr>
                <w:p w14:paraId="49199DEB">
                  <w:pPr>
                    <w:pStyle w:val="86"/>
                    <w:jc w:val="center"/>
                    <w:rPr>
                      <w:rFonts w:hint="default"/>
                      <w:color w:val="auto"/>
                      <w:lang w:val="en-US" w:eastAsia="zh-CN"/>
                    </w:rPr>
                  </w:pPr>
                  <w:r>
                    <w:rPr>
                      <w:rFonts w:hint="eastAsia"/>
                      <w:color w:val="auto"/>
                      <w:lang w:val="en-US" w:eastAsia="zh-CN"/>
                    </w:rPr>
                    <w:t>66</w:t>
                  </w:r>
                </w:p>
              </w:tc>
              <w:tc>
                <w:tcPr>
                  <w:tcW w:w="694" w:type="pct"/>
                  <w:shd w:val="clear" w:color="auto" w:fill="auto"/>
                  <w:noWrap w:val="0"/>
                  <w:vAlign w:val="center"/>
                </w:tcPr>
                <w:p w14:paraId="4C6135DF">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596</w:t>
                  </w:r>
                </w:p>
              </w:tc>
              <w:tc>
                <w:tcPr>
                  <w:tcW w:w="694" w:type="pct"/>
                  <w:noWrap w:val="0"/>
                  <w:vAlign w:val="center"/>
                </w:tcPr>
                <w:p w14:paraId="2D316854">
                  <w:pPr>
                    <w:pStyle w:val="86"/>
                    <w:jc w:val="center"/>
                    <w:rPr>
                      <w:rFonts w:hint="default"/>
                      <w:color w:val="auto"/>
                      <w:lang w:val="en-US" w:eastAsia="zh-CN"/>
                    </w:rPr>
                  </w:pPr>
                  <w:r>
                    <w:rPr>
                      <w:rFonts w:hint="eastAsia"/>
                      <w:color w:val="auto"/>
                      <w:lang w:val="en-US" w:eastAsia="zh-CN"/>
                    </w:rPr>
                    <w:t>200</w:t>
                  </w:r>
                </w:p>
              </w:tc>
              <w:tc>
                <w:tcPr>
                  <w:tcW w:w="695" w:type="pct"/>
                  <w:shd w:val="clear" w:color="auto" w:fill="auto"/>
                  <w:noWrap w:val="0"/>
                  <w:vAlign w:val="center"/>
                </w:tcPr>
                <w:p w14:paraId="39884324">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2000</w:t>
                  </w:r>
                </w:p>
              </w:tc>
            </w:tr>
            <w:tr w14:paraId="470887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50E65066">
                  <w:pPr>
                    <w:pStyle w:val="86"/>
                    <w:jc w:val="center"/>
                    <w:rPr>
                      <w:rFonts w:hint="default"/>
                      <w:color w:val="auto"/>
                      <w:lang w:val="en-US" w:eastAsia="zh-CN"/>
                    </w:rPr>
                  </w:pPr>
                  <w:r>
                    <w:rPr>
                      <w:rFonts w:hint="eastAsia"/>
                      <w:color w:val="auto"/>
                      <w:lang w:val="en-US" w:eastAsia="zh-CN"/>
                    </w:rPr>
                    <w:t>15</w:t>
                  </w:r>
                </w:p>
              </w:tc>
              <w:tc>
                <w:tcPr>
                  <w:tcW w:w="1706" w:type="pct"/>
                  <w:noWrap w:val="0"/>
                  <w:vAlign w:val="center"/>
                </w:tcPr>
                <w:p w14:paraId="67B6EBBF">
                  <w:pPr>
                    <w:pStyle w:val="86"/>
                    <w:jc w:val="center"/>
                    <w:rPr>
                      <w:rFonts w:hint="default"/>
                      <w:color w:val="auto"/>
                      <w:lang w:val="en-US" w:eastAsia="zh-CN"/>
                    </w:rPr>
                  </w:pPr>
                  <w:r>
                    <w:rPr>
                      <w:rFonts w:hint="eastAsia"/>
                      <w:color w:val="auto"/>
                      <w:lang w:val="en-US" w:eastAsia="zh-CN"/>
                    </w:rPr>
                    <w:t>反1,2-二氯乙烯</w:t>
                  </w:r>
                </w:p>
              </w:tc>
              <w:tc>
                <w:tcPr>
                  <w:tcW w:w="694" w:type="pct"/>
                  <w:noWrap w:val="0"/>
                  <w:vAlign w:val="center"/>
                </w:tcPr>
                <w:p w14:paraId="4833155D">
                  <w:pPr>
                    <w:pStyle w:val="86"/>
                    <w:jc w:val="center"/>
                    <w:rPr>
                      <w:rFonts w:hint="default"/>
                      <w:color w:val="auto"/>
                      <w:lang w:val="en-US" w:eastAsia="zh-CN"/>
                    </w:rPr>
                  </w:pPr>
                  <w:r>
                    <w:rPr>
                      <w:rFonts w:hint="eastAsia"/>
                      <w:color w:val="auto"/>
                      <w:lang w:val="en-US" w:eastAsia="zh-CN"/>
                    </w:rPr>
                    <w:t>10</w:t>
                  </w:r>
                </w:p>
              </w:tc>
              <w:tc>
                <w:tcPr>
                  <w:tcW w:w="694" w:type="pct"/>
                  <w:shd w:val="clear" w:color="auto" w:fill="auto"/>
                  <w:noWrap w:val="0"/>
                  <w:vAlign w:val="center"/>
                </w:tcPr>
                <w:p w14:paraId="0C040D7A">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54</w:t>
                  </w:r>
                </w:p>
              </w:tc>
              <w:tc>
                <w:tcPr>
                  <w:tcW w:w="694" w:type="pct"/>
                  <w:noWrap w:val="0"/>
                  <w:vAlign w:val="center"/>
                </w:tcPr>
                <w:p w14:paraId="0CEE246E">
                  <w:pPr>
                    <w:pStyle w:val="86"/>
                    <w:jc w:val="center"/>
                    <w:rPr>
                      <w:rFonts w:hint="default"/>
                      <w:color w:val="auto"/>
                      <w:lang w:val="en-US" w:eastAsia="zh-CN"/>
                    </w:rPr>
                  </w:pPr>
                  <w:r>
                    <w:rPr>
                      <w:rFonts w:hint="eastAsia"/>
                      <w:color w:val="auto"/>
                      <w:lang w:val="en-US" w:eastAsia="zh-CN"/>
                    </w:rPr>
                    <w:t>31</w:t>
                  </w:r>
                </w:p>
              </w:tc>
              <w:tc>
                <w:tcPr>
                  <w:tcW w:w="695" w:type="pct"/>
                  <w:shd w:val="clear" w:color="auto" w:fill="auto"/>
                  <w:noWrap w:val="0"/>
                  <w:vAlign w:val="center"/>
                </w:tcPr>
                <w:p w14:paraId="5D1B5D29">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163</w:t>
                  </w:r>
                </w:p>
              </w:tc>
            </w:tr>
            <w:tr w14:paraId="55A392C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3C9B23D4">
                  <w:pPr>
                    <w:pStyle w:val="86"/>
                    <w:jc w:val="center"/>
                    <w:rPr>
                      <w:rFonts w:hint="default"/>
                      <w:color w:val="auto"/>
                      <w:lang w:val="en-US" w:eastAsia="zh-CN"/>
                    </w:rPr>
                  </w:pPr>
                  <w:r>
                    <w:rPr>
                      <w:rFonts w:hint="eastAsia"/>
                      <w:color w:val="auto"/>
                      <w:lang w:val="en-US" w:eastAsia="zh-CN"/>
                    </w:rPr>
                    <w:t>16</w:t>
                  </w:r>
                </w:p>
              </w:tc>
              <w:tc>
                <w:tcPr>
                  <w:tcW w:w="1706" w:type="pct"/>
                  <w:noWrap w:val="0"/>
                  <w:vAlign w:val="center"/>
                </w:tcPr>
                <w:p w14:paraId="3E395C9A">
                  <w:pPr>
                    <w:pStyle w:val="86"/>
                    <w:jc w:val="center"/>
                    <w:rPr>
                      <w:rFonts w:hint="default"/>
                      <w:color w:val="auto"/>
                      <w:lang w:val="en-US" w:eastAsia="zh-CN"/>
                    </w:rPr>
                  </w:pPr>
                  <w:r>
                    <w:rPr>
                      <w:rFonts w:hint="eastAsia"/>
                      <w:color w:val="auto"/>
                      <w:lang w:val="en-US" w:eastAsia="zh-CN"/>
                    </w:rPr>
                    <w:t>二氯甲烷</w:t>
                  </w:r>
                </w:p>
              </w:tc>
              <w:tc>
                <w:tcPr>
                  <w:tcW w:w="694" w:type="pct"/>
                  <w:noWrap w:val="0"/>
                  <w:vAlign w:val="center"/>
                </w:tcPr>
                <w:p w14:paraId="4F8DA635">
                  <w:pPr>
                    <w:pStyle w:val="86"/>
                    <w:jc w:val="center"/>
                    <w:rPr>
                      <w:rFonts w:hint="default"/>
                      <w:color w:val="auto"/>
                      <w:lang w:val="en-US" w:eastAsia="zh-CN"/>
                    </w:rPr>
                  </w:pPr>
                  <w:r>
                    <w:rPr>
                      <w:rFonts w:hint="eastAsia"/>
                      <w:color w:val="auto"/>
                      <w:lang w:val="en-US" w:eastAsia="zh-CN"/>
                    </w:rPr>
                    <w:t>94</w:t>
                  </w:r>
                </w:p>
              </w:tc>
              <w:tc>
                <w:tcPr>
                  <w:tcW w:w="694" w:type="pct"/>
                  <w:shd w:val="clear" w:color="auto" w:fill="auto"/>
                  <w:noWrap w:val="0"/>
                  <w:vAlign w:val="center"/>
                </w:tcPr>
                <w:p w14:paraId="14EDE655">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616</w:t>
                  </w:r>
                </w:p>
              </w:tc>
              <w:tc>
                <w:tcPr>
                  <w:tcW w:w="694" w:type="pct"/>
                  <w:noWrap w:val="0"/>
                  <w:vAlign w:val="center"/>
                </w:tcPr>
                <w:p w14:paraId="2218D33C">
                  <w:pPr>
                    <w:pStyle w:val="86"/>
                    <w:jc w:val="center"/>
                    <w:rPr>
                      <w:rFonts w:hint="default"/>
                      <w:color w:val="auto"/>
                      <w:lang w:val="en-US" w:eastAsia="zh-CN"/>
                    </w:rPr>
                  </w:pPr>
                  <w:r>
                    <w:rPr>
                      <w:rFonts w:hint="eastAsia"/>
                      <w:color w:val="auto"/>
                      <w:lang w:val="en-US" w:eastAsia="zh-CN"/>
                    </w:rPr>
                    <w:t>300</w:t>
                  </w:r>
                </w:p>
              </w:tc>
              <w:tc>
                <w:tcPr>
                  <w:tcW w:w="695" w:type="pct"/>
                  <w:shd w:val="clear" w:color="auto" w:fill="auto"/>
                  <w:noWrap w:val="0"/>
                  <w:vAlign w:val="center"/>
                </w:tcPr>
                <w:p w14:paraId="5CC0E207">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2000</w:t>
                  </w:r>
                </w:p>
              </w:tc>
            </w:tr>
            <w:tr w14:paraId="3D7F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32DBBC09">
                  <w:pPr>
                    <w:pStyle w:val="86"/>
                    <w:jc w:val="center"/>
                    <w:rPr>
                      <w:rFonts w:hint="default"/>
                      <w:color w:val="auto"/>
                      <w:lang w:val="en-US" w:eastAsia="zh-CN"/>
                    </w:rPr>
                  </w:pPr>
                  <w:r>
                    <w:rPr>
                      <w:rFonts w:hint="eastAsia"/>
                      <w:color w:val="auto"/>
                      <w:lang w:val="en-US" w:eastAsia="zh-CN"/>
                    </w:rPr>
                    <w:t>17</w:t>
                  </w:r>
                </w:p>
              </w:tc>
              <w:tc>
                <w:tcPr>
                  <w:tcW w:w="1706" w:type="pct"/>
                  <w:noWrap w:val="0"/>
                  <w:vAlign w:val="center"/>
                </w:tcPr>
                <w:p w14:paraId="418FE212">
                  <w:pPr>
                    <w:pStyle w:val="86"/>
                    <w:jc w:val="center"/>
                    <w:rPr>
                      <w:rFonts w:hint="default"/>
                      <w:color w:val="auto"/>
                      <w:lang w:val="en-US" w:eastAsia="zh-CN"/>
                    </w:rPr>
                  </w:pPr>
                  <w:r>
                    <w:rPr>
                      <w:rFonts w:hint="eastAsia"/>
                      <w:color w:val="auto"/>
                      <w:lang w:val="en-US" w:eastAsia="zh-CN"/>
                    </w:rPr>
                    <w:t>1,2-二氯丙烷</w:t>
                  </w:r>
                </w:p>
              </w:tc>
              <w:tc>
                <w:tcPr>
                  <w:tcW w:w="694" w:type="pct"/>
                  <w:noWrap w:val="0"/>
                  <w:vAlign w:val="center"/>
                </w:tcPr>
                <w:p w14:paraId="1395B00F">
                  <w:pPr>
                    <w:pStyle w:val="86"/>
                    <w:jc w:val="center"/>
                    <w:rPr>
                      <w:rFonts w:hint="default"/>
                      <w:color w:val="auto"/>
                      <w:lang w:val="en-US" w:eastAsia="zh-CN"/>
                    </w:rPr>
                  </w:pPr>
                  <w:r>
                    <w:rPr>
                      <w:rFonts w:hint="eastAsia"/>
                      <w:color w:val="auto"/>
                      <w:lang w:val="en-US" w:eastAsia="zh-CN"/>
                    </w:rPr>
                    <w:t>1</w:t>
                  </w:r>
                </w:p>
              </w:tc>
              <w:tc>
                <w:tcPr>
                  <w:tcW w:w="694" w:type="pct"/>
                  <w:shd w:val="clear" w:color="auto" w:fill="auto"/>
                  <w:noWrap w:val="0"/>
                  <w:vAlign w:val="center"/>
                </w:tcPr>
                <w:p w14:paraId="2ECAAB82">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5</w:t>
                  </w:r>
                </w:p>
              </w:tc>
              <w:tc>
                <w:tcPr>
                  <w:tcW w:w="694" w:type="pct"/>
                  <w:noWrap w:val="0"/>
                  <w:vAlign w:val="center"/>
                </w:tcPr>
                <w:p w14:paraId="2BBEB786">
                  <w:pPr>
                    <w:pStyle w:val="86"/>
                    <w:jc w:val="center"/>
                    <w:rPr>
                      <w:rFonts w:hint="default"/>
                      <w:color w:val="auto"/>
                      <w:lang w:val="en-US" w:eastAsia="zh-CN"/>
                    </w:rPr>
                  </w:pPr>
                  <w:r>
                    <w:rPr>
                      <w:rFonts w:hint="eastAsia"/>
                      <w:color w:val="auto"/>
                      <w:lang w:val="en-US" w:eastAsia="zh-CN"/>
                    </w:rPr>
                    <w:t>5</w:t>
                  </w:r>
                </w:p>
              </w:tc>
              <w:tc>
                <w:tcPr>
                  <w:tcW w:w="695" w:type="pct"/>
                  <w:shd w:val="clear" w:color="auto" w:fill="auto"/>
                  <w:noWrap w:val="0"/>
                  <w:vAlign w:val="center"/>
                </w:tcPr>
                <w:p w14:paraId="75F53746">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47</w:t>
                  </w:r>
                </w:p>
              </w:tc>
            </w:tr>
            <w:tr w14:paraId="230BA5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65F6E1FF">
                  <w:pPr>
                    <w:pStyle w:val="86"/>
                    <w:jc w:val="center"/>
                    <w:rPr>
                      <w:rFonts w:hint="default"/>
                      <w:color w:val="auto"/>
                      <w:lang w:val="en-US" w:eastAsia="zh-CN"/>
                    </w:rPr>
                  </w:pPr>
                  <w:r>
                    <w:rPr>
                      <w:rFonts w:hint="eastAsia"/>
                      <w:color w:val="auto"/>
                      <w:lang w:val="en-US" w:eastAsia="zh-CN"/>
                    </w:rPr>
                    <w:t>18</w:t>
                  </w:r>
                </w:p>
              </w:tc>
              <w:tc>
                <w:tcPr>
                  <w:tcW w:w="1706" w:type="pct"/>
                  <w:noWrap w:val="0"/>
                  <w:vAlign w:val="center"/>
                </w:tcPr>
                <w:p w14:paraId="7F4E42CF">
                  <w:pPr>
                    <w:pStyle w:val="86"/>
                    <w:jc w:val="center"/>
                    <w:rPr>
                      <w:rFonts w:hint="default"/>
                      <w:color w:val="auto"/>
                      <w:lang w:val="en-US" w:eastAsia="zh-CN"/>
                    </w:rPr>
                  </w:pPr>
                  <w:r>
                    <w:rPr>
                      <w:rFonts w:hint="eastAsia"/>
                      <w:color w:val="auto"/>
                      <w:lang w:val="en-US" w:eastAsia="zh-CN"/>
                    </w:rPr>
                    <w:t>1,1,1,2-四氯乙烷</w:t>
                  </w:r>
                </w:p>
              </w:tc>
              <w:tc>
                <w:tcPr>
                  <w:tcW w:w="694" w:type="pct"/>
                  <w:noWrap w:val="0"/>
                  <w:vAlign w:val="center"/>
                </w:tcPr>
                <w:p w14:paraId="19F693F0">
                  <w:pPr>
                    <w:pStyle w:val="86"/>
                    <w:jc w:val="center"/>
                    <w:rPr>
                      <w:rFonts w:hint="default"/>
                      <w:color w:val="auto"/>
                      <w:lang w:val="en-US" w:eastAsia="zh-CN"/>
                    </w:rPr>
                  </w:pPr>
                  <w:r>
                    <w:rPr>
                      <w:rFonts w:hint="eastAsia"/>
                      <w:color w:val="auto"/>
                      <w:lang w:val="en-US" w:eastAsia="zh-CN"/>
                    </w:rPr>
                    <w:t>2.6</w:t>
                  </w:r>
                </w:p>
              </w:tc>
              <w:tc>
                <w:tcPr>
                  <w:tcW w:w="694" w:type="pct"/>
                  <w:shd w:val="clear" w:color="auto" w:fill="auto"/>
                  <w:noWrap w:val="0"/>
                  <w:vAlign w:val="center"/>
                </w:tcPr>
                <w:p w14:paraId="535D63CB">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10</w:t>
                  </w:r>
                </w:p>
              </w:tc>
              <w:tc>
                <w:tcPr>
                  <w:tcW w:w="694" w:type="pct"/>
                  <w:noWrap w:val="0"/>
                  <w:vAlign w:val="center"/>
                </w:tcPr>
                <w:p w14:paraId="05AA4681">
                  <w:pPr>
                    <w:pStyle w:val="86"/>
                    <w:jc w:val="center"/>
                    <w:rPr>
                      <w:rFonts w:hint="default"/>
                      <w:color w:val="auto"/>
                      <w:lang w:val="en-US" w:eastAsia="zh-CN"/>
                    </w:rPr>
                  </w:pPr>
                  <w:r>
                    <w:rPr>
                      <w:rFonts w:hint="eastAsia"/>
                      <w:color w:val="auto"/>
                      <w:lang w:val="en-US" w:eastAsia="zh-CN"/>
                    </w:rPr>
                    <w:t>26</w:t>
                  </w:r>
                </w:p>
              </w:tc>
              <w:tc>
                <w:tcPr>
                  <w:tcW w:w="695" w:type="pct"/>
                  <w:shd w:val="clear" w:color="auto" w:fill="auto"/>
                  <w:noWrap w:val="0"/>
                  <w:vAlign w:val="center"/>
                </w:tcPr>
                <w:p w14:paraId="77EEE426">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100</w:t>
                  </w:r>
                </w:p>
              </w:tc>
            </w:tr>
            <w:tr w14:paraId="7E7E5B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3FF330F8">
                  <w:pPr>
                    <w:pStyle w:val="86"/>
                    <w:jc w:val="center"/>
                    <w:rPr>
                      <w:rFonts w:hint="default"/>
                      <w:color w:val="auto"/>
                      <w:lang w:val="en-US" w:eastAsia="zh-CN"/>
                    </w:rPr>
                  </w:pPr>
                  <w:r>
                    <w:rPr>
                      <w:rFonts w:hint="eastAsia"/>
                      <w:color w:val="auto"/>
                      <w:lang w:val="en-US" w:eastAsia="zh-CN"/>
                    </w:rPr>
                    <w:t>19</w:t>
                  </w:r>
                </w:p>
              </w:tc>
              <w:tc>
                <w:tcPr>
                  <w:tcW w:w="1706" w:type="pct"/>
                  <w:noWrap w:val="0"/>
                  <w:vAlign w:val="center"/>
                </w:tcPr>
                <w:p w14:paraId="31C0124A">
                  <w:pPr>
                    <w:pStyle w:val="86"/>
                    <w:jc w:val="center"/>
                    <w:rPr>
                      <w:rFonts w:hint="eastAsia"/>
                      <w:color w:val="auto"/>
                      <w:lang w:val="en-US" w:eastAsia="zh-CN"/>
                    </w:rPr>
                  </w:pPr>
                  <w:r>
                    <w:rPr>
                      <w:rFonts w:hint="eastAsia"/>
                      <w:color w:val="auto"/>
                      <w:lang w:val="en-US" w:eastAsia="zh-CN"/>
                    </w:rPr>
                    <w:t>1,1,2,2-四氯乙烷</w:t>
                  </w:r>
                </w:p>
              </w:tc>
              <w:tc>
                <w:tcPr>
                  <w:tcW w:w="694" w:type="pct"/>
                  <w:noWrap w:val="0"/>
                  <w:vAlign w:val="center"/>
                </w:tcPr>
                <w:p w14:paraId="67023128">
                  <w:pPr>
                    <w:pStyle w:val="86"/>
                    <w:jc w:val="center"/>
                    <w:rPr>
                      <w:rFonts w:hint="default"/>
                      <w:color w:val="auto"/>
                      <w:lang w:val="en-US" w:eastAsia="zh-CN"/>
                    </w:rPr>
                  </w:pPr>
                  <w:r>
                    <w:rPr>
                      <w:rFonts w:hint="eastAsia"/>
                      <w:color w:val="auto"/>
                      <w:lang w:val="en-US" w:eastAsia="zh-CN"/>
                    </w:rPr>
                    <w:t>1.6</w:t>
                  </w:r>
                </w:p>
              </w:tc>
              <w:tc>
                <w:tcPr>
                  <w:tcW w:w="694" w:type="pct"/>
                  <w:shd w:val="clear" w:color="auto" w:fill="auto"/>
                  <w:noWrap w:val="0"/>
                  <w:vAlign w:val="center"/>
                </w:tcPr>
                <w:p w14:paraId="63C23728">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6.8</w:t>
                  </w:r>
                </w:p>
              </w:tc>
              <w:tc>
                <w:tcPr>
                  <w:tcW w:w="694" w:type="pct"/>
                  <w:noWrap w:val="0"/>
                  <w:vAlign w:val="center"/>
                </w:tcPr>
                <w:p w14:paraId="1180B6C5">
                  <w:pPr>
                    <w:pStyle w:val="86"/>
                    <w:jc w:val="center"/>
                    <w:rPr>
                      <w:rFonts w:hint="default"/>
                      <w:color w:val="auto"/>
                      <w:lang w:val="en-US" w:eastAsia="zh-CN"/>
                    </w:rPr>
                  </w:pPr>
                  <w:r>
                    <w:rPr>
                      <w:rFonts w:hint="eastAsia"/>
                      <w:color w:val="auto"/>
                      <w:lang w:val="en-US" w:eastAsia="zh-CN"/>
                    </w:rPr>
                    <w:t>14</w:t>
                  </w:r>
                </w:p>
              </w:tc>
              <w:tc>
                <w:tcPr>
                  <w:tcW w:w="695" w:type="pct"/>
                  <w:shd w:val="clear" w:color="auto" w:fill="auto"/>
                  <w:noWrap w:val="0"/>
                  <w:vAlign w:val="center"/>
                </w:tcPr>
                <w:p w14:paraId="7E572AB6">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50</w:t>
                  </w:r>
                </w:p>
              </w:tc>
            </w:tr>
            <w:tr w14:paraId="26D611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373F09AC">
                  <w:pPr>
                    <w:pStyle w:val="86"/>
                    <w:jc w:val="center"/>
                    <w:rPr>
                      <w:rFonts w:hint="default"/>
                      <w:color w:val="auto"/>
                      <w:lang w:val="en-US" w:eastAsia="zh-CN"/>
                    </w:rPr>
                  </w:pPr>
                  <w:r>
                    <w:rPr>
                      <w:rFonts w:hint="eastAsia"/>
                      <w:color w:val="auto"/>
                      <w:lang w:val="en-US" w:eastAsia="zh-CN"/>
                    </w:rPr>
                    <w:t>20</w:t>
                  </w:r>
                </w:p>
              </w:tc>
              <w:tc>
                <w:tcPr>
                  <w:tcW w:w="1706" w:type="pct"/>
                  <w:noWrap w:val="0"/>
                  <w:vAlign w:val="center"/>
                </w:tcPr>
                <w:p w14:paraId="25B99FAD">
                  <w:pPr>
                    <w:pStyle w:val="86"/>
                    <w:jc w:val="center"/>
                    <w:rPr>
                      <w:rFonts w:hint="default"/>
                      <w:color w:val="auto"/>
                      <w:lang w:val="en-US" w:eastAsia="zh-CN"/>
                    </w:rPr>
                  </w:pPr>
                  <w:r>
                    <w:rPr>
                      <w:rFonts w:hint="eastAsia"/>
                      <w:color w:val="auto"/>
                      <w:lang w:val="en-US" w:eastAsia="zh-CN"/>
                    </w:rPr>
                    <w:t>四氯乙烯</w:t>
                  </w:r>
                </w:p>
              </w:tc>
              <w:tc>
                <w:tcPr>
                  <w:tcW w:w="694" w:type="pct"/>
                  <w:noWrap w:val="0"/>
                  <w:vAlign w:val="center"/>
                </w:tcPr>
                <w:p w14:paraId="1B299381">
                  <w:pPr>
                    <w:pStyle w:val="86"/>
                    <w:jc w:val="center"/>
                    <w:rPr>
                      <w:rFonts w:hint="default"/>
                      <w:color w:val="auto"/>
                      <w:lang w:val="en-US" w:eastAsia="zh-CN"/>
                    </w:rPr>
                  </w:pPr>
                  <w:r>
                    <w:rPr>
                      <w:rFonts w:hint="eastAsia"/>
                      <w:color w:val="auto"/>
                      <w:lang w:val="en-US" w:eastAsia="zh-CN"/>
                    </w:rPr>
                    <w:t>11</w:t>
                  </w:r>
                </w:p>
              </w:tc>
              <w:tc>
                <w:tcPr>
                  <w:tcW w:w="694" w:type="pct"/>
                  <w:shd w:val="clear" w:color="auto" w:fill="auto"/>
                  <w:noWrap w:val="0"/>
                  <w:vAlign w:val="center"/>
                </w:tcPr>
                <w:p w14:paraId="0B653E8B">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53</w:t>
                  </w:r>
                </w:p>
              </w:tc>
              <w:tc>
                <w:tcPr>
                  <w:tcW w:w="694" w:type="pct"/>
                  <w:noWrap w:val="0"/>
                  <w:vAlign w:val="center"/>
                </w:tcPr>
                <w:p w14:paraId="595F534E">
                  <w:pPr>
                    <w:pStyle w:val="86"/>
                    <w:jc w:val="center"/>
                    <w:rPr>
                      <w:rFonts w:hint="default"/>
                      <w:color w:val="auto"/>
                      <w:lang w:val="en-US" w:eastAsia="zh-CN"/>
                    </w:rPr>
                  </w:pPr>
                  <w:r>
                    <w:rPr>
                      <w:rFonts w:hint="eastAsia"/>
                      <w:color w:val="auto"/>
                      <w:lang w:val="en-US" w:eastAsia="zh-CN"/>
                    </w:rPr>
                    <w:t>34</w:t>
                  </w:r>
                </w:p>
              </w:tc>
              <w:tc>
                <w:tcPr>
                  <w:tcW w:w="695" w:type="pct"/>
                  <w:shd w:val="clear" w:color="auto" w:fill="auto"/>
                  <w:noWrap w:val="0"/>
                  <w:vAlign w:val="center"/>
                </w:tcPr>
                <w:p w14:paraId="5DE00292">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183</w:t>
                  </w:r>
                </w:p>
              </w:tc>
            </w:tr>
            <w:tr w14:paraId="28DD10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561BB8F9">
                  <w:pPr>
                    <w:pStyle w:val="86"/>
                    <w:jc w:val="center"/>
                    <w:rPr>
                      <w:rFonts w:hint="default"/>
                      <w:color w:val="auto"/>
                      <w:lang w:val="en-US" w:eastAsia="zh-CN"/>
                    </w:rPr>
                  </w:pPr>
                  <w:r>
                    <w:rPr>
                      <w:rFonts w:hint="eastAsia"/>
                      <w:color w:val="auto"/>
                      <w:lang w:val="en-US" w:eastAsia="zh-CN"/>
                    </w:rPr>
                    <w:t>21</w:t>
                  </w:r>
                </w:p>
              </w:tc>
              <w:tc>
                <w:tcPr>
                  <w:tcW w:w="1706" w:type="pct"/>
                  <w:noWrap w:val="0"/>
                  <w:vAlign w:val="center"/>
                </w:tcPr>
                <w:p w14:paraId="5C6F8605">
                  <w:pPr>
                    <w:pStyle w:val="86"/>
                    <w:jc w:val="center"/>
                    <w:rPr>
                      <w:rFonts w:hint="default"/>
                      <w:color w:val="auto"/>
                      <w:lang w:val="en-US" w:eastAsia="zh-CN"/>
                    </w:rPr>
                  </w:pPr>
                  <w:r>
                    <w:rPr>
                      <w:rFonts w:hint="eastAsia"/>
                      <w:color w:val="auto"/>
                      <w:lang w:val="en-US" w:eastAsia="zh-CN"/>
                    </w:rPr>
                    <w:t>1,1,1-三氯乙烷</w:t>
                  </w:r>
                </w:p>
              </w:tc>
              <w:tc>
                <w:tcPr>
                  <w:tcW w:w="694" w:type="pct"/>
                  <w:noWrap w:val="0"/>
                  <w:vAlign w:val="center"/>
                </w:tcPr>
                <w:p w14:paraId="33D14451">
                  <w:pPr>
                    <w:pStyle w:val="86"/>
                    <w:jc w:val="center"/>
                    <w:rPr>
                      <w:rFonts w:hint="default"/>
                      <w:color w:val="auto"/>
                      <w:lang w:val="en-US" w:eastAsia="zh-CN"/>
                    </w:rPr>
                  </w:pPr>
                  <w:r>
                    <w:rPr>
                      <w:rFonts w:hint="eastAsia"/>
                      <w:color w:val="auto"/>
                      <w:lang w:val="en-US" w:eastAsia="zh-CN"/>
                    </w:rPr>
                    <w:t>701</w:t>
                  </w:r>
                </w:p>
              </w:tc>
              <w:tc>
                <w:tcPr>
                  <w:tcW w:w="694" w:type="pct"/>
                  <w:shd w:val="clear" w:color="auto" w:fill="auto"/>
                  <w:noWrap w:val="0"/>
                  <w:vAlign w:val="center"/>
                </w:tcPr>
                <w:p w14:paraId="4E92C250">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840</w:t>
                  </w:r>
                </w:p>
              </w:tc>
              <w:tc>
                <w:tcPr>
                  <w:tcW w:w="694" w:type="pct"/>
                  <w:noWrap w:val="0"/>
                  <w:vAlign w:val="center"/>
                </w:tcPr>
                <w:p w14:paraId="498290C5">
                  <w:pPr>
                    <w:pStyle w:val="86"/>
                    <w:jc w:val="center"/>
                    <w:rPr>
                      <w:rFonts w:hint="default"/>
                      <w:color w:val="auto"/>
                      <w:lang w:val="en-US" w:eastAsia="zh-CN"/>
                    </w:rPr>
                  </w:pPr>
                  <w:r>
                    <w:rPr>
                      <w:rFonts w:hint="eastAsia"/>
                      <w:color w:val="auto"/>
                      <w:lang w:val="en-US" w:eastAsia="zh-CN"/>
                    </w:rPr>
                    <w:t>840</w:t>
                  </w:r>
                </w:p>
              </w:tc>
              <w:tc>
                <w:tcPr>
                  <w:tcW w:w="695" w:type="pct"/>
                  <w:shd w:val="clear" w:color="auto" w:fill="auto"/>
                  <w:noWrap w:val="0"/>
                  <w:vAlign w:val="center"/>
                </w:tcPr>
                <w:p w14:paraId="773DF53D">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840</w:t>
                  </w:r>
                </w:p>
              </w:tc>
            </w:tr>
            <w:tr w14:paraId="658BF6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01192DEC">
                  <w:pPr>
                    <w:pStyle w:val="86"/>
                    <w:jc w:val="center"/>
                    <w:rPr>
                      <w:rFonts w:hint="default"/>
                      <w:color w:val="auto"/>
                      <w:lang w:val="en-US" w:eastAsia="zh-CN"/>
                    </w:rPr>
                  </w:pPr>
                  <w:r>
                    <w:rPr>
                      <w:rFonts w:hint="eastAsia"/>
                      <w:color w:val="auto"/>
                      <w:lang w:val="en-US" w:eastAsia="zh-CN"/>
                    </w:rPr>
                    <w:t>22</w:t>
                  </w:r>
                </w:p>
              </w:tc>
              <w:tc>
                <w:tcPr>
                  <w:tcW w:w="1706" w:type="pct"/>
                  <w:noWrap w:val="0"/>
                  <w:vAlign w:val="center"/>
                </w:tcPr>
                <w:p w14:paraId="3976DE7F">
                  <w:pPr>
                    <w:pStyle w:val="86"/>
                    <w:jc w:val="center"/>
                    <w:rPr>
                      <w:rFonts w:hint="default"/>
                      <w:color w:val="auto"/>
                      <w:lang w:val="en-US" w:eastAsia="zh-CN"/>
                    </w:rPr>
                  </w:pPr>
                  <w:r>
                    <w:rPr>
                      <w:rFonts w:hint="eastAsia"/>
                      <w:color w:val="auto"/>
                      <w:lang w:val="en-US" w:eastAsia="zh-CN"/>
                    </w:rPr>
                    <w:t>1,1,2-三氯乙烷</w:t>
                  </w:r>
                </w:p>
              </w:tc>
              <w:tc>
                <w:tcPr>
                  <w:tcW w:w="694" w:type="pct"/>
                  <w:noWrap w:val="0"/>
                  <w:vAlign w:val="center"/>
                </w:tcPr>
                <w:p w14:paraId="4707AFCE">
                  <w:pPr>
                    <w:pStyle w:val="86"/>
                    <w:jc w:val="center"/>
                    <w:rPr>
                      <w:rFonts w:hint="default"/>
                      <w:color w:val="auto"/>
                      <w:lang w:val="en-US" w:eastAsia="zh-CN"/>
                    </w:rPr>
                  </w:pPr>
                  <w:r>
                    <w:rPr>
                      <w:rFonts w:hint="eastAsia"/>
                      <w:color w:val="auto"/>
                      <w:lang w:val="en-US" w:eastAsia="zh-CN"/>
                    </w:rPr>
                    <w:t>0.6</w:t>
                  </w:r>
                </w:p>
              </w:tc>
              <w:tc>
                <w:tcPr>
                  <w:tcW w:w="694" w:type="pct"/>
                  <w:shd w:val="clear" w:color="auto" w:fill="auto"/>
                  <w:noWrap w:val="0"/>
                  <w:vAlign w:val="center"/>
                </w:tcPr>
                <w:p w14:paraId="5965A48F">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2.8</w:t>
                  </w:r>
                </w:p>
              </w:tc>
              <w:tc>
                <w:tcPr>
                  <w:tcW w:w="694" w:type="pct"/>
                  <w:noWrap w:val="0"/>
                  <w:vAlign w:val="center"/>
                </w:tcPr>
                <w:p w14:paraId="1FF5435B">
                  <w:pPr>
                    <w:pStyle w:val="86"/>
                    <w:jc w:val="center"/>
                    <w:rPr>
                      <w:rFonts w:hint="default"/>
                      <w:color w:val="auto"/>
                      <w:lang w:val="en-US" w:eastAsia="zh-CN"/>
                    </w:rPr>
                  </w:pPr>
                  <w:r>
                    <w:rPr>
                      <w:rFonts w:hint="eastAsia"/>
                      <w:color w:val="auto"/>
                      <w:lang w:val="en-US" w:eastAsia="zh-CN"/>
                    </w:rPr>
                    <w:t>5</w:t>
                  </w:r>
                </w:p>
              </w:tc>
              <w:tc>
                <w:tcPr>
                  <w:tcW w:w="695" w:type="pct"/>
                  <w:shd w:val="clear" w:color="auto" w:fill="auto"/>
                  <w:noWrap w:val="0"/>
                  <w:vAlign w:val="center"/>
                </w:tcPr>
                <w:p w14:paraId="76708C9F">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15</w:t>
                  </w:r>
                </w:p>
              </w:tc>
            </w:tr>
            <w:tr w14:paraId="4AE1F4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6264E678">
                  <w:pPr>
                    <w:pStyle w:val="86"/>
                    <w:jc w:val="center"/>
                    <w:rPr>
                      <w:rFonts w:hint="default"/>
                      <w:color w:val="auto"/>
                      <w:lang w:val="en-US" w:eastAsia="zh-CN"/>
                    </w:rPr>
                  </w:pPr>
                  <w:r>
                    <w:rPr>
                      <w:rFonts w:hint="eastAsia"/>
                      <w:color w:val="auto"/>
                      <w:lang w:val="en-US" w:eastAsia="zh-CN"/>
                    </w:rPr>
                    <w:t>23</w:t>
                  </w:r>
                </w:p>
              </w:tc>
              <w:tc>
                <w:tcPr>
                  <w:tcW w:w="1706" w:type="pct"/>
                  <w:noWrap w:val="0"/>
                  <w:vAlign w:val="center"/>
                </w:tcPr>
                <w:p w14:paraId="56932A39">
                  <w:pPr>
                    <w:pStyle w:val="86"/>
                    <w:jc w:val="center"/>
                    <w:rPr>
                      <w:rFonts w:hint="default"/>
                      <w:color w:val="auto"/>
                      <w:lang w:val="en-US" w:eastAsia="zh-CN"/>
                    </w:rPr>
                  </w:pPr>
                  <w:r>
                    <w:rPr>
                      <w:rFonts w:hint="eastAsia"/>
                      <w:color w:val="auto"/>
                      <w:lang w:val="en-US" w:eastAsia="zh-CN"/>
                    </w:rPr>
                    <w:t>三氯乙烯</w:t>
                  </w:r>
                </w:p>
              </w:tc>
              <w:tc>
                <w:tcPr>
                  <w:tcW w:w="694" w:type="pct"/>
                  <w:noWrap w:val="0"/>
                  <w:vAlign w:val="center"/>
                </w:tcPr>
                <w:p w14:paraId="1B0AFE67">
                  <w:pPr>
                    <w:pStyle w:val="86"/>
                    <w:jc w:val="center"/>
                    <w:rPr>
                      <w:rFonts w:hint="default"/>
                      <w:color w:val="auto"/>
                      <w:lang w:val="en-US" w:eastAsia="zh-CN"/>
                    </w:rPr>
                  </w:pPr>
                  <w:r>
                    <w:rPr>
                      <w:rFonts w:hint="eastAsia"/>
                      <w:color w:val="auto"/>
                      <w:lang w:val="en-US" w:eastAsia="zh-CN"/>
                    </w:rPr>
                    <w:t>0.7</w:t>
                  </w:r>
                </w:p>
              </w:tc>
              <w:tc>
                <w:tcPr>
                  <w:tcW w:w="694" w:type="pct"/>
                  <w:shd w:val="clear" w:color="auto" w:fill="auto"/>
                  <w:noWrap w:val="0"/>
                  <w:vAlign w:val="center"/>
                </w:tcPr>
                <w:p w14:paraId="0033301C">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2.8</w:t>
                  </w:r>
                </w:p>
              </w:tc>
              <w:tc>
                <w:tcPr>
                  <w:tcW w:w="694" w:type="pct"/>
                  <w:noWrap w:val="0"/>
                  <w:vAlign w:val="center"/>
                </w:tcPr>
                <w:p w14:paraId="54EE32D7">
                  <w:pPr>
                    <w:pStyle w:val="86"/>
                    <w:jc w:val="center"/>
                    <w:rPr>
                      <w:rFonts w:hint="default"/>
                      <w:color w:val="auto"/>
                      <w:lang w:val="en-US" w:eastAsia="zh-CN"/>
                    </w:rPr>
                  </w:pPr>
                  <w:r>
                    <w:rPr>
                      <w:rFonts w:hint="eastAsia"/>
                      <w:color w:val="auto"/>
                      <w:lang w:val="en-US" w:eastAsia="zh-CN"/>
                    </w:rPr>
                    <w:t>7</w:t>
                  </w:r>
                </w:p>
              </w:tc>
              <w:tc>
                <w:tcPr>
                  <w:tcW w:w="695" w:type="pct"/>
                  <w:shd w:val="clear" w:color="auto" w:fill="auto"/>
                  <w:noWrap w:val="0"/>
                  <w:vAlign w:val="center"/>
                </w:tcPr>
                <w:p w14:paraId="436E45DA">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20</w:t>
                  </w:r>
                </w:p>
              </w:tc>
            </w:tr>
            <w:tr w14:paraId="0430B6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662D09F5">
                  <w:pPr>
                    <w:pStyle w:val="86"/>
                    <w:jc w:val="center"/>
                    <w:rPr>
                      <w:rFonts w:hint="default"/>
                      <w:color w:val="auto"/>
                      <w:lang w:val="en-US" w:eastAsia="zh-CN"/>
                    </w:rPr>
                  </w:pPr>
                  <w:r>
                    <w:rPr>
                      <w:rFonts w:hint="eastAsia"/>
                      <w:color w:val="auto"/>
                      <w:lang w:val="en-US" w:eastAsia="zh-CN"/>
                    </w:rPr>
                    <w:t>24</w:t>
                  </w:r>
                </w:p>
              </w:tc>
              <w:tc>
                <w:tcPr>
                  <w:tcW w:w="1706" w:type="pct"/>
                  <w:noWrap w:val="0"/>
                  <w:vAlign w:val="center"/>
                </w:tcPr>
                <w:p w14:paraId="4ABF5F8B">
                  <w:pPr>
                    <w:pStyle w:val="86"/>
                    <w:jc w:val="center"/>
                    <w:rPr>
                      <w:rFonts w:hint="default"/>
                      <w:color w:val="auto"/>
                      <w:lang w:val="en-US" w:eastAsia="zh-CN"/>
                    </w:rPr>
                  </w:pPr>
                  <w:r>
                    <w:rPr>
                      <w:rFonts w:hint="eastAsia"/>
                      <w:color w:val="auto"/>
                      <w:lang w:val="en-US" w:eastAsia="zh-CN"/>
                    </w:rPr>
                    <w:t>1,2,3-三氯丙烷</w:t>
                  </w:r>
                </w:p>
              </w:tc>
              <w:tc>
                <w:tcPr>
                  <w:tcW w:w="694" w:type="pct"/>
                  <w:noWrap w:val="0"/>
                  <w:vAlign w:val="center"/>
                </w:tcPr>
                <w:p w14:paraId="0051193F">
                  <w:pPr>
                    <w:pStyle w:val="86"/>
                    <w:jc w:val="center"/>
                    <w:rPr>
                      <w:rFonts w:hint="default"/>
                      <w:color w:val="auto"/>
                      <w:lang w:val="en-US" w:eastAsia="zh-CN"/>
                    </w:rPr>
                  </w:pPr>
                  <w:r>
                    <w:rPr>
                      <w:rFonts w:hint="eastAsia"/>
                      <w:color w:val="auto"/>
                      <w:lang w:val="en-US" w:eastAsia="zh-CN"/>
                    </w:rPr>
                    <w:t>0.05</w:t>
                  </w:r>
                </w:p>
              </w:tc>
              <w:tc>
                <w:tcPr>
                  <w:tcW w:w="694" w:type="pct"/>
                  <w:shd w:val="clear" w:color="auto" w:fill="auto"/>
                  <w:noWrap w:val="0"/>
                  <w:vAlign w:val="center"/>
                </w:tcPr>
                <w:p w14:paraId="3B915355">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0.5</w:t>
                  </w:r>
                </w:p>
              </w:tc>
              <w:tc>
                <w:tcPr>
                  <w:tcW w:w="694" w:type="pct"/>
                  <w:noWrap w:val="0"/>
                  <w:vAlign w:val="center"/>
                </w:tcPr>
                <w:p w14:paraId="0CFB6E46">
                  <w:pPr>
                    <w:pStyle w:val="86"/>
                    <w:jc w:val="center"/>
                    <w:rPr>
                      <w:rFonts w:hint="default"/>
                      <w:color w:val="auto"/>
                      <w:lang w:val="en-US" w:eastAsia="zh-CN"/>
                    </w:rPr>
                  </w:pPr>
                  <w:r>
                    <w:rPr>
                      <w:rFonts w:hint="eastAsia"/>
                      <w:color w:val="auto"/>
                      <w:lang w:val="en-US" w:eastAsia="zh-CN"/>
                    </w:rPr>
                    <w:t>0.5</w:t>
                  </w:r>
                </w:p>
              </w:tc>
              <w:tc>
                <w:tcPr>
                  <w:tcW w:w="695" w:type="pct"/>
                  <w:shd w:val="clear" w:color="auto" w:fill="auto"/>
                  <w:noWrap w:val="0"/>
                  <w:vAlign w:val="center"/>
                </w:tcPr>
                <w:p w14:paraId="15CDB3D7">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5</w:t>
                  </w:r>
                </w:p>
              </w:tc>
            </w:tr>
            <w:tr w14:paraId="41ADF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6CAAE3E1">
                  <w:pPr>
                    <w:pStyle w:val="86"/>
                    <w:jc w:val="center"/>
                    <w:rPr>
                      <w:rFonts w:hint="default"/>
                      <w:color w:val="auto"/>
                      <w:lang w:val="en-US" w:eastAsia="zh-CN"/>
                    </w:rPr>
                  </w:pPr>
                  <w:r>
                    <w:rPr>
                      <w:rFonts w:hint="eastAsia"/>
                      <w:color w:val="auto"/>
                      <w:lang w:val="en-US" w:eastAsia="zh-CN"/>
                    </w:rPr>
                    <w:t>25</w:t>
                  </w:r>
                </w:p>
              </w:tc>
              <w:tc>
                <w:tcPr>
                  <w:tcW w:w="1706" w:type="pct"/>
                  <w:noWrap w:val="0"/>
                  <w:vAlign w:val="center"/>
                </w:tcPr>
                <w:p w14:paraId="7A9DCCCE">
                  <w:pPr>
                    <w:pStyle w:val="86"/>
                    <w:jc w:val="center"/>
                    <w:rPr>
                      <w:rFonts w:hint="default"/>
                      <w:color w:val="auto"/>
                      <w:lang w:val="en-US" w:eastAsia="zh-CN"/>
                    </w:rPr>
                  </w:pPr>
                  <w:r>
                    <w:rPr>
                      <w:rFonts w:hint="eastAsia"/>
                      <w:color w:val="auto"/>
                      <w:lang w:val="en-US" w:eastAsia="zh-CN"/>
                    </w:rPr>
                    <w:t>氯乙烯</w:t>
                  </w:r>
                </w:p>
              </w:tc>
              <w:tc>
                <w:tcPr>
                  <w:tcW w:w="694" w:type="pct"/>
                  <w:noWrap w:val="0"/>
                  <w:vAlign w:val="center"/>
                </w:tcPr>
                <w:p w14:paraId="4AF2FF68">
                  <w:pPr>
                    <w:pStyle w:val="86"/>
                    <w:jc w:val="center"/>
                    <w:rPr>
                      <w:rFonts w:hint="default"/>
                      <w:color w:val="auto"/>
                      <w:lang w:val="en-US" w:eastAsia="zh-CN"/>
                    </w:rPr>
                  </w:pPr>
                  <w:r>
                    <w:rPr>
                      <w:rFonts w:hint="eastAsia"/>
                      <w:color w:val="auto"/>
                      <w:lang w:val="en-US" w:eastAsia="zh-CN"/>
                    </w:rPr>
                    <w:t>0.12</w:t>
                  </w:r>
                </w:p>
              </w:tc>
              <w:tc>
                <w:tcPr>
                  <w:tcW w:w="694" w:type="pct"/>
                  <w:shd w:val="clear" w:color="auto" w:fill="auto"/>
                  <w:noWrap w:val="0"/>
                  <w:vAlign w:val="center"/>
                </w:tcPr>
                <w:p w14:paraId="34EA656D">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0.43</w:t>
                  </w:r>
                </w:p>
              </w:tc>
              <w:tc>
                <w:tcPr>
                  <w:tcW w:w="694" w:type="pct"/>
                  <w:noWrap w:val="0"/>
                  <w:vAlign w:val="center"/>
                </w:tcPr>
                <w:p w14:paraId="33BE6A66">
                  <w:pPr>
                    <w:pStyle w:val="86"/>
                    <w:jc w:val="center"/>
                    <w:rPr>
                      <w:rFonts w:hint="default"/>
                      <w:color w:val="auto"/>
                      <w:lang w:val="en-US" w:eastAsia="zh-CN"/>
                    </w:rPr>
                  </w:pPr>
                  <w:r>
                    <w:rPr>
                      <w:rFonts w:hint="eastAsia"/>
                      <w:color w:val="auto"/>
                      <w:lang w:val="en-US" w:eastAsia="zh-CN"/>
                    </w:rPr>
                    <w:t>1.2</w:t>
                  </w:r>
                </w:p>
              </w:tc>
              <w:tc>
                <w:tcPr>
                  <w:tcW w:w="695" w:type="pct"/>
                  <w:shd w:val="clear" w:color="auto" w:fill="auto"/>
                  <w:noWrap w:val="0"/>
                  <w:vAlign w:val="center"/>
                </w:tcPr>
                <w:p w14:paraId="7884A169">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4.3</w:t>
                  </w:r>
                </w:p>
              </w:tc>
            </w:tr>
            <w:tr w14:paraId="187ED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0BE10FA4">
                  <w:pPr>
                    <w:pStyle w:val="86"/>
                    <w:jc w:val="center"/>
                    <w:rPr>
                      <w:rFonts w:hint="default"/>
                      <w:color w:val="auto"/>
                      <w:lang w:val="en-US" w:eastAsia="zh-CN"/>
                    </w:rPr>
                  </w:pPr>
                  <w:r>
                    <w:rPr>
                      <w:rFonts w:hint="eastAsia"/>
                      <w:color w:val="auto"/>
                      <w:lang w:val="en-US" w:eastAsia="zh-CN"/>
                    </w:rPr>
                    <w:t>26</w:t>
                  </w:r>
                </w:p>
              </w:tc>
              <w:tc>
                <w:tcPr>
                  <w:tcW w:w="1706" w:type="pct"/>
                  <w:noWrap w:val="0"/>
                  <w:vAlign w:val="center"/>
                </w:tcPr>
                <w:p w14:paraId="4F543D3B">
                  <w:pPr>
                    <w:pStyle w:val="86"/>
                    <w:jc w:val="center"/>
                    <w:rPr>
                      <w:rFonts w:hint="default"/>
                      <w:color w:val="auto"/>
                      <w:lang w:val="en-US" w:eastAsia="zh-CN"/>
                    </w:rPr>
                  </w:pPr>
                  <w:r>
                    <w:rPr>
                      <w:rFonts w:hint="eastAsia"/>
                      <w:color w:val="auto"/>
                      <w:lang w:val="en-US" w:eastAsia="zh-CN"/>
                    </w:rPr>
                    <w:t>苯</w:t>
                  </w:r>
                </w:p>
              </w:tc>
              <w:tc>
                <w:tcPr>
                  <w:tcW w:w="694" w:type="pct"/>
                  <w:noWrap w:val="0"/>
                  <w:vAlign w:val="center"/>
                </w:tcPr>
                <w:p w14:paraId="08AB7C44">
                  <w:pPr>
                    <w:pStyle w:val="86"/>
                    <w:jc w:val="center"/>
                    <w:rPr>
                      <w:rFonts w:hint="default"/>
                      <w:color w:val="auto"/>
                      <w:lang w:val="en-US" w:eastAsia="zh-CN"/>
                    </w:rPr>
                  </w:pPr>
                  <w:r>
                    <w:rPr>
                      <w:rFonts w:hint="eastAsia"/>
                      <w:color w:val="auto"/>
                      <w:lang w:val="en-US" w:eastAsia="zh-CN"/>
                    </w:rPr>
                    <w:t>1</w:t>
                  </w:r>
                </w:p>
              </w:tc>
              <w:tc>
                <w:tcPr>
                  <w:tcW w:w="694" w:type="pct"/>
                  <w:shd w:val="clear" w:color="auto" w:fill="auto"/>
                  <w:noWrap w:val="0"/>
                  <w:vAlign w:val="center"/>
                </w:tcPr>
                <w:p w14:paraId="4F955357">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4</w:t>
                  </w:r>
                </w:p>
              </w:tc>
              <w:tc>
                <w:tcPr>
                  <w:tcW w:w="694" w:type="pct"/>
                  <w:noWrap w:val="0"/>
                  <w:vAlign w:val="center"/>
                </w:tcPr>
                <w:p w14:paraId="28847EF8">
                  <w:pPr>
                    <w:pStyle w:val="86"/>
                    <w:jc w:val="center"/>
                    <w:rPr>
                      <w:rFonts w:hint="default"/>
                      <w:color w:val="auto"/>
                      <w:lang w:val="en-US" w:eastAsia="zh-CN"/>
                    </w:rPr>
                  </w:pPr>
                  <w:r>
                    <w:rPr>
                      <w:rFonts w:hint="eastAsia"/>
                      <w:color w:val="auto"/>
                      <w:lang w:val="en-US" w:eastAsia="zh-CN"/>
                    </w:rPr>
                    <w:t>10</w:t>
                  </w:r>
                </w:p>
              </w:tc>
              <w:tc>
                <w:tcPr>
                  <w:tcW w:w="695" w:type="pct"/>
                  <w:shd w:val="clear" w:color="auto" w:fill="auto"/>
                  <w:noWrap w:val="0"/>
                  <w:vAlign w:val="center"/>
                </w:tcPr>
                <w:p w14:paraId="563EC962">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40</w:t>
                  </w:r>
                </w:p>
              </w:tc>
            </w:tr>
            <w:tr w14:paraId="5EC85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1D31C8C1">
                  <w:pPr>
                    <w:pStyle w:val="86"/>
                    <w:jc w:val="center"/>
                    <w:rPr>
                      <w:rFonts w:hint="default"/>
                      <w:color w:val="auto"/>
                      <w:lang w:val="en-US" w:eastAsia="zh-CN"/>
                    </w:rPr>
                  </w:pPr>
                  <w:r>
                    <w:rPr>
                      <w:rFonts w:hint="eastAsia"/>
                      <w:color w:val="auto"/>
                      <w:lang w:val="en-US" w:eastAsia="zh-CN"/>
                    </w:rPr>
                    <w:t>27</w:t>
                  </w:r>
                </w:p>
              </w:tc>
              <w:tc>
                <w:tcPr>
                  <w:tcW w:w="1706" w:type="pct"/>
                  <w:noWrap w:val="0"/>
                  <w:vAlign w:val="center"/>
                </w:tcPr>
                <w:p w14:paraId="7724D633">
                  <w:pPr>
                    <w:pStyle w:val="86"/>
                    <w:jc w:val="center"/>
                    <w:rPr>
                      <w:rFonts w:hint="default"/>
                      <w:color w:val="auto"/>
                      <w:lang w:val="en-US" w:eastAsia="zh-CN"/>
                    </w:rPr>
                  </w:pPr>
                  <w:r>
                    <w:rPr>
                      <w:rFonts w:hint="eastAsia"/>
                      <w:color w:val="auto"/>
                      <w:lang w:val="en-US" w:eastAsia="zh-CN"/>
                    </w:rPr>
                    <w:t>氯苯</w:t>
                  </w:r>
                </w:p>
              </w:tc>
              <w:tc>
                <w:tcPr>
                  <w:tcW w:w="694" w:type="pct"/>
                  <w:noWrap w:val="0"/>
                  <w:vAlign w:val="center"/>
                </w:tcPr>
                <w:p w14:paraId="2C886C88">
                  <w:pPr>
                    <w:pStyle w:val="86"/>
                    <w:jc w:val="center"/>
                    <w:rPr>
                      <w:rFonts w:hint="default"/>
                      <w:color w:val="auto"/>
                      <w:lang w:val="en-US" w:eastAsia="zh-CN"/>
                    </w:rPr>
                  </w:pPr>
                  <w:r>
                    <w:rPr>
                      <w:rFonts w:hint="eastAsia"/>
                      <w:color w:val="auto"/>
                      <w:lang w:val="en-US" w:eastAsia="zh-CN"/>
                    </w:rPr>
                    <w:t>68</w:t>
                  </w:r>
                </w:p>
              </w:tc>
              <w:tc>
                <w:tcPr>
                  <w:tcW w:w="694" w:type="pct"/>
                  <w:shd w:val="clear" w:color="auto" w:fill="auto"/>
                  <w:noWrap w:val="0"/>
                  <w:vAlign w:val="center"/>
                </w:tcPr>
                <w:p w14:paraId="6E550701">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270</w:t>
                  </w:r>
                </w:p>
              </w:tc>
              <w:tc>
                <w:tcPr>
                  <w:tcW w:w="694" w:type="pct"/>
                  <w:noWrap w:val="0"/>
                  <w:vAlign w:val="center"/>
                </w:tcPr>
                <w:p w14:paraId="01F8A087">
                  <w:pPr>
                    <w:pStyle w:val="86"/>
                    <w:jc w:val="center"/>
                    <w:rPr>
                      <w:rFonts w:hint="default"/>
                      <w:color w:val="auto"/>
                      <w:lang w:val="en-US" w:eastAsia="zh-CN"/>
                    </w:rPr>
                  </w:pPr>
                  <w:r>
                    <w:rPr>
                      <w:rFonts w:hint="eastAsia"/>
                      <w:color w:val="auto"/>
                      <w:lang w:val="en-US" w:eastAsia="zh-CN"/>
                    </w:rPr>
                    <w:t>200</w:t>
                  </w:r>
                </w:p>
              </w:tc>
              <w:tc>
                <w:tcPr>
                  <w:tcW w:w="695" w:type="pct"/>
                  <w:shd w:val="clear" w:color="auto" w:fill="auto"/>
                  <w:noWrap w:val="0"/>
                  <w:vAlign w:val="center"/>
                </w:tcPr>
                <w:p w14:paraId="3257630C">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1000</w:t>
                  </w:r>
                </w:p>
              </w:tc>
            </w:tr>
            <w:tr w14:paraId="560AD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4BEBA82B">
                  <w:pPr>
                    <w:pStyle w:val="86"/>
                    <w:jc w:val="center"/>
                    <w:rPr>
                      <w:rFonts w:hint="default"/>
                      <w:color w:val="auto"/>
                      <w:lang w:val="en-US" w:eastAsia="zh-CN"/>
                    </w:rPr>
                  </w:pPr>
                  <w:r>
                    <w:rPr>
                      <w:rFonts w:hint="eastAsia"/>
                      <w:color w:val="auto"/>
                      <w:lang w:val="en-US" w:eastAsia="zh-CN"/>
                    </w:rPr>
                    <w:t>28</w:t>
                  </w:r>
                </w:p>
              </w:tc>
              <w:tc>
                <w:tcPr>
                  <w:tcW w:w="1706" w:type="pct"/>
                  <w:noWrap w:val="0"/>
                  <w:vAlign w:val="center"/>
                </w:tcPr>
                <w:p w14:paraId="66C3D6DE">
                  <w:pPr>
                    <w:pStyle w:val="86"/>
                    <w:jc w:val="center"/>
                    <w:rPr>
                      <w:rFonts w:hint="default"/>
                      <w:color w:val="auto"/>
                      <w:lang w:val="en-US" w:eastAsia="zh-CN"/>
                    </w:rPr>
                  </w:pPr>
                  <w:r>
                    <w:rPr>
                      <w:rFonts w:hint="eastAsia"/>
                      <w:color w:val="auto"/>
                      <w:lang w:val="en-US" w:eastAsia="zh-CN"/>
                    </w:rPr>
                    <w:t>1,2-二氯苯</w:t>
                  </w:r>
                </w:p>
              </w:tc>
              <w:tc>
                <w:tcPr>
                  <w:tcW w:w="694" w:type="pct"/>
                  <w:noWrap w:val="0"/>
                  <w:vAlign w:val="center"/>
                </w:tcPr>
                <w:p w14:paraId="5CBF4C7A">
                  <w:pPr>
                    <w:pStyle w:val="86"/>
                    <w:jc w:val="center"/>
                    <w:rPr>
                      <w:rFonts w:hint="default"/>
                      <w:color w:val="auto"/>
                      <w:lang w:val="en-US" w:eastAsia="zh-CN"/>
                    </w:rPr>
                  </w:pPr>
                  <w:r>
                    <w:rPr>
                      <w:rFonts w:hint="eastAsia"/>
                      <w:color w:val="auto"/>
                      <w:lang w:val="en-US" w:eastAsia="zh-CN"/>
                    </w:rPr>
                    <w:t>560</w:t>
                  </w:r>
                </w:p>
              </w:tc>
              <w:tc>
                <w:tcPr>
                  <w:tcW w:w="694" w:type="pct"/>
                  <w:shd w:val="clear" w:color="auto" w:fill="auto"/>
                  <w:noWrap w:val="0"/>
                  <w:vAlign w:val="center"/>
                </w:tcPr>
                <w:p w14:paraId="0D7C93CF">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560</w:t>
                  </w:r>
                </w:p>
              </w:tc>
              <w:tc>
                <w:tcPr>
                  <w:tcW w:w="694" w:type="pct"/>
                  <w:noWrap w:val="0"/>
                  <w:vAlign w:val="center"/>
                </w:tcPr>
                <w:p w14:paraId="5BB09F03">
                  <w:pPr>
                    <w:pStyle w:val="86"/>
                    <w:jc w:val="center"/>
                    <w:rPr>
                      <w:rFonts w:hint="default"/>
                      <w:color w:val="auto"/>
                      <w:lang w:val="en-US" w:eastAsia="zh-CN"/>
                    </w:rPr>
                  </w:pPr>
                  <w:r>
                    <w:rPr>
                      <w:rFonts w:hint="eastAsia"/>
                      <w:color w:val="auto"/>
                      <w:lang w:val="en-US" w:eastAsia="zh-CN"/>
                    </w:rPr>
                    <w:t>560</w:t>
                  </w:r>
                </w:p>
              </w:tc>
              <w:tc>
                <w:tcPr>
                  <w:tcW w:w="695" w:type="pct"/>
                  <w:shd w:val="clear" w:color="auto" w:fill="auto"/>
                  <w:noWrap w:val="0"/>
                  <w:vAlign w:val="center"/>
                </w:tcPr>
                <w:p w14:paraId="48526CB2">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560</w:t>
                  </w:r>
                </w:p>
              </w:tc>
            </w:tr>
            <w:tr w14:paraId="78EBB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599DDC0B">
                  <w:pPr>
                    <w:pStyle w:val="86"/>
                    <w:jc w:val="center"/>
                    <w:rPr>
                      <w:rFonts w:hint="default"/>
                      <w:color w:val="auto"/>
                      <w:lang w:val="en-US" w:eastAsia="zh-CN"/>
                    </w:rPr>
                  </w:pPr>
                  <w:r>
                    <w:rPr>
                      <w:rFonts w:hint="eastAsia"/>
                      <w:color w:val="auto"/>
                      <w:lang w:val="en-US" w:eastAsia="zh-CN"/>
                    </w:rPr>
                    <w:t>29</w:t>
                  </w:r>
                </w:p>
              </w:tc>
              <w:tc>
                <w:tcPr>
                  <w:tcW w:w="1706" w:type="pct"/>
                  <w:noWrap w:val="0"/>
                  <w:vAlign w:val="center"/>
                </w:tcPr>
                <w:p w14:paraId="052706C7">
                  <w:pPr>
                    <w:pStyle w:val="86"/>
                    <w:jc w:val="center"/>
                    <w:rPr>
                      <w:rFonts w:hint="default"/>
                      <w:color w:val="auto"/>
                      <w:lang w:val="en-US" w:eastAsia="zh-CN"/>
                    </w:rPr>
                  </w:pPr>
                  <w:r>
                    <w:rPr>
                      <w:rFonts w:hint="eastAsia"/>
                      <w:color w:val="auto"/>
                      <w:lang w:val="en-US" w:eastAsia="zh-CN"/>
                    </w:rPr>
                    <w:t>1,4-二氯苯</w:t>
                  </w:r>
                </w:p>
              </w:tc>
              <w:tc>
                <w:tcPr>
                  <w:tcW w:w="694" w:type="pct"/>
                  <w:noWrap w:val="0"/>
                  <w:vAlign w:val="center"/>
                </w:tcPr>
                <w:p w14:paraId="77D2FF40">
                  <w:pPr>
                    <w:pStyle w:val="86"/>
                    <w:jc w:val="center"/>
                    <w:rPr>
                      <w:rFonts w:hint="default"/>
                      <w:color w:val="auto"/>
                      <w:lang w:val="en-US" w:eastAsia="zh-CN"/>
                    </w:rPr>
                  </w:pPr>
                  <w:r>
                    <w:rPr>
                      <w:rFonts w:hint="eastAsia"/>
                      <w:color w:val="auto"/>
                      <w:lang w:val="en-US" w:eastAsia="zh-CN"/>
                    </w:rPr>
                    <w:t>5.6</w:t>
                  </w:r>
                </w:p>
              </w:tc>
              <w:tc>
                <w:tcPr>
                  <w:tcW w:w="694" w:type="pct"/>
                  <w:shd w:val="clear" w:color="auto" w:fill="auto"/>
                  <w:noWrap w:val="0"/>
                  <w:vAlign w:val="center"/>
                </w:tcPr>
                <w:p w14:paraId="3F315897">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20</w:t>
                  </w:r>
                </w:p>
              </w:tc>
              <w:tc>
                <w:tcPr>
                  <w:tcW w:w="694" w:type="pct"/>
                  <w:noWrap w:val="0"/>
                  <w:vAlign w:val="center"/>
                </w:tcPr>
                <w:p w14:paraId="4F379EB6">
                  <w:pPr>
                    <w:pStyle w:val="86"/>
                    <w:jc w:val="center"/>
                    <w:rPr>
                      <w:rFonts w:hint="default"/>
                      <w:color w:val="auto"/>
                      <w:lang w:val="en-US" w:eastAsia="zh-CN"/>
                    </w:rPr>
                  </w:pPr>
                  <w:r>
                    <w:rPr>
                      <w:rFonts w:hint="eastAsia"/>
                      <w:color w:val="auto"/>
                      <w:lang w:val="en-US" w:eastAsia="zh-CN"/>
                    </w:rPr>
                    <w:t>56</w:t>
                  </w:r>
                </w:p>
              </w:tc>
              <w:tc>
                <w:tcPr>
                  <w:tcW w:w="695" w:type="pct"/>
                  <w:shd w:val="clear" w:color="auto" w:fill="auto"/>
                  <w:noWrap w:val="0"/>
                  <w:vAlign w:val="center"/>
                </w:tcPr>
                <w:p w14:paraId="72BF8A01">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200</w:t>
                  </w:r>
                </w:p>
              </w:tc>
            </w:tr>
            <w:tr w14:paraId="115497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532C084A">
                  <w:pPr>
                    <w:pStyle w:val="86"/>
                    <w:jc w:val="center"/>
                    <w:rPr>
                      <w:rFonts w:hint="default"/>
                      <w:color w:val="auto"/>
                      <w:lang w:val="en-US" w:eastAsia="zh-CN"/>
                    </w:rPr>
                  </w:pPr>
                  <w:r>
                    <w:rPr>
                      <w:rFonts w:hint="eastAsia"/>
                      <w:color w:val="auto"/>
                      <w:lang w:val="en-US" w:eastAsia="zh-CN"/>
                    </w:rPr>
                    <w:t>30</w:t>
                  </w:r>
                </w:p>
              </w:tc>
              <w:tc>
                <w:tcPr>
                  <w:tcW w:w="1706" w:type="pct"/>
                  <w:noWrap w:val="0"/>
                  <w:vAlign w:val="center"/>
                </w:tcPr>
                <w:p w14:paraId="086DC185">
                  <w:pPr>
                    <w:pStyle w:val="86"/>
                    <w:jc w:val="center"/>
                    <w:rPr>
                      <w:rFonts w:hint="default"/>
                      <w:color w:val="auto"/>
                      <w:lang w:val="en-US" w:eastAsia="zh-CN"/>
                    </w:rPr>
                  </w:pPr>
                  <w:r>
                    <w:rPr>
                      <w:rFonts w:hint="eastAsia"/>
                      <w:color w:val="auto"/>
                      <w:lang w:val="en-US" w:eastAsia="zh-CN"/>
                    </w:rPr>
                    <w:t>乙苯</w:t>
                  </w:r>
                </w:p>
              </w:tc>
              <w:tc>
                <w:tcPr>
                  <w:tcW w:w="694" w:type="pct"/>
                  <w:noWrap w:val="0"/>
                  <w:vAlign w:val="center"/>
                </w:tcPr>
                <w:p w14:paraId="432F647E">
                  <w:pPr>
                    <w:pStyle w:val="86"/>
                    <w:jc w:val="center"/>
                    <w:rPr>
                      <w:rFonts w:hint="default"/>
                      <w:color w:val="auto"/>
                      <w:lang w:val="en-US" w:eastAsia="zh-CN"/>
                    </w:rPr>
                  </w:pPr>
                  <w:r>
                    <w:rPr>
                      <w:rFonts w:hint="eastAsia"/>
                      <w:color w:val="auto"/>
                      <w:lang w:val="en-US" w:eastAsia="zh-CN"/>
                    </w:rPr>
                    <w:t>7.2</w:t>
                  </w:r>
                </w:p>
              </w:tc>
              <w:tc>
                <w:tcPr>
                  <w:tcW w:w="694" w:type="pct"/>
                  <w:shd w:val="clear" w:color="auto" w:fill="auto"/>
                  <w:noWrap w:val="0"/>
                  <w:vAlign w:val="center"/>
                </w:tcPr>
                <w:p w14:paraId="7B6A153D">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28</w:t>
                  </w:r>
                </w:p>
              </w:tc>
              <w:tc>
                <w:tcPr>
                  <w:tcW w:w="694" w:type="pct"/>
                  <w:noWrap w:val="0"/>
                  <w:vAlign w:val="center"/>
                </w:tcPr>
                <w:p w14:paraId="7B84C62E">
                  <w:pPr>
                    <w:pStyle w:val="86"/>
                    <w:jc w:val="center"/>
                    <w:rPr>
                      <w:rFonts w:hint="default"/>
                      <w:color w:val="auto"/>
                      <w:lang w:val="en-US" w:eastAsia="zh-CN"/>
                    </w:rPr>
                  </w:pPr>
                  <w:r>
                    <w:rPr>
                      <w:rFonts w:hint="eastAsia"/>
                      <w:color w:val="auto"/>
                      <w:lang w:val="en-US" w:eastAsia="zh-CN"/>
                    </w:rPr>
                    <w:t>72</w:t>
                  </w:r>
                </w:p>
              </w:tc>
              <w:tc>
                <w:tcPr>
                  <w:tcW w:w="695" w:type="pct"/>
                  <w:shd w:val="clear" w:color="auto" w:fill="auto"/>
                  <w:noWrap w:val="0"/>
                  <w:vAlign w:val="center"/>
                </w:tcPr>
                <w:p w14:paraId="478F93CB">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280</w:t>
                  </w:r>
                </w:p>
              </w:tc>
            </w:tr>
            <w:tr w14:paraId="0A93D6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7EE81FCA">
                  <w:pPr>
                    <w:pStyle w:val="86"/>
                    <w:jc w:val="center"/>
                    <w:rPr>
                      <w:rFonts w:hint="default"/>
                      <w:color w:val="auto"/>
                      <w:lang w:val="en-US" w:eastAsia="zh-CN"/>
                    </w:rPr>
                  </w:pPr>
                  <w:r>
                    <w:rPr>
                      <w:rFonts w:hint="eastAsia"/>
                      <w:color w:val="auto"/>
                      <w:lang w:val="en-US" w:eastAsia="zh-CN"/>
                    </w:rPr>
                    <w:t>31</w:t>
                  </w:r>
                </w:p>
              </w:tc>
              <w:tc>
                <w:tcPr>
                  <w:tcW w:w="1706" w:type="pct"/>
                  <w:noWrap w:val="0"/>
                  <w:vAlign w:val="center"/>
                </w:tcPr>
                <w:p w14:paraId="7F85951B">
                  <w:pPr>
                    <w:pStyle w:val="86"/>
                    <w:jc w:val="center"/>
                    <w:rPr>
                      <w:rFonts w:hint="default"/>
                      <w:color w:val="auto"/>
                      <w:lang w:val="en-US" w:eastAsia="zh-CN"/>
                    </w:rPr>
                  </w:pPr>
                  <w:r>
                    <w:rPr>
                      <w:rFonts w:hint="eastAsia"/>
                      <w:color w:val="auto"/>
                      <w:lang w:val="en-US" w:eastAsia="zh-CN"/>
                    </w:rPr>
                    <w:t>苯乙烯</w:t>
                  </w:r>
                </w:p>
              </w:tc>
              <w:tc>
                <w:tcPr>
                  <w:tcW w:w="694" w:type="pct"/>
                  <w:noWrap w:val="0"/>
                  <w:vAlign w:val="center"/>
                </w:tcPr>
                <w:p w14:paraId="3AEEA475">
                  <w:pPr>
                    <w:pStyle w:val="86"/>
                    <w:jc w:val="center"/>
                    <w:rPr>
                      <w:rFonts w:hint="default"/>
                      <w:color w:val="auto"/>
                      <w:lang w:val="en-US" w:eastAsia="zh-CN"/>
                    </w:rPr>
                  </w:pPr>
                  <w:r>
                    <w:rPr>
                      <w:rFonts w:hint="eastAsia"/>
                      <w:color w:val="auto"/>
                      <w:lang w:val="en-US" w:eastAsia="zh-CN"/>
                    </w:rPr>
                    <w:t>1290</w:t>
                  </w:r>
                </w:p>
              </w:tc>
              <w:tc>
                <w:tcPr>
                  <w:tcW w:w="694" w:type="pct"/>
                  <w:shd w:val="clear" w:color="auto" w:fill="auto"/>
                  <w:noWrap w:val="0"/>
                  <w:vAlign w:val="center"/>
                </w:tcPr>
                <w:p w14:paraId="3AC864CB">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1290</w:t>
                  </w:r>
                </w:p>
              </w:tc>
              <w:tc>
                <w:tcPr>
                  <w:tcW w:w="694" w:type="pct"/>
                  <w:noWrap w:val="0"/>
                  <w:vAlign w:val="center"/>
                </w:tcPr>
                <w:p w14:paraId="548C54E7">
                  <w:pPr>
                    <w:pStyle w:val="86"/>
                    <w:jc w:val="center"/>
                    <w:rPr>
                      <w:rFonts w:hint="default"/>
                      <w:color w:val="auto"/>
                      <w:lang w:val="en-US" w:eastAsia="zh-CN"/>
                    </w:rPr>
                  </w:pPr>
                  <w:r>
                    <w:rPr>
                      <w:rFonts w:hint="eastAsia"/>
                      <w:color w:val="auto"/>
                      <w:lang w:val="en-US" w:eastAsia="zh-CN"/>
                    </w:rPr>
                    <w:t>1290</w:t>
                  </w:r>
                </w:p>
              </w:tc>
              <w:tc>
                <w:tcPr>
                  <w:tcW w:w="695" w:type="pct"/>
                  <w:shd w:val="clear" w:color="auto" w:fill="auto"/>
                  <w:noWrap w:val="0"/>
                  <w:vAlign w:val="center"/>
                </w:tcPr>
                <w:p w14:paraId="3AE0D635">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1290</w:t>
                  </w:r>
                </w:p>
              </w:tc>
            </w:tr>
            <w:tr w14:paraId="449944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741BDB91">
                  <w:pPr>
                    <w:pStyle w:val="86"/>
                    <w:jc w:val="center"/>
                    <w:rPr>
                      <w:rFonts w:hint="default"/>
                      <w:color w:val="auto"/>
                      <w:lang w:val="en-US" w:eastAsia="zh-CN"/>
                    </w:rPr>
                  </w:pPr>
                  <w:r>
                    <w:rPr>
                      <w:rFonts w:hint="eastAsia"/>
                      <w:color w:val="auto"/>
                      <w:lang w:val="en-US" w:eastAsia="zh-CN"/>
                    </w:rPr>
                    <w:t>32</w:t>
                  </w:r>
                </w:p>
              </w:tc>
              <w:tc>
                <w:tcPr>
                  <w:tcW w:w="1706" w:type="pct"/>
                  <w:noWrap w:val="0"/>
                  <w:vAlign w:val="center"/>
                </w:tcPr>
                <w:p w14:paraId="39D5509B">
                  <w:pPr>
                    <w:pStyle w:val="86"/>
                    <w:jc w:val="center"/>
                    <w:rPr>
                      <w:rFonts w:hint="default"/>
                      <w:color w:val="auto"/>
                      <w:lang w:val="en-US" w:eastAsia="zh-CN"/>
                    </w:rPr>
                  </w:pPr>
                  <w:r>
                    <w:rPr>
                      <w:rFonts w:hint="eastAsia"/>
                      <w:color w:val="auto"/>
                      <w:lang w:val="en-US" w:eastAsia="zh-CN"/>
                    </w:rPr>
                    <w:t>甲苯</w:t>
                  </w:r>
                </w:p>
              </w:tc>
              <w:tc>
                <w:tcPr>
                  <w:tcW w:w="694" w:type="pct"/>
                  <w:noWrap w:val="0"/>
                  <w:vAlign w:val="center"/>
                </w:tcPr>
                <w:p w14:paraId="6D3F46A9">
                  <w:pPr>
                    <w:pStyle w:val="86"/>
                    <w:jc w:val="center"/>
                    <w:rPr>
                      <w:rFonts w:hint="default"/>
                      <w:color w:val="auto"/>
                      <w:lang w:val="en-US" w:eastAsia="zh-CN"/>
                    </w:rPr>
                  </w:pPr>
                  <w:r>
                    <w:rPr>
                      <w:rFonts w:hint="eastAsia"/>
                      <w:color w:val="auto"/>
                      <w:lang w:val="en-US" w:eastAsia="zh-CN"/>
                    </w:rPr>
                    <w:t>1200</w:t>
                  </w:r>
                </w:p>
              </w:tc>
              <w:tc>
                <w:tcPr>
                  <w:tcW w:w="694" w:type="pct"/>
                  <w:shd w:val="clear" w:color="auto" w:fill="auto"/>
                  <w:noWrap w:val="0"/>
                  <w:vAlign w:val="center"/>
                </w:tcPr>
                <w:p w14:paraId="056472A5">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1200</w:t>
                  </w:r>
                </w:p>
              </w:tc>
              <w:tc>
                <w:tcPr>
                  <w:tcW w:w="694" w:type="pct"/>
                  <w:noWrap w:val="0"/>
                  <w:vAlign w:val="center"/>
                </w:tcPr>
                <w:p w14:paraId="41EF090C">
                  <w:pPr>
                    <w:pStyle w:val="86"/>
                    <w:jc w:val="center"/>
                    <w:rPr>
                      <w:rFonts w:hint="default"/>
                      <w:color w:val="auto"/>
                      <w:lang w:val="en-US" w:eastAsia="zh-CN"/>
                    </w:rPr>
                  </w:pPr>
                  <w:r>
                    <w:rPr>
                      <w:rFonts w:hint="eastAsia"/>
                      <w:color w:val="auto"/>
                      <w:lang w:val="en-US" w:eastAsia="zh-CN"/>
                    </w:rPr>
                    <w:t>1200</w:t>
                  </w:r>
                </w:p>
              </w:tc>
              <w:tc>
                <w:tcPr>
                  <w:tcW w:w="695" w:type="pct"/>
                  <w:shd w:val="clear" w:color="auto" w:fill="auto"/>
                  <w:noWrap w:val="0"/>
                  <w:vAlign w:val="center"/>
                </w:tcPr>
                <w:p w14:paraId="5B2B8332">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1200</w:t>
                  </w:r>
                </w:p>
              </w:tc>
            </w:tr>
            <w:tr w14:paraId="35D00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5243CEAC">
                  <w:pPr>
                    <w:pStyle w:val="86"/>
                    <w:jc w:val="center"/>
                    <w:rPr>
                      <w:rFonts w:hint="default"/>
                      <w:color w:val="auto"/>
                      <w:lang w:val="en-US" w:eastAsia="zh-CN"/>
                    </w:rPr>
                  </w:pPr>
                  <w:r>
                    <w:rPr>
                      <w:rFonts w:hint="eastAsia"/>
                      <w:color w:val="auto"/>
                      <w:lang w:val="en-US" w:eastAsia="zh-CN"/>
                    </w:rPr>
                    <w:t>33</w:t>
                  </w:r>
                </w:p>
              </w:tc>
              <w:tc>
                <w:tcPr>
                  <w:tcW w:w="1706" w:type="pct"/>
                  <w:noWrap w:val="0"/>
                  <w:vAlign w:val="center"/>
                </w:tcPr>
                <w:p w14:paraId="51479973">
                  <w:pPr>
                    <w:pStyle w:val="86"/>
                    <w:jc w:val="center"/>
                    <w:rPr>
                      <w:rFonts w:hint="default"/>
                      <w:color w:val="auto"/>
                      <w:lang w:val="en-US" w:eastAsia="zh-CN"/>
                    </w:rPr>
                  </w:pPr>
                  <w:r>
                    <w:rPr>
                      <w:rFonts w:hint="eastAsia"/>
                      <w:color w:val="auto"/>
                      <w:lang w:val="en-US" w:eastAsia="zh-CN"/>
                    </w:rPr>
                    <w:t>间二甲苯+对二甲苯</w:t>
                  </w:r>
                </w:p>
              </w:tc>
              <w:tc>
                <w:tcPr>
                  <w:tcW w:w="694" w:type="pct"/>
                  <w:noWrap w:val="0"/>
                  <w:vAlign w:val="center"/>
                </w:tcPr>
                <w:p w14:paraId="76A7B66C">
                  <w:pPr>
                    <w:pStyle w:val="86"/>
                    <w:jc w:val="center"/>
                    <w:rPr>
                      <w:rFonts w:hint="default"/>
                      <w:color w:val="auto"/>
                      <w:lang w:val="en-US" w:eastAsia="zh-CN"/>
                    </w:rPr>
                  </w:pPr>
                  <w:r>
                    <w:rPr>
                      <w:rFonts w:hint="eastAsia"/>
                      <w:color w:val="auto"/>
                      <w:lang w:val="en-US" w:eastAsia="zh-CN"/>
                    </w:rPr>
                    <w:t>163</w:t>
                  </w:r>
                </w:p>
              </w:tc>
              <w:tc>
                <w:tcPr>
                  <w:tcW w:w="694" w:type="pct"/>
                  <w:shd w:val="clear" w:color="auto" w:fill="auto"/>
                  <w:noWrap w:val="0"/>
                  <w:vAlign w:val="center"/>
                </w:tcPr>
                <w:p w14:paraId="537FB154">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570</w:t>
                  </w:r>
                </w:p>
              </w:tc>
              <w:tc>
                <w:tcPr>
                  <w:tcW w:w="694" w:type="pct"/>
                  <w:noWrap w:val="0"/>
                  <w:vAlign w:val="center"/>
                </w:tcPr>
                <w:p w14:paraId="412471FC">
                  <w:pPr>
                    <w:pStyle w:val="86"/>
                    <w:jc w:val="center"/>
                    <w:rPr>
                      <w:rFonts w:hint="default"/>
                      <w:color w:val="auto"/>
                      <w:lang w:val="en-US" w:eastAsia="zh-CN"/>
                    </w:rPr>
                  </w:pPr>
                  <w:r>
                    <w:rPr>
                      <w:rFonts w:hint="eastAsia"/>
                      <w:color w:val="auto"/>
                      <w:lang w:val="en-US" w:eastAsia="zh-CN"/>
                    </w:rPr>
                    <w:t>500</w:t>
                  </w:r>
                </w:p>
              </w:tc>
              <w:tc>
                <w:tcPr>
                  <w:tcW w:w="695" w:type="pct"/>
                  <w:shd w:val="clear" w:color="auto" w:fill="auto"/>
                  <w:noWrap w:val="0"/>
                  <w:vAlign w:val="center"/>
                </w:tcPr>
                <w:p w14:paraId="509585CD">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570</w:t>
                  </w:r>
                </w:p>
              </w:tc>
            </w:tr>
            <w:tr w14:paraId="61E88B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2BBCBE7E">
                  <w:pPr>
                    <w:pStyle w:val="86"/>
                    <w:jc w:val="center"/>
                    <w:rPr>
                      <w:rFonts w:hint="default"/>
                      <w:color w:val="auto"/>
                      <w:lang w:val="en-US" w:eastAsia="zh-CN"/>
                    </w:rPr>
                  </w:pPr>
                  <w:r>
                    <w:rPr>
                      <w:rFonts w:hint="eastAsia"/>
                      <w:color w:val="auto"/>
                      <w:lang w:val="en-US" w:eastAsia="zh-CN"/>
                    </w:rPr>
                    <w:t>34</w:t>
                  </w:r>
                </w:p>
              </w:tc>
              <w:tc>
                <w:tcPr>
                  <w:tcW w:w="1706" w:type="pct"/>
                  <w:noWrap w:val="0"/>
                  <w:vAlign w:val="center"/>
                </w:tcPr>
                <w:p w14:paraId="4AF412A3">
                  <w:pPr>
                    <w:pStyle w:val="86"/>
                    <w:jc w:val="center"/>
                    <w:rPr>
                      <w:rFonts w:hint="default"/>
                      <w:color w:val="auto"/>
                      <w:lang w:val="en-US" w:eastAsia="zh-CN"/>
                    </w:rPr>
                  </w:pPr>
                  <w:r>
                    <w:rPr>
                      <w:rFonts w:hint="eastAsia"/>
                      <w:color w:val="auto"/>
                      <w:lang w:val="en-US" w:eastAsia="zh-CN"/>
                    </w:rPr>
                    <w:t>邻二甲苯</w:t>
                  </w:r>
                </w:p>
              </w:tc>
              <w:tc>
                <w:tcPr>
                  <w:tcW w:w="694" w:type="pct"/>
                  <w:noWrap w:val="0"/>
                  <w:vAlign w:val="center"/>
                </w:tcPr>
                <w:p w14:paraId="0622560F">
                  <w:pPr>
                    <w:pStyle w:val="86"/>
                    <w:jc w:val="center"/>
                    <w:rPr>
                      <w:rFonts w:hint="default"/>
                      <w:color w:val="auto"/>
                      <w:lang w:val="en-US" w:eastAsia="zh-CN"/>
                    </w:rPr>
                  </w:pPr>
                  <w:r>
                    <w:rPr>
                      <w:rFonts w:hint="eastAsia"/>
                      <w:color w:val="auto"/>
                      <w:lang w:val="en-US" w:eastAsia="zh-CN"/>
                    </w:rPr>
                    <w:t>222</w:t>
                  </w:r>
                </w:p>
              </w:tc>
              <w:tc>
                <w:tcPr>
                  <w:tcW w:w="694" w:type="pct"/>
                  <w:shd w:val="clear" w:color="auto" w:fill="auto"/>
                  <w:noWrap w:val="0"/>
                  <w:vAlign w:val="center"/>
                </w:tcPr>
                <w:p w14:paraId="40E5F37D">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640</w:t>
                  </w:r>
                </w:p>
              </w:tc>
              <w:tc>
                <w:tcPr>
                  <w:tcW w:w="694" w:type="pct"/>
                  <w:noWrap w:val="0"/>
                  <w:vAlign w:val="center"/>
                </w:tcPr>
                <w:p w14:paraId="473F5C36">
                  <w:pPr>
                    <w:pStyle w:val="86"/>
                    <w:jc w:val="center"/>
                    <w:rPr>
                      <w:rFonts w:hint="default"/>
                      <w:color w:val="auto"/>
                      <w:lang w:val="en-US" w:eastAsia="zh-CN"/>
                    </w:rPr>
                  </w:pPr>
                  <w:r>
                    <w:rPr>
                      <w:rFonts w:hint="eastAsia"/>
                      <w:color w:val="auto"/>
                      <w:lang w:val="en-US" w:eastAsia="zh-CN"/>
                    </w:rPr>
                    <w:t>640</w:t>
                  </w:r>
                </w:p>
              </w:tc>
              <w:tc>
                <w:tcPr>
                  <w:tcW w:w="695" w:type="pct"/>
                  <w:shd w:val="clear" w:color="auto" w:fill="auto"/>
                  <w:noWrap w:val="0"/>
                  <w:vAlign w:val="center"/>
                </w:tcPr>
                <w:p w14:paraId="33BFF641">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640</w:t>
                  </w:r>
                </w:p>
              </w:tc>
            </w:tr>
            <w:tr w14:paraId="23F64C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5A5E8D12">
                  <w:pPr>
                    <w:pStyle w:val="86"/>
                    <w:jc w:val="center"/>
                    <w:rPr>
                      <w:rFonts w:hint="default"/>
                      <w:color w:val="auto"/>
                      <w:lang w:val="en-US" w:eastAsia="zh-CN"/>
                    </w:rPr>
                  </w:pPr>
                  <w:r>
                    <w:rPr>
                      <w:rFonts w:hint="eastAsia"/>
                      <w:color w:val="auto"/>
                      <w:lang w:val="en-US" w:eastAsia="zh-CN"/>
                    </w:rPr>
                    <w:t>35</w:t>
                  </w:r>
                </w:p>
              </w:tc>
              <w:tc>
                <w:tcPr>
                  <w:tcW w:w="1706" w:type="pct"/>
                  <w:noWrap w:val="0"/>
                  <w:vAlign w:val="center"/>
                </w:tcPr>
                <w:p w14:paraId="38465E26">
                  <w:pPr>
                    <w:pStyle w:val="86"/>
                    <w:jc w:val="center"/>
                    <w:rPr>
                      <w:rFonts w:hint="default"/>
                      <w:color w:val="auto"/>
                      <w:lang w:val="en-US" w:eastAsia="zh-CN"/>
                    </w:rPr>
                  </w:pPr>
                  <w:r>
                    <w:rPr>
                      <w:rFonts w:hint="eastAsia"/>
                      <w:color w:val="auto"/>
                      <w:lang w:val="en-US" w:eastAsia="zh-CN"/>
                    </w:rPr>
                    <w:t>硝基苯</w:t>
                  </w:r>
                </w:p>
              </w:tc>
              <w:tc>
                <w:tcPr>
                  <w:tcW w:w="694" w:type="pct"/>
                  <w:noWrap w:val="0"/>
                  <w:vAlign w:val="center"/>
                </w:tcPr>
                <w:p w14:paraId="2EF28E56">
                  <w:pPr>
                    <w:pStyle w:val="86"/>
                    <w:jc w:val="center"/>
                    <w:rPr>
                      <w:rFonts w:hint="default"/>
                      <w:color w:val="auto"/>
                      <w:lang w:val="en-US" w:eastAsia="zh-CN"/>
                    </w:rPr>
                  </w:pPr>
                  <w:r>
                    <w:rPr>
                      <w:rFonts w:hint="eastAsia"/>
                      <w:color w:val="auto"/>
                      <w:lang w:val="en-US" w:eastAsia="zh-CN"/>
                    </w:rPr>
                    <w:t>34</w:t>
                  </w:r>
                </w:p>
              </w:tc>
              <w:tc>
                <w:tcPr>
                  <w:tcW w:w="694" w:type="pct"/>
                  <w:shd w:val="clear" w:color="auto" w:fill="auto"/>
                  <w:noWrap w:val="0"/>
                  <w:vAlign w:val="center"/>
                </w:tcPr>
                <w:p w14:paraId="14E14E6F">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76</w:t>
                  </w:r>
                </w:p>
              </w:tc>
              <w:tc>
                <w:tcPr>
                  <w:tcW w:w="694" w:type="pct"/>
                  <w:noWrap w:val="0"/>
                  <w:vAlign w:val="center"/>
                </w:tcPr>
                <w:p w14:paraId="08AACEA6">
                  <w:pPr>
                    <w:pStyle w:val="86"/>
                    <w:jc w:val="center"/>
                    <w:rPr>
                      <w:rFonts w:hint="default"/>
                      <w:color w:val="auto"/>
                      <w:lang w:val="en-US" w:eastAsia="zh-CN"/>
                    </w:rPr>
                  </w:pPr>
                  <w:r>
                    <w:rPr>
                      <w:rFonts w:hint="eastAsia"/>
                      <w:color w:val="auto"/>
                      <w:lang w:val="en-US" w:eastAsia="zh-CN"/>
                    </w:rPr>
                    <w:t>190</w:t>
                  </w:r>
                </w:p>
              </w:tc>
              <w:tc>
                <w:tcPr>
                  <w:tcW w:w="695" w:type="pct"/>
                  <w:shd w:val="clear" w:color="auto" w:fill="auto"/>
                  <w:noWrap w:val="0"/>
                  <w:vAlign w:val="center"/>
                </w:tcPr>
                <w:p w14:paraId="7E8C8821">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760</w:t>
                  </w:r>
                </w:p>
              </w:tc>
            </w:tr>
            <w:tr w14:paraId="69A8F2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6D04A6EB">
                  <w:pPr>
                    <w:pStyle w:val="86"/>
                    <w:jc w:val="center"/>
                    <w:rPr>
                      <w:rFonts w:hint="default"/>
                      <w:color w:val="auto"/>
                      <w:lang w:val="en-US" w:eastAsia="zh-CN"/>
                    </w:rPr>
                  </w:pPr>
                  <w:r>
                    <w:rPr>
                      <w:rFonts w:hint="eastAsia"/>
                      <w:color w:val="auto"/>
                      <w:lang w:val="en-US" w:eastAsia="zh-CN"/>
                    </w:rPr>
                    <w:t>36</w:t>
                  </w:r>
                </w:p>
              </w:tc>
              <w:tc>
                <w:tcPr>
                  <w:tcW w:w="1706" w:type="pct"/>
                  <w:noWrap w:val="0"/>
                  <w:vAlign w:val="center"/>
                </w:tcPr>
                <w:p w14:paraId="0FBB35C1">
                  <w:pPr>
                    <w:pStyle w:val="86"/>
                    <w:jc w:val="center"/>
                    <w:rPr>
                      <w:rFonts w:hint="default"/>
                      <w:color w:val="auto"/>
                      <w:lang w:val="en-US" w:eastAsia="zh-CN"/>
                    </w:rPr>
                  </w:pPr>
                  <w:r>
                    <w:rPr>
                      <w:rFonts w:hint="eastAsia"/>
                      <w:color w:val="auto"/>
                      <w:lang w:val="en-US" w:eastAsia="zh-CN"/>
                    </w:rPr>
                    <w:t>苯胺</w:t>
                  </w:r>
                </w:p>
              </w:tc>
              <w:tc>
                <w:tcPr>
                  <w:tcW w:w="694" w:type="pct"/>
                  <w:noWrap w:val="0"/>
                  <w:vAlign w:val="center"/>
                </w:tcPr>
                <w:p w14:paraId="4B2FBBDF">
                  <w:pPr>
                    <w:pStyle w:val="86"/>
                    <w:jc w:val="center"/>
                    <w:rPr>
                      <w:rFonts w:hint="default"/>
                      <w:color w:val="auto"/>
                      <w:lang w:val="en-US" w:eastAsia="zh-CN"/>
                    </w:rPr>
                  </w:pPr>
                  <w:r>
                    <w:rPr>
                      <w:rFonts w:hint="eastAsia"/>
                      <w:color w:val="auto"/>
                      <w:lang w:val="en-US" w:eastAsia="zh-CN"/>
                    </w:rPr>
                    <w:t>92</w:t>
                  </w:r>
                </w:p>
              </w:tc>
              <w:tc>
                <w:tcPr>
                  <w:tcW w:w="694" w:type="pct"/>
                  <w:shd w:val="clear" w:color="auto" w:fill="auto"/>
                  <w:noWrap w:val="0"/>
                  <w:vAlign w:val="center"/>
                </w:tcPr>
                <w:p w14:paraId="57333882">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260</w:t>
                  </w:r>
                </w:p>
              </w:tc>
              <w:tc>
                <w:tcPr>
                  <w:tcW w:w="694" w:type="pct"/>
                  <w:noWrap w:val="0"/>
                  <w:vAlign w:val="center"/>
                </w:tcPr>
                <w:p w14:paraId="0EB50971">
                  <w:pPr>
                    <w:pStyle w:val="86"/>
                    <w:jc w:val="center"/>
                    <w:rPr>
                      <w:rFonts w:hint="default"/>
                      <w:color w:val="auto"/>
                      <w:lang w:val="en-US" w:eastAsia="zh-CN"/>
                    </w:rPr>
                  </w:pPr>
                  <w:r>
                    <w:rPr>
                      <w:rFonts w:hint="eastAsia"/>
                      <w:color w:val="auto"/>
                      <w:lang w:val="en-US" w:eastAsia="zh-CN"/>
                    </w:rPr>
                    <w:t>211</w:t>
                  </w:r>
                </w:p>
              </w:tc>
              <w:tc>
                <w:tcPr>
                  <w:tcW w:w="695" w:type="pct"/>
                  <w:shd w:val="clear" w:color="auto" w:fill="auto"/>
                  <w:noWrap w:val="0"/>
                  <w:vAlign w:val="center"/>
                </w:tcPr>
                <w:p w14:paraId="04E4BEF1">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663</w:t>
                  </w:r>
                </w:p>
              </w:tc>
            </w:tr>
            <w:tr w14:paraId="1CC7D1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1D3FDBDD">
                  <w:pPr>
                    <w:pStyle w:val="86"/>
                    <w:jc w:val="center"/>
                    <w:rPr>
                      <w:rFonts w:hint="default"/>
                      <w:color w:val="auto"/>
                      <w:lang w:val="en-US" w:eastAsia="zh-CN"/>
                    </w:rPr>
                  </w:pPr>
                  <w:r>
                    <w:rPr>
                      <w:rFonts w:hint="eastAsia"/>
                      <w:color w:val="auto"/>
                      <w:lang w:val="en-US" w:eastAsia="zh-CN"/>
                    </w:rPr>
                    <w:t>37</w:t>
                  </w:r>
                </w:p>
              </w:tc>
              <w:tc>
                <w:tcPr>
                  <w:tcW w:w="1706" w:type="pct"/>
                  <w:noWrap w:val="0"/>
                  <w:vAlign w:val="center"/>
                </w:tcPr>
                <w:p w14:paraId="491A7993">
                  <w:pPr>
                    <w:pStyle w:val="86"/>
                    <w:jc w:val="center"/>
                    <w:rPr>
                      <w:rFonts w:hint="default"/>
                      <w:color w:val="auto"/>
                      <w:lang w:val="en-US" w:eastAsia="zh-CN"/>
                    </w:rPr>
                  </w:pPr>
                  <w:r>
                    <w:rPr>
                      <w:rFonts w:hint="eastAsia"/>
                      <w:color w:val="auto"/>
                      <w:lang w:val="en-US" w:eastAsia="zh-CN"/>
                    </w:rPr>
                    <w:t>2-氯酚</w:t>
                  </w:r>
                </w:p>
              </w:tc>
              <w:tc>
                <w:tcPr>
                  <w:tcW w:w="694" w:type="pct"/>
                  <w:noWrap w:val="0"/>
                  <w:vAlign w:val="center"/>
                </w:tcPr>
                <w:p w14:paraId="02E2C079">
                  <w:pPr>
                    <w:pStyle w:val="86"/>
                    <w:jc w:val="center"/>
                    <w:rPr>
                      <w:rFonts w:hint="default"/>
                      <w:color w:val="auto"/>
                      <w:lang w:val="en-US" w:eastAsia="zh-CN"/>
                    </w:rPr>
                  </w:pPr>
                  <w:r>
                    <w:rPr>
                      <w:rFonts w:hint="eastAsia"/>
                      <w:color w:val="auto"/>
                      <w:lang w:val="en-US" w:eastAsia="zh-CN"/>
                    </w:rPr>
                    <w:t>250</w:t>
                  </w:r>
                </w:p>
              </w:tc>
              <w:tc>
                <w:tcPr>
                  <w:tcW w:w="694" w:type="pct"/>
                  <w:shd w:val="clear" w:color="auto" w:fill="auto"/>
                  <w:noWrap w:val="0"/>
                  <w:vAlign w:val="center"/>
                </w:tcPr>
                <w:p w14:paraId="6930A089">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2256</w:t>
                  </w:r>
                </w:p>
              </w:tc>
              <w:tc>
                <w:tcPr>
                  <w:tcW w:w="694" w:type="pct"/>
                  <w:noWrap w:val="0"/>
                  <w:vAlign w:val="center"/>
                </w:tcPr>
                <w:p w14:paraId="707C70F5">
                  <w:pPr>
                    <w:pStyle w:val="86"/>
                    <w:jc w:val="center"/>
                    <w:rPr>
                      <w:rFonts w:hint="default"/>
                      <w:color w:val="auto"/>
                      <w:lang w:val="en-US" w:eastAsia="zh-CN"/>
                    </w:rPr>
                  </w:pPr>
                  <w:r>
                    <w:rPr>
                      <w:rFonts w:hint="eastAsia"/>
                      <w:color w:val="auto"/>
                      <w:lang w:val="en-US" w:eastAsia="zh-CN"/>
                    </w:rPr>
                    <w:t>500</w:t>
                  </w:r>
                </w:p>
              </w:tc>
              <w:tc>
                <w:tcPr>
                  <w:tcW w:w="695" w:type="pct"/>
                  <w:shd w:val="clear" w:color="auto" w:fill="auto"/>
                  <w:noWrap w:val="0"/>
                  <w:vAlign w:val="center"/>
                </w:tcPr>
                <w:p w14:paraId="0D7120A2">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4500</w:t>
                  </w:r>
                </w:p>
              </w:tc>
            </w:tr>
            <w:tr w14:paraId="5C37BE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6F7E549F">
                  <w:pPr>
                    <w:pStyle w:val="86"/>
                    <w:jc w:val="center"/>
                    <w:rPr>
                      <w:rFonts w:hint="default"/>
                      <w:color w:val="auto"/>
                      <w:lang w:val="en-US" w:eastAsia="zh-CN"/>
                    </w:rPr>
                  </w:pPr>
                  <w:r>
                    <w:rPr>
                      <w:rFonts w:hint="eastAsia"/>
                      <w:color w:val="auto"/>
                      <w:lang w:val="en-US" w:eastAsia="zh-CN"/>
                    </w:rPr>
                    <w:t>38</w:t>
                  </w:r>
                </w:p>
              </w:tc>
              <w:tc>
                <w:tcPr>
                  <w:tcW w:w="1706" w:type="pct"/>
                  <w:noWrap w:val="0"/>
                  <w:vAlign w:val="center"/>
                </w:tcPr>
                <w:p w14:paraId="49E4A906">
                  <w:pPr>
                    <w:pStyle w:val="86"/>
                    <w:jc w:val="center"/>
                    <w:rPr>
                      <w:rFonts w:hint="default"/>
                      <w:color w:val="auto"/>
                      <w:lang w:val="en-US" w:eastAsia="zh-CN"/>
                    </w:rPr>
                  </w:pPr>
                  <w:r>
                    <w:rPr>
                      <w:rFonts w:hint="eastAsia"/>
                      <w:color w:val="auto"/>
                      <w:lang w:val="en-US" w:eastAsia="zh-CN"/>
                    </w:rPr>
                    <w:t>苯并[a]蒽</w:t>
                  </w:r>
                </w:p>
              </w:tc>
              <w:tc>
                <w:tcPr>
                  <w:tcW w:w="694" w:type="pct"/>
                  <w:noWrap w:val="0"/>
                  <w:vAlign w:val="center"/>
                </w:tcPr>
                <w:p w14:paraId="033120EB">
                  <w:pPr>
                    <w:pStyle w:val="86"/>
                    <w:jc w:val="center"/>
                    <w:rPr>
                      <w:rFonts w:hint="default"/>
                      <w:color w:val="auto"/>
                      <w:lang w:val="en-US" w:eastAsia="zh-CN"/>
                    </w:rPr>
                  </w:pPr>
                  <w:r>
                    <w:rPr>
                      <w:rFonts w:hint="eastAsia"/>
                      <w:color w:val="auto"/>
                      <w:lang w:val="en-US" w:eastAsia="zh-CN"/>
                    </w:rPr>
                    <w:t>5.5</w:t>
                  </w:r>
                </w:p>
              </w:tc>
              <w:tc>
                <w:tcPr>
                  <w:tcW w:w="694" w:type="pct"/>
                  <w:shd w:val="clear" w:color="auto" w:fill="auto"/>
                  <w:noWrap w:val="0"/>
                  <w:vAlign w:val="center"/>
                </w:tcPr>
                <w:p w14:paraId="1879DF02">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15</w:t>
                  </w:r>
                </w:p>
              </w:tc>
              <w:tc>
                <w:tcPr>
                  <w:tcW w:w="694" w:type="pct"/>
                  <w:noWrap w:val="0"/>
                  <w:vAlign w:val="center"/>
                </w:tcPr>
                <w:p w14:paraId="3105C94D">
                  <w:pPr>
                    <w:pStyle w:val="86"/>
                    <w:jc w:val="center"/>
                    <w:rPr>
                      <w:rFonts w:hint="default"/>
                      <w:color w:val="auto"/>
                      <w:lang w:val="en-US" w:eastAsia="zh-CN"/>
                    </w:rPr>
                  </w:pPr>
                  <w:r>
                    <w:rPr>
                      <w:rFonts w:hint="eastAsia"/>
                      <w:color w:val="auto"/>
                      <w:lang w:val="en-US" w:eastAsia="zh-CN"/>
                    </w:rPr>
                    <w:t>55</w:t>
                  </w:r>
                </w:p>
              </w:tc>
              <w:tc>
                <w:tcPr>
                  <w:tcW w:w="695" w:type="pct"/>
                  <w:shd w:val="clear" w:color="auto" w:fill="auto"/>
                  <w:noWrap w:val="0"/>
                  <w:vAlign w:val="center"/>
                </w:tcPr>
                <w:p w14:paraId="16BB175A">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151</w:t>
                  </w:r>
                </w:p>
              </w:tc>
            </w:tr>
            <w:tr w14:paraId="0821AD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7" w:hRule="atLeast"/>
                <w:jc w:val="center"/>
              </w:trPr>
              <w:tc>
                <w:tcPr>
                  <w:tcW w:w="515" w:type="pct"/>
                  <w:noWrap w:val="0"/>
                  <w:vAlign w:val="center"/>
                </w:tcPr>
                <w:p w14:paraId="7A7724A9">
                  <w:pPr>
                    <w:pStyle w:val="86"/>
                    <w:jc w:val="center"/>
                    <w:rPr>
                      <w:rFonts w:hint="default"/>
                      <w:color w:val="auto"/>
                      <w:lang w:val="en-US" w:eastAsia="zh-CN"/>
                    </w:rPr>
                  </w:pPr>
                  <w:r>
                    <w:rPr>
                      <w:rFonts w:hint="eastAsia"/>
                      <w:color w:val="auto"/>
                      <w:lang w:val="en-US" w:eastAsia="zh-CN"/>
                    </w:rPr>
                    <w:t>39</w:t>
                  </w:r>
                </w:p>
              </w:tc>
              <w:tc>
                <w:tcPr>
                  <w:tcW w:w="1706" w:type="pct"/>
                  <w:noWrap w:val="0"/>
                  <w:vAlign w:val="center"/>
                </w:tcPr>
                <w:p w14:paraId="708BCA3E">
                  <w:pPr>
                    <w:pStyle w:val="86"/>
                    <w:jc w:val="center"/>
                    <w:rPr>
                      <w:rFonts w:hint="default"/>
                      <w:color w:val="auto"/>
                      <w:lang w:val="en-US" w:eastAsia="zh-CN"/>
                    </w:rPr>
                  </w:pPr>
                  <w:r>
                    <w:rPr>
                      <w:rFonts w:hint="eastAsia"/>
                      <w:color w:val="auto"/>
                      <w:lang w:val="en-US" w:eastAsia="zh-CN"/>
                    </w:rPr>
                    <w:t>苯并[a]芘</w:t>
                  </w:r>
                </w:p>
              </w:tc>
              <w:tc>
                <w:tcPr>
                  <w:tcW w:w="694" w:type="pct"/>
                  <w:noWrap w:val="0"/>
                  <w:vAlign w:val="center"/>
                </w:tcPr>
                <w:p w14:paraId="15993836">
                  <w:pPr>
                    <w:pStyle w:val="86"/>
                    <w:jc w:val="center"/>
                    <w:rPr>
                      <w:rFonts w:hint="default"/>
                      <w:color w:val="auto"/>
                      <w:lang w:val="en-US" w:eastAsia="zh-CN"/>
                    </w:rPr>
                  </w:pPr>
                  <w:r>
                    <w:rPr>
                      <w:rFonts w:hint="eastAsia"/>
                      <w:color w:val="auto"/>
                      <w:lang w:val="en-US" w:eastAsia="zh-CN"/>
                    </w:rPr>
                    <w:t>0.55</w:t>
                  </w:r>
                </w:p>
              </w:tc>
              <w:tc>
                <w:tcPr>
                  <w:tcW w:w="694" w:type="pct"/>
                  <w:shd w:val="clear" w:color="auto" w:fill="auto"/>
                  <w:noWrap w:val="0"/>
                  <w:vAlign w:val="center"/>
                </w:tcPr>
                <w:p w14:paraId="52E844FB">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1.5</w:t>
                  </w:r>
                </w:p>
              </w:tc>
              <w:tc>
                <w:tcPr>
                  <w:tcW w:w="694" w:type="pct"/>
                  <w:noWrap w:val="0"/>
                  <w:vAlign w:val="center"/>
                </w:tcPr>
                <w:p w14:paraId="336A49F4">
                  <w:pPr>
                    <w:pStyle w:val="86"/>
                    <w:jc w:val="center"/>
                    <w:rPr>
                      <w:rFonts w:hint="default"/>
                      <w:color w:val="auto"/>
                      <w:lang w:val="en-US" w:eastAsia="zh-CN"/>
                    </w:rPr>
                  </w:pPr>
                  <w:r>
                    <w:rPr>
                      <w:rFonts w:hint="eastAsia"/>
                      <w:color w:val="auto"/>
                      <w:lang w:val="en-US" w:eastAsia="zh-CN"/>
                    </w:rPr>
                    <w:t>5.5</w:t>
                  </w:r>
                </w:p>
              </w:tc>
              <w:tc>
                <w:tcPr>
                  <w:tcW w:w="695" w:type="pct"/>
                  <w:shd w:val="clear" w:color="auto" w:fill="auto"/>
                  <w:noWrap w:val="0"/>
                  <w:vAlign w:val="center"/>
                </w:tcPr>
                <w:p w14:paraId="4E1A5F07">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15</w:t>
                  </w:r>
                </w:p>
              </w:tc>
            </w:tr>
            <w:tr w14:paraId="77F86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659BBADF">
                  <w:pPr>
                    <w:pStyle w:val="86"/>
                    <w:jc w:val="center"/>
                    <w:rPr>
                      <w:rFonts w:hint="default"/>
                      <w:color w:val="auto"/>
                      <w:lang w:val="en-US" w:eastAsia="zh-CN"/>
                    </w:rPr>
                  </w:pPr>
                  <w:r>
                    <w:rPr>
                      <w:rFonts w:hint="eastAsia"/>
                      <w:color w:val="auto"/>
                      <w:lang w:val="en-US" w:eastAsia="zh-CN"/>
                    </w:rPr>
                    <w:t>40</w:t>
                  </w:r>
                </w:p>
              </w:tc>
              <w:tc>
                <w:tcPr>
                  <w:tcW w:w="1706" w:type="pct"/>
                  <w:noWrap w:val="0"/>
                  <w:vAlign w:val="center"/>
                </w:tcPr>
                <w:p w14:paraId="5B3BF25B">
                  <w:pPr>
                    <w:pStyle w:val="86"/>
                    <w:jc w:val="center"/>
                    <w:rPr>
                      <w:rFonts w:hint="default"/>
                      <w:color w:val="auto"/>
                      <w:lang w:val="en-US" w:eastAsia="zh-CN"/>
                    </w:rPr>
                  </w:pPr>
                  <w:r>
                    <w:rPr>
                      <w:rFonts w:hint="eastAsia"/>
                      <w:color w:val="auto"/>
                      <w:lang w:val="en-US" w:eastAsia="zh-CN"/>
                    </w:rPr>
                    <w:t>苯并[b]荧蒽</w:t>
                  </w:r>
                </w:p>
              </w:tc>
              <w:tc>
                <w:tcPr>
                  <w:tcW w:w="694" w:type="pct"/>
                  <w:noWrap w:val="0"/>
                  <w:vAlign w:val="center"/>
                </w:tcPr>
                <w:p w14:paraId="17087E17">
                  <w:pPr>
                    <w:pStyle w:val="86"/>
                    <w:jc w:val="center"/>
                    <w:rPr>
                      <w:rFonts w:hint="default"/>
                      <w:color w:val="auto"/>
                      <w:lang w:val="en-US" w:eastAsia="zh-CN"/>
                    </w:rPr>
                  </w:pPr>
                  <w:r>
                    <w:rPr>
                      <w:rFonts w:hint="eastAsia"/>
                      <w:color w:val="auto"/>
                      <w:lang w:val="en-US" w:eastAsia="zh-CN"/>
                    </w:rPr>
                    <w:t>5.5</w:t>
                  </w:r>
                </w:p>
              </w:tc>
              <w:tc>
                <w:tcPr>
                  <w:tcW w:w="694" w:type="pct"/>
                  <w:shd w:val="clear" w:color="auto" w:fill="auto"/>
                  <w:noWrap w:val="0"/>
                  <w:vAlign w:val="center"/>
                </w:tcPr>
                <w:p w14:paraId="592F285D">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15</w:t>
                  </w:r>
                </w:p>
              </w:tc>
              <w:tc>
                <w:tcPr>
                  <w:tcW w:w="694" w:type="pct"/>
                  <w:noWrap w:val="0"/>
                  <w:vAlign w:val="center"/>
                </w:tcPr>
                <w:p w14:paraId="0348A864">
                  <w:pPr>
                    <w:pStyle w:val="86"/>
                    <w:jc w:val="center"/>
                    <w:rPr>
                      <w:rFonts w:hint="default"/>
                      <w:color w:val="auto"/>
                      <w:lang w:val="en-US" w:eastAsia="zh-CN"/>
                    </w:rPr>
                  </w:pPr>
                  <w:r>
                    <w:rPr>
                      <w:rFonts w:hint="eastAsia"/>
                      <w:color w:val="auto"/>
                      <w:lang w:val="en-US" w:eastAsia="zh-CN"/>
                    </w:rPr>
                    <w:t>55</w:t>
                  </w:r>
                </w:p>
              </w:tc>
              <w:tc>
                <w:tcPr>
                  <w:tcW w:w="695" w:type="pct"/>
                  <w:shd w:val="clear" w:color="auto" w:fill="auto"/>
                  <w:noWrap w:val="0"/>
                  <w:vAlign w:val="center"/>
                </w:tcPr>
                <w:p w14:paraId="6F2F670F">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151</w:t>
                  </w:r>
                </w:p>
              </w:tc>
            </w:tr>
            <w:tr w14:paraId="549BB1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24BA6213">
                  <w:pPr>
                    <w:pStyle w:val="86"/>
                    <w:jc w:val="center"/>
                    <w:rPr>
                      <w:rFonts w:hint="default"/>
                      <w:color w:val="auto"/>
                      <w:lang w:val="en-US" w:eastAsia="zh-CN"/>
                    </w:rPr>
                  </w:pPr>
                  <w:r>
                    <w:rPr>
                      <w:rFonts w:hint="eastAsia"/>
                      <w:color w:val="auto"/>
                      <w:lang w:val="en-US" w:eastAsia="zh-CN"/>
                    </w:rPr>
                    <w:t>41</w:t>
                  </w:r>
                </w:p>
              </w:tc>
              <w:tc>
                <w:tcPr>
                  <w:tcW w:w="1706" w:type="pct"/>
                  <w:noWrap w:val="0"/>
                  <w:vAlign w:val="center"/>
                </w:tcPr>
                <w:p w14:paraId="0BA844CB">
                  <w:pPr>
                    <w:pStyle w:val="86"/>
                    <w:jc w:val="center"/>
                    <w:rPr>
                      <w:rFonts w:hint="default"/>
                      <w:color w:val="auto"/>
                      <w:lang w:val="en-US" w:eastAsia="zh-CN"/>
                    </w:rPr>
                  </w:pPr>
                  <w:r>
                    <w:rPr>
                      <w:rFonts w:hint="eastAsia"/>
                      <w:color w:val="auto"/>
                      <w:lang w:val="en-US" w:eastAsia="zh-CN"/>
                    </w:rPr>
                    <w:t>苯并[k]荧蒽</w:t>
                  </w:r>
                </w:p>
              </w:tc>
              <w:tc>
                <w:tcPr>
                  <w:tcW w:w="694" w:type="pct"/>
                  <w:noWrap w:val="0"/>
                  <w:vAlign w:val="center"/>
                </w:tcPr>
                <w:p w14:paraId="1E0715FC">
                  <w:pPr>
                    <w:pStyle w:val="86"/>
                    <w:jc w:val="center"/>
                    <w:rPr>
                      <w:rFonts w:hint="default"/>
                      <w:color w:val="auto"/>
                      <w:lang w:val="en-US" w:eastAsia="zh-CN"/>
                    </w:rPr>
                  </w:pPr>
                  <w:r>
                    <w:rPr>
                      <w:rFonts w:hint="eastAsia"/>
                      <w:color w:val="auto"/>
                      <w:lang w:val="en-US" w:eastAsia="zh-CN"/>
                    </w:rPr>
                    <w:t>55</w:t>
                  </w:r>
                </w:p>
              </w:tc>
              <w:tc>
                <w:tcPr>
                  <w:tcW w:w="694" w:type="pct"/>
                  <w:shd w:val="clear" w:color="auto" w:fill="auto"/>
                  <w:noWrap w:val="0"/>
                  <w:vAlign w:val="center"/>
                </w:tcPr>
                <w:p w14:paraId="418E9B7E">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151</w:t>
                  </w:r>
                </w:p>
              </w:tc>
              <w:tc>
                <w:tcPr>
                  <w:tcW w:w="694" w:type="pct"/>
                  <w:noWrap w:val="0"/>
                  <w:vAlign w:val="center"/>
                </w:tcPr>
                <w:p w14:paraId="3B1204CC">
                  <w:pPr>
                    <w:pStyle w:val="86"/>
                    <w:jc w:val="center"/>
                    <w:rPr>
                      <w:rFonts w:hint="default"/>
                      <w:color w:val="auto"/>
                      <w:lang w:val="en-US" w:eastAsia="zh-CN"/>
                    </w:rPr>
                  </w:pPr>
                  <w:r>
                    <w:rPr>
                      <w:rFonts w:hint="eastAsia"/>
                      <w:color w:val="auto"/>
                      <w:lang w:val="en-US" w:eastAsia="zh-CN"/>
                    </w:rPr>
                    <w:t>550</w:t>
                  </w:r>
                </w:p>
              </w:tc>
              <w:tc>
                <w:tcPr>
                  <w:tcW w:w="695" w:type="pct"/>
                  <w:shd w:val="clear" w:color="auto" w:fill="auto"/>
                  <w:noWrap w:val="0"/>
                  <w:vAlign w:val="center"/>
                </w:tcPr>
                <w:p w14:paraId="584595C7">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1500</w:t>
                  </w:r>
                </w:p>
              </w:tc>
            </w:tr>
            <w:tr w14:paraId="1DC958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5D4FE71E">
                  <w:pPr>
                    <w:pStyle w:val="86"/>
                    <w:jc w:val="center"/>
                    <w:rPr>
                      <w:rFonts w:hint="default"/>
                      <w:color w:val="auto"/>
                      <w:lang w:val="en-US" w:eastAsia="zh-CN"/>
                    </w:rPr>
                  </w:pPr>
                  <w:r>
                    <w:rPr>
                      <w:rFonts w:hint="eastAsia"/>
                      <w:color w:val="auto"/>
                      <w:lang w:val="en-US" w:eastAsia="zh-CN"/>
                    </w:rPr>
                    <w:t>42</w:t>
                  </w:r>
                </w:p>
              </w:tc>
              <w:tc>
                <w:tcPr>
                  <w:tcW w:w="1706" w:type="pct"/>
                  <w:noWrap w:val="0"/>
                  <w:vAlign w:val="center"/>
                </w:tcPr>
                <w:p w14:paraId="545C1732">
                  <w:pPr>
                    <w:pStyle w:val="86"/>
                    <w:jc w:val="center"/>
                    <w:rPr>
                      <w:rFonts w:hint="default"/>
                      <w:color w:val="auto"/>
                      <w:lang w:val="en-US" w:eastAsia="zh-CN"/>
                    </w:rPr>
                  </w:pPr>
                  <w:r>
                    <w:rPr>
                      <w:rFonts w:hint="eastAsia"/>
                      <w:color w:val="auto"/>
                      <w:lang w:val="en-US" w:eastAsia="zh-CN"/>
                    </w:rPr>
                    <w:t>䓛</w:t>
                  </w:r>
                </w:p>
              </w:tc>
              <w:tc>
                <w:tcPr>
                  <w:tcW w:w="694" w:type="pct"/>
                  <w:noWrap w:val="0"/>
                  <w:vAlign w:val="center"/>
                </w:tcPr>
                <w:p w14:paraId="48430A46">
                  <w:pPr>
                    <w:pStyle w:val="86"/>
                    <w:jc w:val="center"/>
                    <w:rPr>
                      <w:rFonts w:hint="default"/>
                      <w:color w:val="auto"/>
                      <w:lang w:val="en-US" w:eastAsia="zh-CN"/>
                    </w:rPr>
                  </w:pPr>
                  <w:r>
                    <w:rPr>
                      <w:rFonts w:hint="eastAsia"/>
                      <w:color w:val="auto"/>
                      <w:lang w:val="en-US" w:eastAsia="zh-CN"/>
                    </w:rPr>
                    <w:t>490</w:t>
                  </w:r>
                </w:p>
              </w:tc>
              <w:tc>
                <w:tcPr>
                  <w:tcW w:w="694" w:type="pct"/>
                  <w:shd w:val="clear" w:color="auto" w:fill="auto"/>
                  <w:noWrap w:val="0"/>
                  <w:vAlign w:val="center"/>
                </w:tcPr>
                <w:p w14:paraId="763E3940">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1293</w:t>
                  </w:r>
                </w:p>
              </w:tc>
              <w:tc>
                <w:tcPr>
                  <w:tcW w:w="694" w:type="pct"/>
                  <w:noWrap w:val="0"/>
                  <w:vAlign w:val="center"/>
                </w:tcPr>
                <w:p w14:paraId="266D65B6">
                  <w:pPr>
                    <w:pStyle w:val="86"/>
                    <w:jc w:val="center"/>
                    <w:rPr>
                      <w:rFonts w:hint="default"/>
                      <w:color w:val="auto"/>
                      <w:lang w:val="en-US" w:eastAsia="zh-CN"/>
                    </w:rPr>
                  </w:pPr>
                  <w:r>
                    <w:rPr>
                      <w:rFonts w:hint="eastAsia"/>
                      <w:color w:val="auto"/>
                      <w:lang w:val="en-US" w:eastAsia="zh-CN"/>
                    </w:rPr>
                    <w:t>4900</w:t>
                  </w:r>
                </w:p>
              </w:tc>
              <w:tc>
                <w:tcPr>
                  <w:tcW w:w="695" w:type="pct"/>
                  <w:shd w:val="clear" w:color="auto" w:fill="auto"/>
                  <w:noWrap w:val="0"/>
                  <w:vAlign w:val="center"/>
                </w:tcPr>
                <w:p w14:paraId="541269CA">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12900</w:t>
                  </w:r>
                </w:p>
              </w:tc>
            </w:tr>
            <w:tr w14:paraId="46EB7D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2216E5E0">
                  <w:pPr>
                    <w:pStyle w:val="86"/>
                    <w:jc w:val="center"/>
                    <w:rPr>
                      <w:rFonts w:hint="default"/>
                      <w:color w:val="auto"/>
                      <w:lang w:val="en-US" w:eastAsia="zh-CN"/>
                    </w:rPr>
                  </w:pPr>
                  <w:r>
                    <w:rPr>
                      <w:rFonts w:hint="eastAsia"/>
                      <w:color w:val="auto"/>
                      <w:lang w:val="en-US" w:eastAsia="zh-CN"/>
                    </w:rPr>
                    <w:t>43</w:t>
                  </w:r>
                </w:p>
              </w:tc>
              <w:tc>
                <w:tcPr>
                  <w:tcW w:w="1706" w:type="pct"/>
                  <w:noWrap w:val="0"/>
                  <w:vAlign w:val="center"/>
                </w:tcPr>
                <w:p w14:paraId="1BBEF3BB">
                  <w:pPr>
                    <w:pStyle w:val="86"/>
                    <w:jc w:val="center"/>
                    <w:rPr>
                      <w:rFonts w:hint="default"/>
                      <w:color w:val="auto"/>
                      <w:lang w:val="en-US" w:eastAsia="zh-CN"/>
                    </w:rPr>
                  </w:pPr>
                  <w:r>
                    <w:rPr>
                      <w:rFonts w:hint="eastAsia"/>
                      <w:color w:val="auto"/>
                      <w:lang w:val="en-US" w:eastAsia="zh-CN"/>
                    </w:rPr>
                    <w:t>二苯并[a，h]蒽</w:t>
                  </w:r>
                </w:p>
              </w:tc>
              <w:tc>
                <w:tcPr>
                  <w:tcW w:w="694" w:type="pct"/>
                  <w:noWrap w:val="0"/>
                  <w:vAlign w:val="center"/>
                </w:tcPr>
                <w:p w14:paraId="14CE1B17">
                  <w:pPr>
                    <w:pStyle w:val="86"/>
                    <w:jc w:val="center"/>
                    <w:rPr>
                      <w:rFonts w:hint="default"/>
                      <w:color w:val="auto"/>
                      <w:lang w:val="en-US" w:eastAsia="zh-CN"/>
                    </w:rPr>
                  </w:pPr>
                  <w:r>
                    <w:rPr>
                      <w:rFonts w:hint="eastAsia"/>
                      <w:color w:val="auto"/>
                      <w:lang w:val="en-US" w:eastAsia="zh-CN"/>
                    </w:rPr>
                    <w:t>0.55</w:t>
                  </w:r>
                </w:p>
              </w:tc>
              <w:tc>
                <w:tcPr>
                  <w:tcW w:w="694" w:type="pct"/>
                  <w:shd w:val="clear" w:color="auto" w:fill="auto"/>
                  <w:noWrap w:val="0"/>
                  <w:vAlign w:val="center"/>
                </w:tcPr>
                <w:p w14:paraId="6EEDBEA1">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1.5</w:t>
                  </w:r>
                </w:p>
              </w:tc>
              <w:tc>
                <w:tcPr>
                  <w:tcW w:w="694" w:type="pct"/>
                  <w:noWrap w:val="0"/>
                  <w:vAlign w:val="center"/>
                </w:tcPr>
                <w:p w14:paraId="1D969973">
                  <w:pPr>
                    <w:pStyle w:val="86"/>
                    <w:jc w:val="center"/>
                    <w:rPr>
                      <w:rFonts w:hint="default"/>
                      <w:color w:val="auto"/>
                      <w:lang w:val="en-US" w:eastAsia="zh-CN"/>
                    </w:rPr>
                  </w:pPr>
                  <w:r>
                    <w:rPr>
                      <w:rFonts w:hint="eastAsia"/>
                      <w:color w:val="auto"/>
                      <w:lang w:val="en-US" w:eastAsia="zh-CN"/>
                    </w:rPr>
                    <w:t>5.5</w:t>
                  </w:r>
                </w:p>
              </w:tc>
              <w:tc>
                <w:tcPr>
                  <w:tcW w:w="695" w:type="pct"/>
                  <w:shd w:val="clear" w:color="auto" w:fill="auto"/>
                  <w:noWrap w:val="0"/>
                  <w:vAlign w:val="center"/>
                </w:tcPr>
                <w:p w14:paraId="4B941D61">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15</w:t>
                  </w:r>
                </w:p>
              </w:tc>
            </w:tr>
            <w:tr w14:paraId="1703C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20E72844">
                  <w:pPr>
                    <w:pStyle w:val="86"/>
                    <w:jc w:val="center"/>
                    <w:rPr>
                      <w:rFonts w:hint="default"/>
                      <w:color w:val="auto"/>
                      <w:lang w:val="en-US" w:eastAsia="zh-CN"/>
                    </w:rPr>
                  </w:pPr>
                  <w:r>
                    <w:rPr>
                      <w:rFonts w:hint="eastAsia"/>
                      <w:color w:val="auto"/>
                      <w:lang w:val="en-US" w:eastAsia="zh-CN"/>
                    </w:rPr>
                    <w:t>44</w:t>
                  </w:r>
                </w:p>
              </w:tc>
              <w:tc>
                <w:tcPr>
                  <w:tcW w:w="1706" w:type="pct"/>
                  <w:noWrap w:val="0"/>
                  <w:vAlign w:val="center"/>
                </w:tcPr>
                <w:p w14:paraId="213BDAA6">
                  <w:pPr>
                    <w:pStyle w:val="86"/>
                    <w:jc w:val="center"/>
                    <w:rPr>
                      <w:rFonts w:hint="default"/>
                      <w:color w:val="auto"/>
                      <w:lang w:val="en-US" w:eastAsia="zh-CN"/>
                    </w:rPr>
                  </w:pPr>
                  <w:r>
                    <w:rPr>
                      <w:rFonts w:hint="eastAsia"/>
                      <w:color w:val="auto"/>
                      <w:lang w:val="en-US" w:eastAsia="zh-CN"/>
                    </w:rPr>
                    <w:t>茚并[1,2,3-cd]芘</w:t>
                  </w:r>
                </w:p>
              </w:tc>
              <w:tc>
                <w:tcPr>
                  <w:tcW w:w="694" w:type="pct"/>
                  <w:noWrap w:val="0"/>
                  <w:vAlign w:val="center"/>
                </w:tcPr>
                <w:p w14:paraId="3DD2E019">
                  <w:pPr>
                    <w:pStyle w:val="86"/>
                    <w:jc w:val="center"/>
                    <w:rPr>
                      <w:rFonts w:hint="default"/>
                      <w:color w:val="auto"/>
                      <w:lang w:val="en-US" w:eastAsia="zh-CN"/>
                    </w:rPr>
                  </w:pPr>
                  <w:r>
                    <w:rPr>
                      <w:rFonts w:hint="eastAsia"/>
                      <w:color w:val="auto"/>
                      <w:lang w:val="en-US" w:eastAsia="zh-CN"/>
                    </w:rPr>
                    <w:t>5.5</w:t>
                  </w:r>
                </w:p>
              </w:tc>
              <w:tc>
                <w:tcPr>
                  <w:tcW w:w="694" w:type="pct"/>
                  <w:shd w:val="clear" w:color="auto" w:fill="auto"/>
                  <w:noWrap w:val="0"/>
                  <w:vAlign w:val="center"/>
                </w:tcPr>
                <w:p w14:paraId="228B935B">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15</w:t>
                  </w:r>
                </w:p>
              </w:tc>
              <w:tc>
                <w:tcPr>
                  <w:tcW w:w="694" w:type="pct"/>
                  <w:noWrap w:val="0"/>
                  <w:vAlign w:val="center"/>
                </w:tcPr>
                <w:p w14:paraId="1EF2BE23">
                  <w:pPr>
                    <w:pStyle w:val="86"/>
                    <w:jc w:val="center"/>
                    <w:rPr>
                      <w:rFonts w:hint="default"/>
                      <w:color w:val="auto"/>
                      <w:lang w:val="en-US" w:eastAsia="zh-CN"/>
                    </w:rPr>
                  </w:pPr>
                  <w:r>
                    <w:rPr>
                      <w:rFonts w:hint="eastAsia"/>
                      <w:color w:val="auto"/>
                      <w:lang w:val="en-US" w:eastAsia="zh-CN"/>
                    </w:rPr>
                    <w:t>55</w:t>
                  </w:r>
                </w:p>
              </w:tc>
              <w:tc>
                <w:tcPr>
                  <w:tcW w:w="695" w:type="pct"/>
                  <w:shd w:val="clear" w:color="auto" w:fill="auto"/>
                  <w:noWrap w:val="0"/>
                  <w:vAlign w:val="center"/>
                </w:tcPr>
                <w:p w14:paraId="128F4924">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151</w:t>
                  </w:r>
                </w:p>
              </w:tc>
            </w:tr>
            <w:tr w14:paraId="3DE791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15" w:type="pct"/>
                  <w:noWrap w:val="0"/>
                  <w:vAlign w:val="center"/>
                </w:tcPr>
                <w:p w14:paraId="1AD20A4C">
                  <w:pPr>
                    <w:pStyle w:val="86"/>
                    <w:jc w:val="center"/>
                    <w:rPr>
                      <w:rFonts w:hint="default"/>
                      <w:color w:val="auto"/>
                      <w:lang w:val="en-US" w:eastAsia="zh-CN"/>
                    </w:rPr>
                  </w:pPr>
                  <w:r>
                    <w:rPr>
                      <w:rFonts w:hint="eastAsia"/>
                      <w:color w:val="auto"/>
                      <w:lang w:val="en-US" w:eastAsia="zh-CN"/>
                    </w:rPr>
                    <w:t>45</w:t>
                  </w:r>
                </w:p>
              </w:tc>
              <w:tc>
                <w:tcPr>
                  <w:tcW w:w="1706" w:type="pct"/>
                  <w:noWrap w:val="0"/>
                  <w:vAlign w:val="center"/>
                </w:tcPr>
                <w:p w14:paraId="04A51F4C">
                  <w:pPr>
                    <w:pStyle w:val="86"/>
                    <w:jc w:val="center"/>
                    <w:rPr>
                      <w:rFonts w:hint="default"/>
                      <w:color w:val="auto"/>
                      <w:lang w:val="en-US" w:eastAsia="zh-CN"/>
                    </w:rPr>
                  </w:pPr>
                  <w:r>
                    <w:rPr>
                      <w:rFonts w:hint="eastAsia"/>
                      <w:color w:val="auto"/>
                      <w:lang w:val="en-US" w:eastAsia="zh-CN"/>
                    </w:rPr>
                    <w:t>萘</w:t>
                  </w:r>
                </w:p>
              </w:tc>
              <w:tc>
                <w:tcPr>
                  <w:tcW w:w="694" w:type="pct"/>
                  <w:noWrap w:val="0"/>
                  <w:vAlign w:val="center"/>
                </w:tcPr>
                <w:p w14:paraId="466E3F65">
                  <w:pPr>
                    <w:pStyle w:val="86"/>
                    <w:jc w:val="center"/>
                    <w:rPr>
                      <w:rFonts w:hint="default"/>
                      <w:color w:val="auto"/>
                      <w:lang w:val="en-US" w:eastAsia="zh-CN"/>
                    </w:rPr>
                  </w:pPr>
                  <w:r>
                    <w:rPr>
                      <w:rFonts w:hint="eastAsia"/>
                      <w:color w:val="auto"/>
                      <w:lang w:val="en-US" w:eastAsia="zh-CN"/>
                    </w:rPr>
                    <w:t>25</w:t>
                  </w:r>
                </w:p>
              </w:tc>
              <w:tc>
                <w:tcPr>
                  <w:tcW w:w="694" w:type="pct"/>
                  <w:shd w:val="clear" w:color="auto" w:fill="auto"/>
                  <w:noWrap w:val="0"/>
                  <w:vAlign w:val="center"/>
                </w:tcPr>
                <w:p w14:paraId="21E00BCD">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70</w:t>
                  </w:r>
                </w:p>
              </w:tc>
              <w:tc>
                <w:tcPr>
                  <w:tcW w:w="694" w:type="pct"/>
                  <w:noWrap w:val="0"/>
                  <w:vAlign w:val="center"/>
                </w:tcPr>
                <w:p w14:paraId="3AA782E9">
                  <w:pPr>
                    <w:pStyle w:val="86"/>
                    <w:jc w:val="center"/>
                    <w:rPr>
                      <w:rFonts w:hint="default"/>
                      <w:color w:val="auto"/>
                      <w:lang w:val="en-US" w:eastAsia="zh-CN"/>
                    </w:rPr>
                  </w:pPr>
                  <w:r>
                    <w:rPr>
                      <w:rFonts w:hint="eastAsia"/>
                      <w:color w:val="auto"/>
                      <w:lang w:val="en-US" w:eastAsia="zh-CN"/>
                    </w:rPr>
                    <w:t>255</w:t>
                  </w:r>
                </w:p>
              </w:tc>
              <w:tc>
                <w:tcPr>
                  <w:tcW w:w="695" w:type="pct"/>
                  <w:shd w:val="clear" w:color="auto" w:fill="auto"/>
                  <w:noWrap w:val="0"/>
                  <w:vAlign w:val="center"/>
                </w:tcPr>
                <w:p w14:paraId="75E23953">
                  <w:pPr>
                    <w:pStyle w:val="86"/>
                    <w:jc w:val="center"/>
                    <w:rPr>
                      <w:rFonts w:hint="eastAsia" w:ascii="Times New Roman" w:hAnsi="Times New Roman" w:eastAsia="宋体" w:cs="Arial"/>
                      <w:color w:val="auto"/>
                      <w:kern w:val="2"/>
                      <w:sz w:val="21"/>
                      <w:szCs w:val="24"/>
                      <w:lang w:val="en-US" w:eastAsia="zh-CN" w:bidi="ar-SA"/>
                    </w:rPr>
                  </w:pPr>
                  <w:r>
                    <w:rPr>
                      <w:rFonts w:hint="eastAsia"/>
                      <w:color w:val="auto"/>
                      <w:lang w:val="en-US" w:eastAsia="zh-CN"/>
                    </w:rPr>
                    <w:t>700</w:t>
                  </w:r>
                </w:p>
              </w:tc>
            </w:tr>
          </w:tbl>
          <w:p w14:paraId="79973294">
            <w:pPr>
              <w:pStyle w:val="71"/>
              <w:keepNext w:val="0"/>
              <w:keepLines w:val="0"/>
              <w:pageBreakBefore w:val="0"/>
              <w:widowControl w:val="0"/>
              <w:numPr>
                <w:ilvl w:val="0"/>
                <w:numId w:val="0"/>
              </w:numPr>
              <w:kinsoku/>
              <w:wordWrap/>
              <w:overflowPunct/>
              <w:topLinePunct w:val="0"/>
              <w:autoSpaceDE/>
              <w:autoSpaceDN/>
              <w:bidi w:val="0"/>
              <w:adjustRightInd w:val="0"/>
              <w:snapToGrid w:val="0"/>
              <w:ind w:firstLine="496"/>
              <w:jc w:val="both"/>
              <w:textAlignment w:val="auto"/>
              <w:rPr>
                <w:rFonts w:hint="eastAsia" w:ascii="Times New Roman" w:hAnsi="Times New Roman" w:eastAsia="宋体" w:cs="Times New Roman"/>
                <w:color w:val="auto"/>
                <w:highlight w:val="none"/>
                <w:lang w:val="en-US" w:eastAsia="zh-CN"/>
              </w:rPr>
            </w:pPr>
            <w:r>
              <w:rPr>
                <w:rFonts w:hint="eastAsia" w:ascii="Times New Roman" w:hAnsi="Times New Roman" w:eastAsia="宋体" w:cs="Times New Roman"/>
                <w:color w:val="auto"/>
                <w:highlight w:val="none"/>
                <w:lang w:val="en-US" w:eastAsia="zh-CN"/>
              </w:rPr>
              <w:t>项目周边耕地执行《土壤环境质量农用地土壤污染风险管控标准（试行）》（</w:t>
            </w:r>
            <w:r>
              <w:rPr>
                <w:rFonts w:hint="default" w:ascii="Times New Roman" w:hAnsi="Times New Roman" w:eastAsia="宋体" w:cs="Times New Roman"/>
                <w:color w:val="auto"/>
                <w:highlight w:val="none"/>
                <w:lang w:val="en-US" w:eastAsia="zh-CN"/>
              </w:rPr>
              <w:t>GB15618-2018</w:t>
            </w:r>
            <w:r>
              <w:rPr>
                <w:rFonts w:hint="eastAsia" w:ascii="Times New Roman" w:hAnsi="Times New Roman" w:eastAsia="宋体" w:cs="Times New Roman"/>
                <w:color w:val="auto"/>
                <w:highlight w:val="none"/>
                <w:lang w:val="en-US" w:eastAsia="zh-CN"/>
              </w:rPr>
              <w:t>），标准限值详见下表。</w:t>
            </w:r>
          </w:p>
          <w:p w14:paraId="767E5F59">
            <w:pPr>
              <w:pStyle w:val="71"/>
              <w:keepNext w:val="0"/>
              <w:keepLines w:val="0"/>
              <w:pageBreakBefore w:val="0"/>
              <w:widowControl w:val="0"/>
              <w:numPr>
                <w:ilvl w:val="0"/>
                <w:numId w:val="0"/>
              </w:numPr>
              <w:kinsoku/>
              <w:wordWrap/>
              <w:overflowPunct/>
              <w:topLinePunct w:val="0"/>
              <w:autoSpaceDE/>
              <w:autoSpaceDN/>
              <w:bidi w:val="0"/>
              <w:adjustRightInd w:val="0"/>
              <w:snapToGrid w:val="0"/>
              <w:spacing w:line="240" w:lineRule="auto"/>
              <w:ind w:firstLine="0" w:firstLineChars="0"/>
              <w:jc w:val="center"/>
              <w:textAlignment w:val="auto"/>
              <w:rPr>
                <w:rFonts w:hint="eastAsia" w:ascii="Times New Roman" w:hAnsi="Times New Roman" w:eastAsia="宋体" w:cs="Times New Roman"/>
                <w:b/>
                <w:bCs/>
                <w:color w:val="auto"/>
                <w:sz w:val="24"/>
                <w:szCs w:val="24"/>
                <w:highlight w:val="none"/>
                <w:lang w:val="en-US" w:eastAsia="zh-CN"/>
              </w:rPr>
            </w:pPr>
            <w:r>
              <w:rPr>
                <w:rFonts w:hint="eastAsia" w:ascii="Times New Roman" w:hAnsi="Times New Roman" w:eastAsia="宋体" w:cs="Times New Roman"/>
                <w:b/>
                <w:bCs/>
                <w:color w:val="auto"/>
                <w:sz w:val="24"/>
                <w:szCs w:val="24"/>
                <w:highlight w:val="none"/>
                <w:lang w:val="en-US" w:eastAsia="zh-CN"/>
              </w:rPr>
              <w:t>表3-2</w:t>
            </w:r>
            <w:r>
              <w:rPr>
                <w:rFonts w:hint="eastAsia" w:cs="Times New Roman"/>
                <w:b/>
                <w:bCs/>
                <w:color w:val="auto"/>
                <w:sz w:val="24"/>
                <w:szCs w:val="24"/>
                <w:highlight w:val="none"/>
                <w:lang w:val="en-US" w:eastAsia="zh-CN"/>
              </w:rPr>
              <w:t>1</w:t>
            </w:r>
            <w:r>
              <w:rPr>
                <w:rFonts w:hint="eastAsia" w:ascii="Times New Roman" w:hAnsi="Times New Roman" w:eastAsia="宋体" w:cs="Times New Roman"/>
                <w:b/>
                <w:bCs/>
                <w:color w:val="auto"/>
                <w:sz w:val="24"/>
                <w:szCs w:val="24"/>
                <w:highlight w:val="none"/>
                <w:lang w:val="en-US" w:eastAsia="zh-CN"/>
              </w:rPr>
              <w:t xml:space="preserve"> </w:t>
            </w:r>
            <w:r>
              <w:rPr>
                <w:rFonts w:hint="eastAsia" w:cs="Times New Roman"/>
                <w:b/>
                <w:bCs/>
                <w:color w:val="auto"/>
                <w:sz w:val="24"/>
                <w:szCs w:val="24"/>
                <w:highlight w:val="none"/>
                <w:lang w:val="en-US" w:eastAsia="zh-CN"/>
              </w:rPr>
              <w:t xml:space="preserve"> </w:t>
            </w:r>
            <w:r>
              <w:rPr>
                <w:rFonts w:hint="eastAsia" w:ascii="Times New Roman" w:hAnsi="Times New Roman" w:eastAsia="宋体" w:cs="Times New Roman"/>
                <w:b/>
                <w:bCs/>
                <w:color w:val="auto"/>
                <w:sz w:val="24"/>
                <w:szCs w:val="24"/>
                <w:highlight w:val="none"/>
                <w:lang w:val="en-US" w:eastAsia="zh-CN"/>
              </w:rPr>
              <w:t>农用地土壤污染风险筛选值和管制值（基本项目）单位：mg/kg</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0"/>
              <w:gridCol w:w="436"/>
              <w:gridCol w:w="1393"/>
              <w:gridCol w:w="1133"/>
              <w:gridCol w:w="1670"/>
              <w:gridCol w:w="1825"/>
              <w:gridCol w:w="1095"/>
            </w:tblGrid>
            <w:tr w14:paraId="739169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noWrap w:val="0"/>
                  <w:vAlign w:val="center"/>
                </w:tcPr>
                <w:p w14:paraId="69C2359B">
                  <w:pPr>
                    <w:pStyle w:val="86"/>
                    <w:rPr>
                      <w:rFonts w:hint="default"/>
                      <w:color w:val="auto"/>
                      <w:lang w:val="en-US" w:eastAsia="zh-CN"/>
                    </w:rPr>
                  </w:pPr>
                  <w:r>
                    <w:rPr>
                      <w:rFonts w:hint="eastAsia"/>
                      <w:color w:val="auto"/>
                      <w:lang w:val="en-US" w:eastAsia="zh-CN"/>
                    </w:rPr>
                    <w:t>序号</w:t>
                  </w:r>
                </w:p>
              </w:tc>
              <w:tc>
                <w:tcPr>
                  <w:tcW w:w="1104" w:type="pct"/>
                  <w:gridSpan w:val="2"/>
                  <w:noWrap w:val="0"/>
                  <w:vAlign w:val="center"/>
                </w:tcPr>
                <w:p w14:paraId="0DE001FA">
                  <w:pPr>
                    <w:pStyle w:val="86"/>
                    <w:rPr>
                      <w:rFonts w:hint="default"/>
                      <w:color w:val="auto"/>
                      <w:lang w:val="en-US" w:eastAsia="zh-CN"/>
                    </w:rPr>
                  </w:pPr>
                  <w:r>
                    <w:rPr>
                      <w:rFonts w:hint="eastAsia"/>
                      <w:color w:val="auto"/>
                      <w:lang w:val="en-US" w:eastAsia="zh-CN"/>
                    </w:rPr>
                    <w:t>污染项目</w:t>
                  </w:r>
                </w:p>
              </w:tc>
              <w:tc>
                <w:tcPr>
                  <w:tcW w:w="684" w:type="pct"/>
                  <w:noWrap w:val="0"/>
                  <w:vAlign w:val="center"/>
                </w:tcPr>
                <w:p w14:paraId="192DE9AE">
                  <w:pPr>
                    <w:pStyle w:val="86"/>
                    <w:rPr>
                      <w:rFonts w:hint="default"/>
                      <w:color w:val="auto"/>
                      <w:lang w:val="en-US" w:eastAsia="zh-CN"/>
                    </w:rPr>
                  </w:pPr>
                  <w:r>
                    <w:rPr>
                      <w:rFonts w:hint="eastAsia"/>
                      <w:color w:val="auto"/>
                      <w:lang w:val="en-US" w:eastAsia="zh-CN"/>
                    </w:rPr>
                    <w:t>PH≤5.5</w:t>
                  </w:r>
                </w:p>
              </w:tc>
              <w:tc>
                <w:tcPr>
                  <w:tcW w:w="1008" w:type="pct"/>
                  <w:noWrap w:val="0"/>
                  <w:vAlign w:val="center"/>
                </w:tcPr>
                <w:p w14:paraId="66A59CBA">
                  <w:pPr>
                    <w:pStyle w:val="86"/>
                    <w:rPr>
                      <w:rFonts w:hint="default"/>
                      <w:color w:val="auto"/>
                      <w:lang w:val="en-US" w:eastAsia="zh-CN"/>
                    </w:rPr>
                  </w:pPr>
                  <w:r>
                    <w:rPr>
                      <w:rFonts w:hint="eastAsia"/>
                      <w:color w:val="auto"/>
                      <w:lang w:val="en-US" w:eastAsia="zh-CN"/>
                    </w:rPr>
                    <w:t>5.5＜PH≤6.5</w:t>
                  </w:r>
                </w:p>
              </w:tc>
              <w:tc>
                <w:tcPr>
                  <w:tcW w:w="1102" w:type="pct"/>
                  <w:noWrap w:val="0"/>
                  <w:vAlign w:val="center"/>
                </w:tcPr>
                <w:p w14:paraId="12B75EFE">
                  <w:pPr>
                    <w:pStyle w:val="86"/>
                    <w:rPr>
                      <w:rFonts w:hint="default"/>
                      <w:color w:val="auto"/>
                      <w:lang w:val="en-US" w:eastAsia="zh-CN"/>
                    </w:rPr>
                  </w:pPr>
                  <w:r>
                    <w:rPr>
                      <w:rFonts w:hint="eastAsia"/>
                      <w:color w:val="auto"/>
                      <w:lang w:val="en-US" w:eastAsia="zh-CN"/>
                    </w:rPr>
                    <w:t>6.5＜PH≤7.5</w:t>
                  </w:r>
                </w:p>
              </w:tc>
              <w:tc>
                <w:tcPr>
                  <w:tcW w:w="660" w:type="pct"/>
                  <w:noWrap w:val="0"/>
                  <w:vAlign w:val="center"/>
                </w:tcPr>
                <w:p w14:paraId="7507CA63">
                  <w:pPr>
                    <w:pStyle w:val="86"/>
                    <w:rPr>
                      <w:rFonts w:hint="default"/>
                      <w:color w:val="auto"/>
                      <w:lang w:val="en-US" w:eastAsia="zh-CN"/>
                    </w:rPr>
                  </w:pPr>
                  <w:r>
                    <w:rPr>
                      <w:rFonts w:hint="eastAsia"/>
                      <w:color w:val="auto"/>
                      <w:lang w:val="en-US" w:eastAsia="zh-CN"/>
                    </w:rPr>
                    <w:t>PH≥7.5</w:t>
                  </w:r>
                </w:p>
              </w:tc>
            </w:tr>
            <w:tr w14:paraId="4FC29D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noWrap w:val="0"/>
                  <w:vAlign w:val="center"/>
                </w:tcPr>
                <w:p w14:paraId="661F3D40">
                  <w:pPr>
                    <w:pStyle w:val="86"/>
                    <w:rPr>
                      <w:rFonts w:hint="default"/>
                      <w:color w:val="auto"/>
                      <w:lang w:val="en-US" w:eastAsia="zh-CN"/>
                    </w:rPr>
                  </w:pPr>
                  <w:r>
                    <w:rPr>
                      <w:rFonts w:hint="eastAsia"/>
                      <w:color w:val="auto"/>
                      <w:lang w:val="en-US" w:eastAsia="zh-CN"/>
                    </w:rPr>
                    <w:t>筛选值</w:t>
                  </w:r>
                </w:p>
              </w:tc>
            </w:tr>
            <w:tr w14:paraId="055D9F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restart"/>
                  <w:noWrap w:val="0"/>
                  <w:vAlign w:val="center"/>
                </w:tcPr>
                <w:p w14:paraId="690B3B59">
                  <w:pPr>
                    <w:pStyle w:val="86"/>
                    <w:rPr>
                      <w:rFonts w:hint="default"/>
                      <w:color w:val="auto"/>
                      <w:lang w:val="en-US" w:eastAsia="zh-CN"/>
                    </w:rPr>
                  </w:pPr>
                  <w:r>
                    <w:rPr>
                      <w:rFonts w:hint="eastAsia"/>
                      <w:color w:val="auto"/>
                      <w:lang w:val="en-US" w:eastAsia="zh-CN"/>
                    </w:rPr>
                    <w:t>1</w:t>
                  </w:r>
                </w:p>
              </w:tc>
              <w:tc>
                <w:tcPr>
                  <w:tcW w:w="263" w:type="pct"/>
                  <w:vMerge w:val="restart"/>
                  <w:noWrap w:val="0"/>
                  <w:vAlign w:val="center"/>
                </w:tcPr>
                <w:p w14:paraId="1DAA0958">
                  <w:pPr>
                    <w:pStyle w:val="86"/>
                    <w:rPr>
                      <w:rFonts w:hint="default"/>
                      <w:color w:val="auto"/>
                      <w:lang w:val="en-US" w:eastAsia="zh-CN"/>
                    </w:rPr>
                  </w:pPr>
                  <w:r>
                    <w:rPr>
                      <w:rFonts w:hint="eastAsia"/>
                      <w:color w:val="auto"/>
                      <w:lang w:val="en-US" w:eastAsia="zh-CN"/>
                    </w:rPr>
                    <w:t>镉</w:t>
                  </w:r>
                </w:p>
              </w:tc>
              <w:tc>
                <w:tcPr>
                  <w:tcW w:w="840" w:type="pct"/>
                  <w:noWrap w:val="0"/>
                  <w:vAlign w:val="center"/>
                </w:tcPr>
                <w:p w14:paraId="1D62E94C">
                  <w:pPr>
                    <w:pStyle w:val="86"/>
                    <w:rPr>
                      <w:rFonts w:hint="default"/>
                      <w:color w:val="auto"/>
                      <w:lang w:val="en-US" w:eastAsia="zh-CN"/>
                    </w:rPr>
                  </w:pPr>
                  <w:r>
                    <w:rPr>
                      <w:rFonts w:hint="eastAsia"/>
                      <w:color w:val="auto"/>
                      <w:lang w:val="en-US" w:eastAsia="zh-CN"/>
                    </w:rPr>
                    <w:t>水田</w:t>
                  </w:r>
                </w:p>
              </w:tc>
              <w:tc>
                <w:tcPr>
                  <w:tcW w:w="684" w:type="pct"/>
                  <w:noWrap w:val="0"/>
                  <w:vAlign w:val="center"/>
                </w:tcPr>
                <w:p w14:paraId="42489589">
                  <w:pPr>
                    <w:pStyle w:val="86"/>
                    <w:rPr>
                      <w:rFonts w:hint="default"/>
                      <w:color w:val="auto"/>
                      <w:lang w:val="en-US" w:eastAsia="zh-CN"/>
                    </w:rPr>
                  </w:pPr>
                  <w:r>
                    <w:rPr>
                      <w:rFonts w:hint="eastAsia"/>
                      <w:color w:val="auto"/>
                      <w:lang w:val="en-US" w:eastAsia="zh-CN"/>
                    </w:rPr>
                    <w:t>0.3</w:t>
                  </w:r>
                </w:p>
              </w:tc>
              <w:tc>
                <w:tcPr>
                  <w:tcW w:w="1008" w:type="pct"/>
                  <w:noWrap w:val="0"/>
                  <w:vAlign w:val="center"/>
                </w:tcPr>
                <w:p w14:paraId="540E5F05">
                  <w:pPr>
                    <w:pStyle w:val="86"/>
                    <w:rPr>
                      <w:rFonts w:hint="default"/>
                      <w:color w:val="auto"/>
                      <w:lang w:val="en-US" w:eastAsia="zh-CN"/>
                    </w:rPr>
                  </w:pPr>
                  <w:r>
                    <w:rPr>
                      <w:rFonts w:hint="eastAsia"/>
                      <w:color w:val="auto"/>
                      <w:lang w:val="en-US" w:eastAsia="zh-CN"/>
                    </w:rPr>
                    <w:t>0.4</w:t>
                  </w:r>
                </w:p>
              </w:tc>
              <w:tc>
                <w:tcPr>
                  <w:tcW w:w="1102" w:type="pct"/>
                  <w:noWrap w:val="0"/>
                  <w:vAlign w:val="center"/>
                </w:tcPr>
                <w:p w14:paraId="5492C46A">
                  <w:pPr>
                    <w:pStyle w:val="86"/>
                    <w:rPr>
                      <w:rFonts w:hint="default"/>
                      <w:color w:val="auto"/>
                      <w:lang w:val="en-US" w:eastAsia="zh-CN"/>
                    </w:rPr>
                  </w:pPr>
                  <w:r>
                    <w:rPr>
                      <w:rFonts w:hint="eastAsia"/>
                      <w:color w:val="auto"/>
                      <w:lang w:val="en-US" w:eastAsia="zh-CN"/>
                    </w:rPr>
                    <w:t>0.6</w:t>
                  </w:r>
                </w:p>
              </w:tc>
              <w:tc>
                <w:tcPr>
                  <w:tcW w:w="660" w:type="pct"/>
                  <w:noWrap w:val="0"/>
                  <w:vAlign w:val="center"/>
                </w:tcPr>
                <w:p w14:paraId="0DD85D12">
                  <w:pPr>
                    <w:pStyle w:val="86"/>
                    <w:rPr>
                      <w:rFonts w:hint="default"/>
                      <w:color w:val="auto"/>
                      <w:lang w:val="en-US" w:eastAsia="zh-CN"/>
                    </w:rPr>
                  </w:pPr>
                  <w:r>
                    <w:rPr>
                      <w:rFonts w:hint="eastAsia"/>
                      <w:color w:val="auto"/>
                      <w:lang w:val="en-US" w:eastAsia="zh-CN"/>
                    </w:rPr>
                    <w:t>0.8</w:t>
                  </w:r>
                </w:p>
              </w:tc>
            </w:tr>
            <w:tr w14:paraId="552DF5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noWrap w:val="0"/>
                  <w:vAlign w:val="center"/>
                </w:tcPr>
                <w:p w14:paraId="4AAFB7DB">
                  <w:pPr>
                    <w:pStyle w:val="86"/>
                    <w:rPr>
                      <w:rFonts w:hint="default"/>
                      <w:color w:val="auto"/>
                      <w:lang w:val="en-US" w:eastAsia="zh-CN"/>
                    </w:rPr>
                  </w:pPr>
                </w:p>
              </w:tc>
              <w:tc>
                <w:tcPr>
                  <w:tcW w:w="263" w:type="pct"/>
                  <w:vMerge w:val="continue"/>
                  <w:noWrap w:val="0"/>
                  <w:vAlign w:val="center"/>
                </w:tcPr>
                <w:p w14:paraId="76A1D7C6">
                  <w:pPr>
                    <w:pStyle w:val="86"/>
                    <w:rPr>
                      <w:rFonts w:hint="default"/>
                      <w:color w:val="auto"/>
                      <w:lang w:val="en-US" w:eastAsia="zh-CN"/>
                    </w:rPr>
                  </w:pPr>
                </w:p>
              </w:tc>
              <w:tc>
                <w:tcPr>
                  <w:tcW w:w="840" w:type="pct"/>
                  <w:noWrap w:val="0"/>
                  <w:vAlign w:val="center"/>
                </w:tcPr>
                <w:p w14:paraId="25ECD9ED">
                  <w:pPr>
                    <w:pStyle w:val="86"/>
                    <w:rPr>
                      <w:rFonts w:hint="default"/>
                      <w:color w:val="auto"/>
                      <w:lang w:val="en-US" w:eastAsia="zh-CN"/>
                    </w:rPr>
                  </w:pPr>
                  <w:r>
                    <w:rPr>
                      <w:rFonts w:hint="eastAsia"/>
                      <w:color w:val="auto"/>
                      <w:lang w:val="en-US" w:eastAsia="zh-CN"/>
                    </w:rPr>
                    <w:t>其他</w:t>
                  </w:r>
                </w:p>
              </w:tc>
              <w:tc>
                <w:tcPr>
                  <w:tcW w:w="684" w:type="pct"/>
                  <w:noWrap w:val="0"/>
                  <w:vAlign w:val="center"/>
                </w:tcPr>
                <w:p w14:paraId="5FE78416">
                  <w:pPr>
                    <w:pStyle w:val="86"/>
                    <w:rPr>
                      <w:rFonts w:hint="default"/>
                      <w:color w:val="auto"/>
                      <w:lang w:val="en-US" w:eastAsia="zh-CN"/>
                    </w:rPr>
                  </w:pPr>
                  <w:r>
                    <w:rPr>
                      <w:rFonts w:hint="eastAsia"/>
                      <w:color w:val="auto"/>
                      <w:lang w:val="en-US" w:eastAsia="zh-CN"/>
                    </w:rPr>
                    <w:t>0.3</w:t>
                  </w:r>
                </w:p>
              </w:tc>
              <w:tc>
                <w:tcPr>
                  <w:tcW w:w="1008" w:type="pct"/>
                  <w:noWrap w:val="0"/>
                  <w:vAlign w:val="center"/>
                </w:tcPr>
                <w:p w14:paraId="61C858B4">
                  <w:pPr>
                    <w:pStyle w:val="86"/>
                    <w:rPr>
                      <w:rFonts w:hint="default"/>
                      <w:color w:val="auto"/>
                      <w:lang w:val="en-US" w:eastAsia="zh-CN"/>
                    </w:rPr>
                  </w:pPr>
                  <w:r>
                    <w:rPr>
                      <w:rFonts w:hint="eastAsia"/>
                      <w:color w:val="auto"/>
                      <w:lang w:val="en-US" w:eastAsia="zh-CN"/>
                    </w:rPr>
                    <w:t>0.3</w:t>
                  </w:r>
                </w:p>
              </w:tc>
              <w:tc>
                <w:tcPr>
                  <w:tcW w:w="1102" w:type="pct"/>
                  <w:noWrap w:val="0"/>
                  <w:vAlign w:val="center"/>
                </w:tcPr>
                <w:p w14:paraId="5AC4896F">
                  <w:pPr>
                    <w:pStyle w:val="86"/>
                    <w:rPr>
                      <w:rFonts w:hint="default"/>
                      <w:color w:val="auto"/>
                      <w:lang w:val="en-US" w:eastAsia="zh-CN"/>
                    </w:rPr>
                  </w:pPr>
                  <w:r>
                    <w:rPr>
                      <w:rFonts w:hint="eastAsia"/>
                      <w:color w:val="auto"/>
                      <w:lang w:val="en-US" w:eastAsia="zh-CN"/>
                    </w:rPr>
                    <w:t>0.3</w:t>
                  </w:r>
                </w:p>
              </w:tc>
              <w:tc>
                <w:tcPr>
                  <w:tcW w:w="660" w:type="pct"/>
                  <w:noWrap w:val="0"/>
                  <w:vAlign w:val="center"/>
                </w:tcPr>
                <w:p w14:paraId="23C8ABDD">
                  <w:pPr>
                    <w:pStyle w:val="86"/>
                    <w:rPr>
                      <w:rFonts w:hint="default"/>
                      <w:color w:val="auto"/>
                      <w:lang w:val="en-US" w:eastAsia="zh-CN"/>
                    </w:rPr>
                  </w:pPr>
                  <w:r>
                    <w:rPr>
                      <w:rFonts w:hint="eastAsia"/>
                      <w:color w:val="auto"/>
                      <w:lang w:val="en-US" w:eastAsia="zh-CN"/>
                    </w:rPr>
                    <w:t>0.6</w:t>
                  </w:r>
                </w:p>
              </w:tc>
            </w:tr>
            <w:tr w14:paraId="009F0C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restart"/>
                  <w:noWrap w:val="0"/>
                  <w:vAlign w:val="center"/>
                </w:tcPr>
                <w:p w14:paraId="40AEE91C">
                  <w:pPr>
                    <w:pStyle w:val="86"/>
                    <w:rPr>
                      <w:rFonts w:hint="default"/>
                      <w:color w:val="auto"/>
                      <w:lang w:val="en-US" w:eastAsia="zh-CN"/>
                    </w:rPr>
                  </w:pPr>
                  <w:r>
                    <w:rPr>
                      <w:rFonts w:hint="eastAsia"/>
                      <w:color w:val="auto"/>
                      <w:lang w:val="en-US" w:eastAsia="zh-CN"/>
                    </w:rPr>
                    <w:t>2</w:t>
                  </w:r>
                </w:p>
              </w:tc>
              <w:tc>
                <w:tcPr>
                  <w:tcW w:w="263" w:type="pct"/>
                  <w:vMerge w:val="restart"/>
                  <w:noWrap w:val="0"/>
                  <w:vAlign w:val="center"/>
                </w:tcPr>
                <w:p w14:paraId="4FFC0BC8">
                  <w:pPr>
                    <w:pStyle w:val="86"/>
                    <w:rPr>
                      <w:rFonts w:hint="default"/>
                      <w:color w:val="auto"/>
                      <w:lang w:val="en-US" w:eastAsia="zh-CN"/>
                    </w:rPr>
                  </w:pPr>
                  <w:r>
                    <w:rPr>
                      <w:rFonts w:hint="eastAsia"/>
                      <w:color w:val="auto"/>
                      <w:lang w:val="en-US" w:eastAsia="zh-CN"/>
                    </w:rPr>
                    <w:t>汞</w:t>
                  </w:r>
                </w:p>
              </w:tc>
              <w:tc>
                <w:tcPr>
                  <w:tcW w:w="840" w:type="pct"/>
                  <w:noWrap w:val="0"/>
                  <w:vAlign w:val="center"/>
                </w:tcPr>
                <w:p w14:paraId="475043B4">
                  <w:pPr>
                    <w:pStyle w:val="86"/>
                    <w:rPr>
                      <w:rFonts w:hint="default"/>
                      <w:color w:val="auto"/>
                      <w:lang w:val="en-US" w:eastAsia="zh-CN"/>
                    </w:rPr>
                  </w:pPr>
                  <w:r>
                    <w:rPr>
                      <w:rFonts w:hint="eastAsia"/>
                      <w:color w:val="auto"/>
                      <w:lang w:val="en-US" w:eastAsia="zh-CN"/>
                    </w:rPr>
                    <w:t>水田</w:t>
                  </w:r>
                </w:p>
              </w:tc>
              <w:tc>
                <w:tcPr>
                  <w:tcW w:w="684" w:type="pct"/>
                  <w:noWrap w:val="0"/>
                  <w:vAlign w:val="center"/>
                </w:tcPr>
                <w:p w14:paraId="5CA257EA">
                  <w:pPr>
                    <w:pStyle w:val="86"/>
                    <w:rPr>
                      <w:rFonts w:hint="default"/>
                      <w:color w:val="auto"/>
                      <w:lang w:val="en-US" w:eastAsia="zh-CN"/>
                    </w:rPr>
                  </w:pPr>
                  <w:r>
                    <w:rPr>
                      <w:rFonts w:hint="eastAsia"/>
                      <w:color w:val="auto"/>
                      <w:lang w:val="en-US" w:eastAsia="zh-CN"/>
                    </w:rPr>
                    <w:t>0.5</w:t>
                  </w:r>
                </w:p>
              </w:tc>
              <w:tc>
                <w:tcPr>
                  <w:tcW w:w="1008" w:type="pct"/>
                  <w:noWrap w:val="0"/>
                  <w:vAlign w:val="center"/>
                </w:tcPr>
                <w:p w14:paraId="71BD76E1">
                  <w:pPr>
                    <w:pStyle w:val="86"/>
                    <w:rPr>
                      <w:rFonts w:hint="default"/>
                      <w:color w:val="auto"/>
                      <w:lang w:val="en-US" w:eastAsia="zh-CN"/>
                    </w:rPr>
                  </w:pPr>
                  <w:r>
                    <w:rPr>
                      <w:rFonts w:hint="eastAsia"/>
                      <w:color w:val="auto"/>
                      <w:lang w:val="en-US" w:eastAsia="zh-CN"/>
                    </w:rPr>
                    <w:t>0.5</w:t>
                  </w:r>
                </w:p>
              </w:tc>
              <w:tc>
                <w:tcPr>
                  <w:tcW w:w="1102" w:type="pct"/>
                  <w:noWrap w:val="0"/>
                  <w:vAlign w:val="center"/>
                </w:tcPr>
                <w:p w14:paraId="3D5D4A32">
                  <w:pPr>
                    <w:pStyle w:val="86"/>
                    <w:rPr>
                      <w:rFonts w:hint="default"/>
                      <w:color w:val="auto"/>
                      <w:lang w:val="en-US" w:eastAsia="zh-CN"/>
                    </w:rPr>
                  </w:pPr>
                  <w:r>
                    <w:rPr>
                      <w:rFonts w:hint="eastAsia"/>
                      <w:color w:val="auto"/>
                      <w:lang w:val="en-US" w:eastAsia="zh-CN"/>
                    </w:rPr>
                    <w:t>0.6</w:t>
                  </w:r>
                </w:p>
              </w:tc>
              <w:tc>
                <w:tcPr>
                  <w:tcW w:w="660" w:type="pct"/>
                  <w:noWrap w:val="0"/>
                  <w:vAlign w:val="center"/>
                </w:tcPr>
                <w:p w14:paraId="407C193D">
                  <w:pPr>
                    <w:pStyle w:val="86"/>
                    <w:rPr>
                      <w:rFonts w:hint="default"/>
                      <w:color w:val="auto"/>
                      <w:lang w:val="en-US" w:eastAsia="zh-CN"/>
                    </w:rPr>
                  </w:pPr>
                  <w:r>
                    <w:rPr>
                      <w:rFonts w:hint="eastAsia"/>
                      <w:color w:val="auto"/>
                      <w:lang w:val="en-US" w:eastAsia="zh-CN"/>
                    </w:rPr>
                    <w:t>1.0</w:t>
                  </w:r>
                </w:p>
              </w:tc>
            </w:tr>
            <w:tr w14:paraId="3562E0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noWrap w:val="0"/>
                  <w:vAlign w:val="center"/>
                </w:tcPr>
                <w:p w14:paraId="0BB7A414">
                  <w:pPr>
                    <w:pStyle w:val="86"/>
                    <w:rPr>
                      <w:rFonts w:hint="default"/>
                      <w:color w:val="auto"/>
                      <w:lang w:val="en-US" w:eastAsia="zh-CN"/>
                    </w:rPr>
                  </w:pPr>
                </w:p>
              </w:tc>
              <w:tc>
                <w:tcPr>
                  <w:tcW w:w="263" w:type="pct"/>
                  <w:vMerge w:val="continue"/>
                  <w:noWrap w:val="0"/>
                  <w:vAlign w:val="center"/>
                </w:tcPr>
                <w:p w14:paraId="3B69895E">
                  <w:pPr>
                    <w:pStyle w:val="86"/>
                    <w:rPr>
                      <w:rFonts w:hint="default"/>
                      <w:color w:val="auto"/>
                      <w:lang w:val="en-US" w:eastAsia="zh-CN"/>
                    </w:rPr>
                  </w:pPr>
                </w:p>
              </w:tc>
              <w:tc>
                <w:tcPr>
                  <w:tcW w:w="840" w:type="pct"/>
                  <w:noWrap w:val="0"/>
                  <w:vAlign w:val="center"/>
                </w:tcPr>
                <w:p w14:paraId="2454BDCC">
                  <w:pPr>
                    <w:pStyle w:val="86"/>
                    <w:rPr>
                      <w:rFonts w:hint="default"/>
                      <w:color w:val="auto"/>
                      <w:lang w:val="en-US" w:eastAsia="zh-CN"/>
                    </w:rPr>
                  </w:pPr>
                  <w:r>
                    <w:rPr>
                      <w:rFonts w:hint="eastAsia"/>
                      <w:color w:val="auto"/>
                      <w:lang w:val="en-US" w:eastAsia="zh-CN"/>
                    </w:rPr>
                    <w:t>其他</w:t>
                  </w:r>
                </w:p>
              </w:tc>
              <w:tc>
                <w:tcPr>
                  <w:tcW w:w="684" w:type="pct"/>
                  <w:noWrap w:val="0"/>
                  <w:vAlign w:val="center"/>
                </w:tcPr>
                <w:p w14:paraId="4CDD3F2B">
                  <w:pPr>
                    <w:pStyle w:val="86"/>
                    <w:rPr>
                      <w:rFonts w:hint="default"/>
                      <w:color w:val="auto"/>
                      <w:lang w:val="en-US" w:eastAsia="zh-CN"/>
                    </w:rPr>
                  </w:pPr>
                  <w:r>
                    <w:rPr>
                      <w:rFonts w:hint="eastAsia"/>
                      <w:color w:val="auto"/>
                      <w:lang w:val="en-US" w:eastAsia="zh-CN"/>
                    </w:rPr>
                    <w:t>1.3</w:t>
                  </w:r>
                </w:p>
              </w:tc>
              <w:tc>
                <w:tcPr>
                  <w:tcW w:w="1008" w:type="pct"/>
                  <w:noWrap w:val="0"/>
                  <w:vAlign w:val="center"/>
                </w:tcPr>
                <w:p w14:paraId="45F4FEB9">
                  <w:pPr>
                    <w:pStyle w:val="86"/>
                    <w:rPr>
                      <w:rFonts w:hint="default"/>
                      <w:color w:val="auto"/>
                      <w:lang w:val="en-US" w:eastAsia="zh-CN"/>
                    </w:rPr>
                  </w:pPr>
                  <w:r>
                    <w:rPr>
                      <w:rFonts w:hint="eastAsia"/>
                      <w:color w:val="auto"/>
                      <w:lang w:val="en-US" w:eastAsia="zh-CN"/>
                    </w:rPr>
                    <w:t>1.8</w:t>
                  </w:r>
                </w:p>
              </w:tc>
              <w:tc>
                <w:tcPr>
                  <w:tcW w:w="1102" w:type="pct"/>
                  <w:noWrap w:val="0"/>
                  <w:vAlign w:val="center"/>
                </w:tcPr>
                <w:p w14:paraId="39884BBE">
                  <w:pPr>
                    <w:pStyle w:val="86"/>
                    <w:rPr>
                      <w:rFonts w:hint="default"/>
                      <w:color w:val="auto"/>
                      <w:lang w:val="en-US" w:eastAsia="zh-CN"/>
                    </w:rPr>
                  </w:pPr>
                  <w:r>
                    <w:rPr>
                      <w:rFonts w:hint="eastAsia"/>
                      <w:color w:val="auto"/>
                      <w:lang w:val="en-US" w:eastAsia="zh-CN"/>
                    </w:rPr>
                    <w:t>2.4</w:t>
                  </w:r>
                </w:p>
              </w:tc>
              <w:tc>
                <w:tcPr>
                  <w:tcW w:w="660" w:type="pct"/>
                  <w:noWrap w:val="0"/>
                  <w:vAlign w:val="center"/>
                </w:tcPr>
                <w:p w14:paraId="37A6F29E">
                  <w:pPr>
                    <w:pStyle w:val="86"/>
                    <w:rPr>
                      <w:rFonts w:hint="default"/>
                      <w:color w:val="auto"/>
                      <w:lang w:val="en-US" w:eastAsia="zh-CN"/>
                    </w:rPr>
                  </w:pPr>
                  <w:r>
                    <w:rPr>
                      <w:rFonts w:hint="eastAsia"/>
                      <w:color w:val="auto"/>
                      <w:lang w:val="en-US" w:eastAsia="zh-CN"/>
                    </w:rPr>
                    <w:t>3.4</w:t>
                  </w:r>
                </w:p>
              </w:tc>
            </w:tr>
            <w:tr w14:paraId="43E5A7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restart"/>
                  <w:noWrap w:val="0"/>
                  <w:vAlign w:val="center"/>
                </w:tcPr>
                <w:p w14:paraId="0F953DD5">
                  <w:pPr>
                    <w:pStyle w:val="86"/>
                    <w:rPr>
                      <w:rFonts w:hint="default"/>
                      <w:color w:val="auto"/>
                      <w:lang w:val="en-US" w:eastAsia="zh-CN"/>
                    </w:rPr>
                  </w:pPr>
                  <w:r>
                    <w:rPr>
                      <w:rFonts w:hint="eastAsia"/>
                      <w:color w:val="auto"/>
                      <w:lang w:val="en-US" w:eastAsia="zh-CN"/>
                    </w:rPr>
                    <w:t>3</w:t>
                  </w:r>
                </w:p>
              </w:tc>
              <w:tc>
                <w:tcPr>
                  <w:tcW w:w="263" w:type="pct"/>
                  <w:vMerge w:val="restart"/>
                  <w:noWrap w:val="0"/>
                  <w:vAlign w:val="center"/>
                </w:tcPr>
                <w:p w14:paraId="0E47044F">
                  <w:pPr>
                    <w:pStyle w:val="86"/>
                    <w:rPr>
                      <w:rFonts w:hint="default"/>
                      <w:color w:val="auto"/>
                      <w:lang w:val="en-US" w:eastAsia="zh-CN"/>
                    </w:rPr>
                  </w:pPr>
                  <w:r>
                    <w:rPr>
                      <w:rFonts w:hint="eastAsia"/>
                      <w:color w:val="auto"/>
                      <w:lang w:val="en-US" w:eastAsia="zh-CN"/>
                    </w:rPr>
                    <w:t>砷</w:t>
                  </w:r>
                </w:p>
              </w:tc>
              <w:tc>
                <w:tcPr>
                  <w:tcW w:w="840" w:type="pct"/>
                  <w:noWrap w:val="0"/>
                  <w:vAlign w:val="center"/>
                </w:tcPr>
                <w:p w14:paraId="75A4F442">
                  <w:pPr>
                    <w:pStyle w:val="86"/>
                    <w:rPr>
                      <w:rFonts w:hint="default"/>
                      <w:color w:val="auto"/>
                      <w:lang w:val="en-US" w:eastAsia="zh-CN"/>
                    </w:rPr>
                  </w:pPr>
                  <w:r>
                    <w:rPr>
                      <w:rFonts w:hint="eastAsia"/>
                      <w:color w:val="auto"/>
                      <w:lang w:val="en-US" w:eastAsia="zh-CN"/>
                    </w:rPr>
                    <w:t>水田</w:t>
                  </w:r>
                </w:p>
              </w:tc>
              <w:tc>
                <w:tcPr>
                  <w:tcW w:w="684" w:type="pct"/>
                  <w:noWrap w:val="0"/>
                  <w:vAlign w:val="center"/>
                </w:tcPr>
                <w:p w14:paraId="0CC849AC">
                  <w:pPr>
                    <w:pStyle w:val="86"/>
                    <w:rPr>
                      <w:rFonts w:hint="default"/>
                      <w:color w:val="auto"/>
                      <w:lang w:val="en-US" w:eastAsia="zh-CN"/>
                    </w:rPr>
                  </w:pPr>
                  <w:r>
                    <w:rPr>
                      <w:rFonts w:hint="eastAsia"/>
                      <w:color w:val="auto"/>
                      <w:lang w:val="en-US" w:eastAsia="zh-CN"/>
                    </w:rPr>
                    <w:t>30</w:t>
                  </w:r>
                </w:p>
              </w:tc>
              <w:tc>
                <w:tcPr>
                  <w:tcW w:w="1008" w:type="pct"/>
                  <w:noWrap w:val="0"/>
                  <w:vAlign w:val="center"/>
                </w:tcPr>
                <w:p w14:paraId="43E0AF51">
                  <w:pPr>
                    <w:pStyle w:val="86"/>
                    <w:rPr>
                      <w:rFonts w:hint="default"/>
                      <w:color w:val="auto"/>
                      <w:lang w:val="en-US" w:eastAsia="zh-CN"/>
                    </w:rPr>
                  </w:pPr>
                  <w:r>
                    <w:rPr>
                      <w:rFonts w:hint="eastAsia"/>
                      <w:color w:val="auto"/>
                      <w:lang w:val="en-US" w:eastAsia="zh-CN"/>
                    </w:rPr>
                    <w:t>30</w:t>
                  </w:r>
                </w:p>
              </w:tc>
              <w:tc>
                <w:tcPr>
                  <w:tcW w:w="1102" w:type="pct"/>
                  <w:noWrap w:val="0"/>
                  <w:vAlign w:val="center"/>
                </w:tcPr>
                <w:p w14:paraId="2417566D">
                  <w:pPr>
                    <w:pStyle w:val="86"/>
                    <w:rPr>
                      <w:rFonts w:hint="default"/>
                      <w:color w:val="auto"/>
                      <w:lang w:val="en-US" w:eastAsia="zh-CN"/>
                    </w:rPr>
                  </w:pPr>
                  <w:r>
                    <w:rPr>
                      <w:rFonts w:hint="eastAsia"/>
                      <w:color w:val="auto"/>
                      <w:lang w:val="en-US" w:eastAsia="zh-CN"/>
                    </w:rPr>
                    <w:t>25</w:t>
                  </w:r>
                </w:p>
              </w:tc>
              <w:tc>
                <w:tcPr>
                  <w:tcW w:w="660" w:type="pct"/>
                  <w:noWrap w:val="0"/>
                  <w:vAlign w:val="center"/>
                </w:tcPr>
                <w:p w14:paraId="221D915E">
                  <w:pPr>
                    <w:pStyle w:val="86"/>
                    <w:rPr>
                      <w:rFonts w:hint="default"/>
                      <w:color w:val="auto"/>
                      <w:lang w:val="en-US" w:eastAsia="zh-CN"/>
                    </w:rPr>
                  </w:pPr>
                  <w:r>
                    <w:rPr>
                      <w:rFonts w:hint="eastAsia"/>
                      <w:color w:val="auto"/>
                      <w:lang w:val="en-US" w:eastAsia="zh-CN"/>
                    </w:rPr>
                    <w:t>20</w:t>
                  </w:r>
                </w:p>
              </w:tc>
            </w:tr>
            <w:tr w14:paraId="109AE9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noWrap w:val="0"/>
                  <w:vAlign w:val="center"/>
                </w:tcPr>
                <w:p w14:paraId="11AFEB07">
                  <w:pPr>
                    <w:pStyle w:val="86"/>
                    <w:rPr>
                      <w:rFonts w:hint="default"/>
                      <w:color w:val="auto"/>
                      <w:lang w:val="en-US" w:eastAsia="zh-CN"/>
                    </w:rPr>
                  </w:pPr>
                </w:p>
              </w:tc>
              <w:tc>
                <w:tcPr>
                  <w:tcW w:w="263" w:type="pct"/>
                  <w:vMerge w:val="continue"/>
                  <w:noWrap w:val="0"/>
                  <w:vAlign w:val="center"/>
                </w:tcPr>
                <w:p w14:paraId="062E7B53">
                  <w:pPr>
                    <w:pStyle w:val="86"/>
                    <w:rPr>
                      <w:rFonts w:hint="default"/>
                      <w:color w:val="auto"/>
                      <w:lang w:val="en-US" w:eastAsia="zh-CN"/>
                    </w:rPr>
                  </w:pPr>
                </w:p>
              </w:tc>
              <w:tc>
                <w:tcPr>
                  <w:tcW w:w="840" w:type="pct"/>
                  <w:noWrap w:val="0"/>
                  <w:vAlign w:val="center"/>
                </w:tcPr>
                <w:p w14:paraId="0A5C43DD">
                  <w:pPr>
                    <w:pStyle w:val="86"/>
                    <w:rPr>
                      <w:rFonts w:hint="default"/>
                      <w:color w:val="auto"/>
                      <w:lang w:val="en-US" w:eastAsia="zh-CN"/>
                    </w:rPr>
                  </w:pPr>
                  <w:r>
                    <w:rPr>
                      <w:rFonts w:hint="eastAsia"/>
                      <w:color w:val="auto"/>
                      <w:lang w:val="en-US" w:eastAsia="zh-CN"/>
                    </w:rPr>
                    <w:t>其他</w:t>
                  </w:r>
                </w:p>
              </w:tc>
              <w:tc>
                <w:tcPr>
                  <w:tcW w:w="684" w:type="pct"/>
                  <w:noWrap w:val="0"/>
                  <w:vAlign w:val="center"/>
                </w:tcPr>
                <w:p w14:paraId="146C4889">
                  <w:pPr>
                    <w:pStyle w:val="86"/>
                    <w:rPr>
                      <w:rFonts w:hint="default"/>
                      <w:color w:val="auto"/>
                      <w:lang w:val="en-US" w:eastAsia="zh-CN"/>
                    </w:rPr>
                  </w:pPr>
                  <w:r>
                    <w:rPr>
                      <w:rFonts w:hint="eastAsia"/>
                      <w:color w:val="auto"/>
                      <w:lang w:val="en-US" w:eastAsia="zh-CN"/>
                    </w:rPr>
                    <w:t>40</w:t>
                  </w:r>
                </w:p>
              </w:tc>
              <w:tc>
                <w:tcPr>
                  <w:tcW w:w="1008" w:type="pct"/>
                  <w:noWrap w:val="0"/>
                  <w:vAlign w:val="center"/>
                </w:tcPr>
                <w:p w14:paraId="30994E19">
                  <w:pPr>
                    <w:pStyle w:val="86"/>
                    <w:rPr>
                      <w:rFonts w:hint="default"/>
                      <w:color w:val="auto"/>
                      <w:lang w:val="en-US" w:eastAsia="zh-CN"/>
                    </w:rPr>
                  </w:pPr>
                  <w:r>
                    <w:rPr>
                      <w:rFonts w:hint="eastAsia"/>
                      <w:color w:val="auto"/>
                      <w:lang w:val="en-US" w:eastAsia="zh-CN"/>
                    </w:rPr>
                    <w:t>40</w:t>
                  </w:r>
                </w:p>
              </w:tc>
              <w:tc>
                <w:tcPr>
                  <w:tcW w:w="1102" w:type="pct"/>
                  <w:noWrap w:val="0"/>
                  <w:vAlign w:val="center"/>
                </w:tcPr>
                <w:p w14:paraId="7BE3219B">
                  <w:pPr>
                    <w:pStyle w:val="86"/>
                    <w:rPr>
                      <w:rFonts w:hint="default"/>
                      <w:color w:val="auto"/>
                      <w:lang w:val="en-US" w:eastAsia="zh-CN"/>
                    </w:rPr>
                  </w:pPr>
                  <w:r>
                    <w:rPr>
                      <w:rFonts w:hint="eastAsia"/>
                      <w:color w:val="auto"/>
                      <w:lang w:val="en-US" w:eastAsia="zh-CN"/>
                    </w:rPr>
                    <w:t>30</w:t>
                  </w:r>
                </w:p>
              </w:tc>
              <w:tc>
                <w:tcPr>
                  <w:tcW w:w="660" w:type="pct"/>
                  <w:noWrap w:val="0"/>
                  <w:vAlign w:val="center"/>
                </w:tcPr>
                <w:p w14:paraId="2ACD6981">
                  <w:pPr>
                    <w:pStyle w:val="86"/>
                    <w:rPr>
                      <w:rFonts w:hint="default"/>
                      <w:color w:val="auto"/>
                      <w:lang w:val="en-US" w:eastAsia="zh-CN"/>
                    </w:rPr>
                  </w:pPr>
                  <w:r>
                    <w:rPr>
                      <w:rFonts w:hint="eastAsia"/>
                      <w:color w:val="auto"/>
                      <w:lang w:val="en-US" w:eastAsia="zh-CN"/>
                    </w:rPr>
                    <w:t>25</w:t>
                  </w:r>
                </w:p>
              </w:tc>
            </w:tr>
            <w:tr w14:paraId="25F6CD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restart"/>
                  <w:noWrap w:val="0"/>
                  <w:vAlign w:val="center"/>
                </w:tcPr>
                <w:p w14:paraId="3B2A1661">
                  <w:pPr>
                    <w:pStyle w:val="86"/>
                    <w:rPr>
                      <w:rFonts w:hint="default"/>
                      <w:color w:val="auto"/>
                      <w:lang w:val="en-US" w:eastAsia="zh-CN"/>
                    </w:rPr>
                  </w:pPr>
                  <w:r>
                    <w:rPr>
                      <w:rFonts w:hint="eastAsia"/>
                      <w:color w:val="auto"/>
                      <w:lang w:val="en-US" w:eastAsia="zh-CN"/>
                    </w:rPr>
                    <w:t>4</w:t>
                  </w:r>
                </w:p>
              </w:tc>
              <w:tc>
                <w:tcPr>
                  <w:tcW w:w="263" w:type="pct"/>
                  <w:vMerge w:val="restart"/>
                  <w:noWrap w:val="0"/>
                  <w:vAlign w:val="center"/>
                </w:tcPr>
                <w:p w14:paraId="7ECAB2CD">
                  <w:pPr>
                    <w:pStyle w:val="86"/>
                    <w:rPr>
                      <w:rFonts w:hint="default"/>
                      <w:color w:val="auto"/>
                      <w:lang w:val="en-US" w:eastAsia="zh-CN"/>
                    </w:rPr>
                  </w:pPr>
                  <w:r>
                    <w:rPr>
                      <w:rFonts w:hint="eastAsia"/>
                      <w:color w:val="auto"/>
                      <w:lang w:val="en-US" w:eastAsia="zh-CN"/>
                    </w:rPr>
                    <w:t>铅</w:t>
                  </w:r>
                </w:p>
              </w:tc>
              <w:tc>
                <w:tcPr>
                  <w:tcW w:w="840" w:type="pct"/>
                  <w:noWrap w:val="0"/>
                  <w:vAlign w:val="center"/>
                </w:tcPr>
                <w:p w14:paraId="28FF7299">
                  <w:pPr>
                    <w:pStyle w:val="86"/>
                    <w:rPr>
                      <w:rFonts w:hint="default"/>
                      <w:color w:val="auto"/>
                      <w:lang w:val="en-US" w:eastAsia="zh-CN"/>
                    </w:rPr>
                  </w:pPr>
                  <w:r>
                    <w:rPr>
                      <w:rFonts w:hint="eastAsia"/>
                      <w:color w:val="auto"/>
                      <w:lang w:val="en-US" w:eastAsia="zh-CN"/>
                    </w:rPr>
                    <w:t>水田</w:t>
                  </w:r>
                </w:p>
              </w:tc>
              <w:tc>
                <w:tcPr>
                  <w:tcW w:w="684" w:type="pct"/>
                  <w:noWrap w:val="0"/>
                  <w:vAlign w:val="center"/>
                </w:tcPr>
                <w:p w14:paraId="50B21EC5">
                  <w:pPr>
                    <w:pStyle w:val="86"/>
                    <w:rPr>
                      <w:rFonts w:hint="default"/>
                      <w:color w:val="auto"/>
                      <w:lang w:val="en-US" w:eastAsia="zh-CN"/>
                    </w:rPr>
                  </w:pPr>
                  <w:r>
                    <w:rPr>
                      <w:rFonts w:hint="eastAsia"/>
                      <w:color w:val="auto"/>
                      <w:lang w:val="en-US" w:eastAsia="zh-CN"/>
                    </w:rPr>
                    <w:t>80</w:t>
                  </w:r>
                </w:p>
              </w:tc>
              <w:tc>
                <w:tcPr>
                  <w:tcW w:w="1008" w:type="pct"/>
                  <w:noWrap w:val="0"/>
                  <w:vAlign w:val="center"/>
                </w:tcPr>
                <w:p w14:paraId="243835C2">
                  <w:pPr>
                    <w:pStyle w:val="86"/>
                    <w:rPr>
                      <w:rFonts w:hint="default"/>
                      <w:color w:val="auto"/>
                      <w:lang w:val="en-US" w:eastAsia="zh-CN"/>
                    </w:rPr>
                  </w:pPr>
                  <w:r>
                    <w:rPr>
                      <w:rFonts w:hint="eastAsia"/>
                      <w:color w:val="auto"/>
                      <w:lang w:val="en-US" w:eastAsia="zh-CN"/>
                    </w:rPr>
                    <w:t>100</w:t>
                  </w:r>
                </w:p>
              </w:tc>
              <w:tc>
                <w:tcPr>
                  <w:tcW w:w="1102" w:type="pct"/>
                  <w:noWrap w:val="0"/>
                  <w:vAlign w:val="center"/>
                </w:tcPr>
                <w:p w14:paraId="42E832D8">
                  <w:pPr>
                    <w:pStyle w:val="86"/>
                    <w:rPr>
                      <w:rFonts w:hint="default"/>
                      <w:color w:val="auto"/>
                      <w:lang w:val="en-US" w:eastAsia="zh-CN"/>
                    </w:rPr>
                  </w:pPr>
                  <w:r>
                    <w:rPr>
                      <w:rFonts w:hint="eastAsia"/>
                      <w:color w:val="auto"/>
                      <w:lang w:val="en-US" w:eastAsia="zh-CN"/>
                    </w:rPr>
                    <w:t>140</w:t>
                  </w:r>
                </w:p>
              </w:tc>
              <w:tc>
                <w:tcPr>
                  <w:tcW w:w="660" w:type="pct"/>
                  <w:noWrap w:val="0"/>
                  <w:vAlign w:val="center"/>
                </w:tcPr>
                <w:p w14:paraId="6BDCF85D">
                  <w:pPr>
                    <w:pStyle w:val="86"/>
                    <w:rPr>
                      <w:rFonts w:hint="default"/>
                      <w:color w:val="auto"/>
                      <w:lang w:val="en-US" w:eastAsia="zh-CN"/>
                    </w:rPr>
                  </w:pPr>
                  <w:r>
                    <w:rPr>
                      <w:rFonts w:hint="eastAsia"/>
                      <w:color w:val="auto"/>
                      <w:lang w:val="en-US" w:eastAsia="zh-CN"/>
                    </w:rPr>
                    <w:t>240</w:t>
                  </w:r>
                </w:p>
              </w:tc>
            </w:tr>
            <w:tr w14:paraId="05A4AF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noWrap w:val="0"/>
                  <w:vAlign w:val="center"/>
                </w:tcPr>
                <w:p w14:paraId="3B19DED2">
                  <w:pPr>
                    <w:pStyle w:val="86"/>
                    <w:rPr>
                      <w:rFonts w:hint="default"/>
                      <w:color w:val="auto"/>
                      <w:lang w:val="en-US" w:eastAsia="zh-CN"/>
                    </w:rPr>
                  </w:pPr>
                </w:p>
              </w:tc>
              <w:tc>
                <w:tcPr>
                  <w:tcW w:w="263" w:type="pct"/>
                  <w:vMerge w:val="continue"/>
                  <w:noWrap w:val="0"/>
                  <w:vAlign w:val="center"/>
                </w:tcPr>
                <w:p w14:paraId="24453F0A">
                  <w:pPr>
                    <w:pStyle w:val="86"/>
                    <w:rPr>
                      <w:rFonts w:hint="default"/>
                      <w:color w:val="auto"/>
                      <w:lang w:val="en-US" w:eastAsia="zh-CN"/>
                    </w:rPr>
                  </w:pPr>
                </w:p>
              </w:tc>
              <w:tc>
                <w:tcPr>
                  <w:tcW w:w="840" w:type="pct"/>
                  <w:noWrap w:val="0"/>
                  <w:vAlign w:val="center"/>
                </w:tcPr>
                <w:p w14:paraId="1458C66F">
                  <w:pPr>
                    <w:pStyle w:val="86"/>
                    <w:rPr>
                      <w:rFonts w:hint="default"/>
                      <w:color w:val="auto"/>
                      <w:lang w:val="en-US" w:eastAsia="zh-CN"/>
                    </w:rPr>
                  </w:pPr>
                  <w:r>
                    <w:rPr>
                      <w:rFonts w:hint="eastAsia"/>
                      <w:color w:val="auto"/>
                      <w:lang w:val="en-US" w:eastAsia="zh-CN"/>
                    </w:rPr>
                    <w:t>其他</w:t>
                  </w:r>
                </w:p>
              </w:tc>
              <w:tc>
                <w:tcPr>
                  <w:tcW w:w="684" w:type="pct"/>
                  <w:noWrap w:val="0"/>
                  <w:vAlign w:val="center"/>
                </w:tcPr>
                <w:p w14:paraId="55E53AA2">
                  <w:pPr>
                    <w:pStyle w:val="86"/>
                    <w:rPr>
                      <w:rFonts w:hint="default"/>
                      <w:color w:val="auto"/>
                      <w:lang w:val="en-US" w:eastAsia="zh-CN"/>
                    </w:rPr>
                  </w:pPr>
                  <w:r>
                    <w:rPr>
                      <w:rFonts w:hint="eastAsia"/>
                      <w:color w:val="auto"/>
                      <w:lang w:val="en-US" w:eastAsia="zh-CN"/>
                    </w:rPr>
                    <w:t>70</w:t>
                  </w:r>
                </w:p>
              </w:tc>
              <w:tc>
                <w:tcPr>
                  <w:tcW w:w="1008" w:type="pct"/>
                  <w:noWrap w:val="0"/>
                  <w:vAlign w:val="center"/>
                </w:tcPr>
                <w:p w14:paraId="6E58A632">
                  <w:pPr>
                    <w:pStyle w:val="86"/>
                    <w:rPr>
                      <w:rFonts w:hint="default"/>
                      <w:color w:val="auto"/>
                      <w:lang w:val="en-US" w:eastAsia="zh-CN"/>
                    </w:rPr>
                  </w:pPr>
                  <w:r>
                    <w:rPr>
                      <w:rFonts w:hint="eastAsia"/>
                      <w:color w:val="auto"/>
                      <w:lang w:val="en-US" w:eastAsia="zh-CN"/>
                    </w:rPr>
                    <w:t>90</w:t>
                  </w:r>
                </w:p>
              </w:tc>
              <w:tc>
                <w:tcPr>
                  <w:tcW w:w="1102" w:type="pct"/>
                  <w:noWrap w:val="0"/>
                  <w:vAlign w:val="center"/>
                </w:tcPr>
                <w:p w14:paraId="79D7E9A3">
                  <w:pPr>
                    <w:pStyle w:val="86"/>
                    <w:rPr>
                      <w:rFonts w:hint="default"/>
                      <w:color w:val="auto"/>
                      <w:lang w:val="en-US" w:eastAsia="zh-CN"/>
                    </w:rPr>
                  </w:pPr>
                  <w:r>
                    <w:rPr>
                      <w:rFonts w:hint="eastAsia"/>
                      <w:color w:val="auto"/>
                      <w:lang w:val="en-US" w:eastAsia="zh-CN"/>
                    </w:rPr>
                    <w:t>120</w:t>
                  </w:r>
                </w:p>
              </w:tc>
              <w:tc>
                <w:tcPr>
                  <w:tcW w:w="660" w:type="pct"/>
                  <w:noWrap w:val="0"/>
                  <w:vAlign w:val="center"/>
                </w:tcPr>
                <w:p w14:paraId="368EFC00">
                  <w:pPr>
                    <w:pStyle w:val="86"/>
                    <w:rPr>
                      <w:rFonts w:hint="default"/>
                      <w:color w:val="auto"/>
                      <w:lang w:val="en-US" w:eastAsia="zh-CN"/>
                    </w:rPr>
                  </w:pPr>
                  <w:r>
                    <w:rPr>
                      <w:rFonts w:hint="eastAsia"/>
                      <w:color w:val="auto"/>
                      <w:lang w:val="en-US" w:eastAsia="zh-CN"/>
                    </w:rPr>
                    <w:t>170</w:t>
                  </w:r>
                </w:p>
              </w:tc>
            </w:tr>
            <w:tr w14:paraId="297D41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restart"/>
                  <w:noWrap w:val="0"/>
                  <w:vAlign w:val="center"/>
                </w:tcPr>
                <w:p w14:paraId="6CBFD18C">
                  <w:pPr>
                    <w:pStyle w:val="86"/>
                    <w:rPr>
                      <w:rFonts w:hint="default"/>
                      <w:color w:val="auto"/>
                      <w:lang w:val="en-US" w:eastAsia="zh-CN"/>
                    </w:rPr>
                  </w:pPr>
                  <w:r>
                    <w:rPr>
                      <w:rFonts w:hint="eastAsia"/>
                      <w:color w:val="auto"/>
                      <w:lang w:val="en-US" w:eastAsia="zh-CN"/>
                    </w:rPr>
                    <w:t>5</w:t>
                  </w:r>
                </w:p>
              </w:tc>
              <w:tc>
                <w:tcPr>
                  <w:tcW w:w="263" w:type="pct"/>
                  <w:vMerge w:val="restart"/>
                  <w:noWrap w:val="0"/>
                  <w:vAlign w:val="center"/>
                </w:tcPr>
                <w:p w14:paraId="73F47D83">
                  <w:pPr>
                    <w:pStyle w:val="86"/>
                    <w:rPr>
                      <w:rFonts w:hint="default"/>
                      <w:color w:val="auto"/>
                      <w:lang w:val="en-US" w:eastAsia="zh-CN"/>
                    </w:rPr>
                  </w:pPr>
                  <w:r>
                    <w:rPr>
                      <w:rFonts w:hint="eastAsia"/>
                      <w:color w:val="auto"/>
                      <w:lang w:val="en-US" w:eastAsia="zh-CN"/>
                    </w:rPr>
                    <w:t>铬</w:t>
                  </w:r>
                </w:p>
              </w:tc>
              <w:tc>
                <w:tcPr>
                  <w:tcW w:w="840" w:type="pct"/>
                  <w:noWrap w:val="0"/>
                  <w:vAlign w:val="center"/>
                </w:tcPr>
                <w:p w14:paraId="6B0C52C6">
                  <w:pPr>
                    <w:pStyle w:val="86"/>
                    <w:rPr>
                      <w:rFonts w:hint="default"/>
                      <w:color w:val="auto"/>
                      <w:lang w:val="en-US" w:eastAsia="zh-CN"/>
                    </w:rPr>
                  </w:pPr>
                  <w:r>
                    <w:rPr>
                      <w:rFonts w:hint="eastAsia"/>
                      <w:color w:val="auto"/>
                      <w:lang w:val="en-US" w:eastAsia="zh-CN"/>
                    </w:rPr>
                    <w:t>水田</w:t>
                  </w:r>
                </w:p>
              </w:tc>
              <w:tc>
                <w:tcPr>
                  <w:tcW w:w="684" w:type="pct"/>
                  <w:noWrap w:val="0"/>
                  <w:vAlign w:val="center"/>
                </w:tcPr>
                <w:p w14:paraId="5174E3A9">
                  <w:pPr>
                    <w:pStyle w:val="86"/>
                    <w:rPr>
                      <w:rFonts w:hint="default"/>
                      <w:color w:val="auto"/>
                      <w:lang w:val="en-US" w:eastAsia="zh-CN"/>
                    </w:rPr>
                  </w:pPr>
                  <w:r>
                    <w:rPr>
                      <w:rFonts w:hint="eastAsia"/>
                      <w:color w:val="auto"/>
                      <w:lang w:val="en-US" w:eastAsia="zh-CN"/>
                    </w:rPr>
                    <w:t>250</w:t>
                  </w:r>
                </w:p>
              </w:tc>
              <w:tc>
                <w:tcPr>
                  <w:tcW w:w="1008" w:type="pct"/>
                  <w:noWrap w:val="0"/>
                  <w:vAlign w:val="center"/>
                </w:tcPr>
                <w:p w14:paraId="15A8B9F0">
                  <w:pPr>
                    <w:pStyle w:val="86"/>
                    <w:rPr>
                      <w:rFonts w:hint="default"/>
                      <w:color w:val="auto"/>
                      <w:lang w:val="en-US" w:eastAsia="zh-CN"/>
                    </w:rPr>
                  </w:pPr>
                  <w:r>
                    <w:rPr>
                      <w:rFonts w:hint="eastAsia"/>
                      <w:color w:val="auto"/>
                      <w:lang w:val="en-US" w:eastAsia="zh-CN"/>
                    </w:rPr>
                    <w:t>250</w:t>
                  </w:r>
                </w:p>
              </w:tc>
              <w:tc>
                <w:tcPr>
                  <w:tcW w:w="1102" w:type="pct"/>
                  <w:noWrap w:val="0"/>
                  <w:vAlign w:val="center"/>
                </w:tcPr>
                <w:p w14:paraId="509E9799">
                  <w:pPr>
                    <w:pStyle w:val="86"/>
                    <w:rPr>
                      <w:rFonts w:hint="default"/>
                      <w:color w:val="auto"/>
                      <w:lang w:val="en-US" w:eastAsia="zh-CN"/>
                    </w:rPr>
                  </w:pPr>
                  <w:r>
                    <w:rPr>
                      <w:rFonts w:hint="eastAsia"/>
                      <w:color w:val="auto"/>
                      <w:lang w:val="en-US" w:eastAsia="zh-CN"/>
                    </w:rPr>
                    <w:t>300</w:t>
                  </w:r>
                </w:p>
              </w:tc>
              <w:tc>
                <w:tcPr>
                  <w:tcW w:w="660" w:type="pct"/>
                  <w:noWrap w:val="0"/>
                  <w:vAlign w:val="center"/>
                </w:tcPr>
                <w:p w14:paraId="14E88138">
                  <w:pPr>
                    <w:pStyle w:val="86"/>
                    <w:rPr>
                      <w:rFonts w:hint="default"/>
                      <w:color w:val="auto"/>
                      <w:lang w:val="en-US" w:eastAsia="zh-CN"/>
                    </w:rPr>
                  </w:pPr>
                  <w:r>
                    <w:rPr>
                      <w:rFonts w:hint="eastAsia"/>
                      <w:color w:val="auto"/>
                      <w:lang w:val="en-US" w:eastAsia="zh-CN"/>
                    </w:rPr>
                    <w:t>350</w:t>
                  </w:r>
                </w:p>
              </w:tc>
            </w:tr>
            <w:tr w14:paraId="689EAA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noWrap w:val="0"/>
                  <w:vAlign w:val="center"/>
                </w:tcPr>
                <w:p w14:paraId="6607913A">
                  <w:pPr>
                    <w:pStyle w:val="86"/>
                    <w:rPr>
                      <w:rFonts w:hint="eastAsia"/>
                      <w:color w:val="auto"/>
                      <w:lang w:val="en-US" w:eastAsia="zh-CN"/>
                    </w:rPr>
                  </w:pPr>
                </w:p>
              </w:tc>
              <w:tc>
                <w:tcPr>
                  <w:tcW w:w="263" w:type="pct"/>
                  <w:vMerge w:val="continue"/>
                  <w:noWrap w:val="0"/>
                  <w:vAlign w:val="center"/>
                </w:tcPr>
                <w:p w14:paraId="519B87B6">
                  <w:pPr>
                    <w:pStyle w:val="86"/>
                    <w:rPr>
                      <w:rFonts w:hint="default"/>
                      <w:color w:val="auto"/>
                      <w:lang w:val="en-US" w:eastAsia="zh-CN"/>
                    </w:rPr>
                  </w:pPr>
                </w:p>
              </w:tc>
              <w:tc>
                <w:tcPr>
                  <w:tcW w:w="840" w:type="pct"/>
                  <w:noWrap w:val="0"/>
                  <w:vAlign w:val="center"/>
                </w:tcPr>
                <w:p w14:paraId="450316E9">
                  <w:pPr>
                    <w:pStyle w:val="86"/>
                    <w:rPr>
                      <w:rFonts w:hint="default"/>
                      <w:color w:val="auto"/>
                      <w:lang w:val="en-US" w:eastAsia="zh-CN"/>
                    </w:rPr>
                  </w:pPr>
                  <w:r>
                    <w:rPr>
                      <w:rFonts w:hint="eastAsia"/>
                      <w:color w:val="auto"/>
                      <w:lang w:val="en-US" w:eastAsia="zh-CN"/>
                    </w:rPr>
                    <w:t>其他</w:t>
                  </w:r>
                </w:p>
              </w:tc>
              <w:tc>
                <w:tcPr>
                  <w:tcW w:w="684" w:type="pct"/>
                  <w:noWrap w:val="0"/>
                  <w:vAlign w:val="center"/>
                </w:tcPr>
                <w:p w14:paraId="2C6142A4">
                  <w:pPr>
                    <w:pStyle w:val="86"/>
                    <w:rPr>
                      <w:rFonts w:hint="default"/>
                      <w:color w:val="auto"/>
                      <w:lang w:val="en-US" w:eastAsia="zh-CN"/>
                    </w:rPr>
                  </w:pPr>
                  <w:r>
                    <w:rPr>
                      <w:rFonts w:hint="eastAsia"/>
                      <w:color w:val="auto"/>
                      <w:lang w:val="en-US" w:eastAsia="zh-CN"/>
                    </w:rPr>
                    <w:t>150</w:t>
                  </w:r>
                </w:p>
              </w:tc>
              <w:tc>
                <w:tcPr>
                  <w:tcW w:w="1008" w:type="pct"/>
                  <w:noWrap w:val="0"/>
                  <w:vAlign w:val="center"/>
                </w:tcPr>
                <w:p w14:paraId="57E1D5CD">
                  <w:pPr>
                    <w:pStyle w:val="86"/>
                    <w:rPr>
                      <w:rFonts w:hint="default"/>
                      <w:color w:val="auto"/>
                      <w:lang w:val="en-US" w:eastAsia="zh-CN"/>
                    </w:rPr>
                  </w:pPr>
                  <w:r>
                    <w:rPr>
                      <w:rFonts w:hint="eastAsia"/>
                      <w:color w:val="auto"/>
                      <w:lang w:val="en-US" w:eastAsia="zh-CN"/>
                    </w:rPr>
                    <w:t>150</w:t>
                  </w:r>
                </w:p>
              </w:tc>
              <w:tc>
                <w:tcPr>
                  <w:tcW w:w="1102" w:type="pct"/>
                  <w:noWrap w:val="0"/>
                  <w:vAlign w:val="center"/>
                </w:tcPr>
                <w:p w14:paraId="36D66C2E">
                  <w:pPr>
                    <w:pStyle w:val="86"/>
                    <w:rPr>
                      <w:rFonts w:hint="default"/>
                      <w:color w:val="auto"/>
                      <w:lang w:val="en-US" w:eastAsia="zh-CN"/>
                    </w:rPr>
                  </w:pPr>
                  <w:r>
                    <w:rPr>
                      <w:rFonts w:hint="eastAsia"/>
                      <w:color w:val="auto"/>
                      <w:lang w:val="en-US" w:eastAsia="zh-CN"/>
                    </w:rPr>
                    <w:t>200</w:t>
                  </w:r>
                </w:p>
              </w:tc>
              <w:tc>
                <w:tcPr>
                  <w:tcW w:w="660" w:type="pct"/>
                  <w:noWrap w:val="0"/>
                  <w:vAlign w:val="center"/>
                </w:tcPr>
                <w:p w14:paraId="0ED05EFC">
                  <w:pPr>
                    <w:pStyle w:val="86"/>
                    <w:rPr>
                      <w:rFonts w:hint="default"/>
                      <w:color w:val="auto"/>
                      <w:lang w:val="en-US" w:eastAsia="zh-CN"/>
                    </w:rPr>
                  </w:pPr>
                  <w:r>
                    <w:rPr>
                      <w:rFonts w:hint="eastAsia"/>
                      <w:color w:val="auto"/>
                      <w:lang w:val="en-US" w:eastAsia="zh-CN"/>
                    </w:rPr>
                    <w:t>250</w:t>
                  </w:r>
                </w:p>
              </w:tc>
            </w:tr>
            <w:tr w14:paraId="7FC2A9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restart"/>
                  <w:noWrap w:val="0"/>
                  <w:vAlign w:val="center"/>
                </w:tcPr>
                <w:p w14:paraId="2D357A46">
                  <w:pPr>
                    <w:pStyle w:val="86"/>
                    <w:rPr>
                      <w:rFonts w:hint="default"/>
                      <w:color w:val="auto"/>
                      <w:lang w:val="en-US" w:eastAsia="zh-CN"/>
                    </w:rPr>
                  </w:pPr>
                  <w:r>
                    <w:rPr>
                      <w:rFonts w:hint="eastAsia"/>
                      <w:color w:val="auto"/>
                      <w:lang w:val="en-US" w:eastAsia="zh-CN"/>
                    </w:rPr>
                    <w:t>6</w:t>
                  </w:r>
                </w:p>
              </w:tc>
              <w:tc>
                <w:tcPr>
                  <w:tcW w:w="263" w:type="pct"/>
                  <w:vMerge w:val="restart"/>
                  <w:noWrap w:val="0"/>
                  <w:vAlign w:val="center"/>
                </w:tcPr>
                <w:p w14:paraId="1046900D">
                  <w:pPr>
                    <w:pStyle w:val="86"/>
                    <w:rPr>
                      <w:rFonts w:hint="default"/>
                      <w:color w:val="auto"/>
                      <w:lang w:val="en-US" w:eastAsia="zh-CN"/>
                    </w:rPr>
                  </w:pPr>
                  <w:r>
                    <w:rPr>
                      <w:rFonts w:hint="eastAsia"/>
                      <w:color w:val="auto"/>
                      <w:lang w:val="en-US" w:eastAsia="zh-CN"/>
                    </w:rPr>
                    <w:t>铜</w:t>
                  </w:r>
                </w:p>
              </w:tc>
              <w:tc>
                <w:tcPr>
                  <w:tcW w:w="840" w:type="pct"/>
                  <w:noWrap w:val="0"/>
                  <w:vAlign w:val="center"/>
                </w:tcPr>
                <w:p w14:paraId="1AF0D97C">
                  <w:pPr>
                    <w:pStyle w:val="86"/>
                    <w:rPr>
                      <w:rFonts w:hint="default"/>
                      <w:color w:val="auto"/>
                      <w:lang w:val="en-US" w:eastAsia="zh-CN"/>
                    </w:rPr>
                  </w:pPr>
                  <w:r>
                    <w:rPr>
                      <w:rFonts w:hint="eastAsia"/>
                      <w:color w:val="auto"/>
                      <w:lang w:val="en-US" w:eastAsia="zh-CN"/>
                    </w:rPr>
                    <w:t>水田</w:t>
                  </w:r>
                </w:p>
              </w:tc>
              <w:tc>
                <w:tcPr>
                  <w:tcW w:w="684" w:type="pct"/>
                  <w:noWrap w:val="0"/>
                  <w:vAlign w:val="center"/>
                </w:tcPr>
                <w:p w14:paraId="35E9A0E9">
                  <w:pPr>
                    <w:pStyle w:val="86"/>
                    <w:rPr>
                      <w:rFonts w:hint="default"/>
                      <w:color w:val="auto"/>
                      <w:lang w:val="en-US" w:eastAsia="zh-CN"/>
                    </w:rPr>
                  </w:pPr>
                  <w:r>
                    <w:rPr>
                      <w:rFonts w:hint="eastAsia"/>
                      <w:color w:val="auto"/>
                      <w:lang w:val="en-US" w:eastAsia="zh-CN"/>
                    </w:rPr>
                    <w:t>150</w:t>
                  </w:r>
                </w:p>
              </w:tc>
              <w:tc>
                <w:tcPr>
                  <w:tcW w:w="1008" w:type="pct"/>
                  <w:noWrap w:val="0"/>
                  <w:vAlign w:val="center"/>
                </w:tcPr>
                <w:p w14:paraId="0419AFF7">
                  <w:pPr>
                    <w:pStyle w:val="86"/>
                    <w:rPr>
                      <w:rFonts w:hint="default"/>
                      <w:color w:val="auto"/>
                      <w:lang w:val="en-US" w:eastAsia="zh-CN"/>
                    </w:rPr>
                  </w:pPr>
                  <w:r>
                    <w:rPr>
                      <w:rFonts w:hint="eastAsia"/>
                      <w:color w:val="auto"/>
                      <w:lang w:val="en-US" w:eastAsia="zh-CN"/>
                    </w:rPr>
                    <w:t>150</w:t>
                  </w:r>
                </w:p>
              </w:tc>
              <w:tc>
                <w:tcPr>
                  <w:tcW w:w="1102" w:type="pct"/>
                  <w:noWrap w:val="0"/>
                  <w:vAlign w:val="center"/>
                </w:tcPr>
                <w:p w14:paraId="06DCB371">
                  <w:pPr>
                    <w:pStyle w:val="86"/>
                    <w:rPr>
                      <w:rFonts w:hint="default"/>
                      <w:color w:val="auto"/>
                      <w:lang w:val="en-US" w:eastAsia="zh-CN"/>
                    </w:rPr>
                  </w:pPr>
                  <w:r>
                    <w:rPr>
                      <w:rFonts w:hint="eastAsia"/>
                      <w:color w:val="auto"/>
                      <w:lang w:val="en-US" w:eastAsia="zh-CN"/>
                    </w:rPr>
                    <w:t>200</w:t>
                  </w:r>
                </w:p>
              </w:tc>
              <w:tc>
                <w:tcPr>
                  <w:tcW w:w="660" w:type="pct"/>
                  <w:noWrap w:val="0"/>
                  <w:vAlign w:val="center"/>
                </w:tcPr>
                <w:p w14:paraId="1A1E9075">
                  <w:pPr>
                    <w:pStyle w:val="86"/>
                    <w:rPr>
                      <w:rFonts w:hint="default"/>
                      <w:color w:val="auto"/>
                      <w:lang w:val="en-US" w:eastAsia="zh-CN"/>
                    </w:rPr>
                  </w:pPr>
                  <w:r>
                    <w:rPr>
                      <w:rFonts w:hint="eastAsia"/>
                      <w:color w:val="auto"/>
                      <w:lang w:val="en-US" w:eastAsia="zh-CN"/>
                    </w:rPr>
                    <w:t>200</w:t>
                  </w:r>
                </w:p>
              </w:tc>
            </w:tr>
            <w:tr w14:paraId="5CD0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vMerge w:val="continue"/>
                  <w:noWrap w:val="0"/>
                  <w:vAlign w:val="center"/>
                </w:tcPr>
                <w:p w14:paraId="67BEF39E">
                  <w:pPr>
                    <w:pStyle w:val="86"/>
                    <w:rPr>
                      <w:rFonts w:hint="eastAsia"/>
                      <w:color w:val="auto"/>
                      <w:lang w:val="en-US" w:eastAsia="zh-CN"/>
                    </w:rPr>
                  </w:pPr>
                </w:p>
              </w:tc>
              <w:tc>
                <w:tcPr>
                  <w:tcW w:w="263" w:type="pct"/>
                  <w:vMerge w:val="continue"/>
                  <w:noWrap w:val="0"/>
                  <w:vAlign w:val="center"/>
                </w:tcPr>
                <w:p w14:paraId="527AE751">
                  <w:pPr>
                    <w:pStyle w:val="86"/>
                    <w:rPr>
                      <w:rFonts w:hint="default"/>
                      <w:color w:val="auto"/>
                      <w:lang w:val="en-US" w:eastAsia="zh-CN"/>
                    </w:rPr>
                  </w:pPr>
                </w:p>
              </w:tc>
              <w:tc>
                <w:tcPr>
                  <w:tcW w:w="840" w:type="pct"/>
                  <w:noWrap w:val="0"/>
                  <w:vAlign w:val="center"/>
                </w:tcPr>
                <w:p w14:paraId="0F405B46">
                  <w:pPr>
                    <w:pStyle w:val="86"/>
                    <w:rPr>
                      <w:rFonts w:hint="default"/>
                      <w:color w:val="auto"/>
                      <w:lang w:val="en-US" w:eastAsia="zh-CN"/>
                    </w:rPr>
                  </w:pPr>
                  <w:r>
                    <w:rPr>
                      <w:rFonts w:hint="eastAsia"/>
                      <w:color w:val="auto"/>
                      <w:lang w:val="en-US" w:eastAsia="zh-CN"/>
                    </w:rPr>
                    <w:t>其他</w:t>
                  </w:r>
                </w:p>
              </w:tc>
              <w:tc>
                <w:tcPr>
                  <w:tcW w:w="684" w:type="pct"/>
                  <w:noWrap w:val="0"/>
                  <w:vAlign w:val="center"/>
                </w:tcPr>
                <w:p w14:paraId="6A23710D">
                  <w:pPr>
                    <w:pStyle w:val="86"/>
                    <w:rPr>
                      <w:rFonts w:hint="default"/>
                      <w:color w:val="auto"/>
                      <w:lang w:val="en-US" w:eastAsia="zh-CN"/>
                    </w:rPr>
                  </w:pPr>
                  <w:r>
                    <w:rPr>
                      <w:rFonts w:hint="eastAsia"/>
                      <w:color w:val="auto"/>
                      <w:lang w:val="en-US" w:eastAsia="zh-CN"/>
                    </w:rPr>
                    <w:t>50</w:t>
                  </w:r>
                </w:p>
              </w:tc>
              <w:tc>
                <w:tcPr>
                  <w:tcW w:w="1008" w:type="pct"/>
                  <w:noWrap w:val="0"/>
                  <w:vAlign w:val="center"/>
                </w:tcPr>
                <w:p w14:paraId="4C04C255">
                  <w:pPr>
                    <w:pStyle w:val="86"/>
                    <w:rPr>
                      <w:rFonts w:hint="default"/>
                      <w:color w:val="auto"/>
                      <w:lang w:val="en-US" w:eastAsia="zh-CN"/>
                    </w:rPr>
                  </w:pPr>
                  <w:r>
                    <w:rPr>
                      <w:rFonts w:hint="eastAsia"/>
                      <w:color w:val="auto"/>
                      <w:lang w:val="en-US" w:eastAsia="zh-CN"/>
                    </w:rPr>
                    <w:t>50</w:t>
                  </w:r>
                </w:p>
              </w:tc>
              <w:tc>
                <w:tcPr>
                  <w:tcW w:w="1102" w:type="pct"/>
                  <w:noWrap w:val="0"/>
                  <w:vAlign w:val="center"/>
                </w:tcPr>
                <w:p w14:paraId="4F270E6C">
                  <w:pPr>
                    <w:pStyle w:val="86"/>
                    <w:rPr>
                      <w:rFonts w:hint="default"/>
                      <w:color w:val="auto"/>
                      <w:lang w:val="en-US" w:eastAsia="zh-CN"/>
                    </w:rPr>
                  </w:pPr>
                  <w:r>
                    <w:rPr>
                      <w:rFonts w:hint="eastAsia"/>
                      <w:color w:val="auto"/>
                      <w:lang w:val="en-US" w:eastAsia="zh-CN"/>
                    </w:rPr>
                    <w:t>100</w:t>
                  </w:r>
                </w:p>
              </w:tc>
              <w:tc>
                <w:tcPr>
                  <w:tcW w:w="660" w:type="pct"/>
                  <w:noWrap w:val="0"/>
                  <w:vAlign w:val="center"/>
                </w:tcPr>
                <w:p w14:paraId="270A35FF">
                  <w:pPr>
                    <w:pStyle w:val="86"/>
                    <w:rPr>
                      <w:rFonts w:hint="default"/>
                      <w:color w:val="auto"/>
                      <w:lang w:val="en-US" w:eastAsia="zh-CN"/>
                    </w:rPr>
                  </w:pPr>
                  <w:r>
                    <w:rPr>
                      <w:rFonts w:hint="eastAsia"/>
                      <w:color w:val="auto"/>
                      <w:lang w:val="en-US" w:eastAsia="zh-CN"/>
                    </w:rPr>
                    <w:t>100</w:t>
                  </w:r>
                </w:p>
              </w:tc>
            </w:tr>
            <w:tr w14:paraId="5AF72F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noWrap w:val="0"/>
                  <w:vAlign w:val="center"/>
                </w:tcPr>
                <w:p w14:paraId="21C25F75">
                  <w:pPr>
                    <w:pStyle w:val="86"/>
                    <w:rPr>
                      <w:rFonts w:hint="default"/>
                      <w:color w:val="auto"/>
                      <w:lang w:val="en-US" w:eastAsia="zh-CN"/>
                    </w:rPr>
                  </w:pPr>
                  <w:r>
                    <w:rPr>
                      <w:rFonts w:hint="eastAsia"/>
                      <w:color w:val="auto"/>
                      <w:lang w:val="en-US" w:eastAsia="zh-CN"/>
                    </w:rPr>
                    <w:t>7</w:t>
                  </w:r>
                </w:p>
              </w:tc>
              <w:tc>
                <w:tcPr>
                  <w:tcW w:w="1104" w:type="pct"/>
                  <w:gridSpan w:val="2"/>
                  <w:noWrap w:val="0"/>
                  <w:vAlign w:val="center"/>
                </w:tcPr>
                <w:p w14:paraId="70B5F2BD">
                  <w:pPr>
                    <w:pStyle w:val="86"/>
                    <w:rPr>
                      <w:rFonts w:hint="default"/>
                      <w:color w:val="auto"/>
                      <w:lang w:val="en-US" w:eastAsia="zh-CN"/>
                    </w:rPr>
                  </w:pPr>
                  <w:r>
                    <w:rPr>
                      <w:rFonts w:hint="eastAsia"/>
                      <w:color w:val="auto"/>
                      <w:lang w:val="en-US" w:eastAsia="zh-CN"/>
                    </w:rPr>
                    <w:t>镍</w:t>
                  </w:r>
                </w:p>
              </w:tc>
              <w:tc>
                <w:tcPr>
                  <w:tcW w:w="684" w:type="pct"/>
                  <w:noWrap w:val="0"/>
                  <w:vAlign w:val="center"/>
                </w:tcPr>
                <w:p w14:paraId="3FA7F76F">
                  <w:pPr>
                    <w:pStyle w:val="86"/>
                    <w:rPr>
                      <w:rFonts w:hint="default"/>
                      <w:color w:val="auto"/>
                      <w:lang w:val="en-US" w:eastAsia="zh-CN"/>
                    </w:rPr>
                  </w:pPr>
                  <w:r>
                    <w:rPr>
                      <w:rFonts w:hint="eastAsia"/>
                      <w:color w:val="auto"/>
                      <w:lang w:val="en-US" w:eastAsia="zh-CN"/>
                    </w:rPr>
                    <w:t>60</w:t>
                  </w:r>
                </w:p>
              </w:tc>
              <w:tc>
                <w:tcPr>
                  <w:tcW w:w="1008" w:type="pct"/>
                  <w:noWrap w:val="0"/>
                  <w:vAlign w:val="center"/>
                </w:tcPr>
                <w:p w14:paraId="6929F77E">
                  <w:pPr>
                    <w:pStyle w:val="86"/>
                    <w:rPr>
                      <w:rFonts w:hint="default"/>
                      <w:color w:val="auto"/>
                      <w:lang w:val="en-US" w:eastAsia="zh-CN"/>
                    </w:rPr>
                  </w:pPr>
                  <w:r>
                    <w:rPr>
                      <w:rFonts w:hint="eastAsia"/>
                      <w:color w:val="auto"/>
                      <w:lang w:val="en-US" w:eastAsia="zh-CN"/>
                    </w:rPr>
                    <w:t>70</w:t>
                  </w:r>
                </w:p>
              </w:tc>
              <w:tc>
                <w:tcPr>
                  <w:tcW w:w="1102" w:type="pct"/>
                  <w:noWrap w:val="0"/>
                  <w:vAlign w:val="center"/>
                </w:tcPr>
                <w:p w14:paraId="27C83410">
                  <w:pPr>
                    <w:pStyle w:val="86"/>
                    <w:rPr>
                      <w:rFonts w:hint="default"/>
                      <w:color w:val="auto"/>
                      <w:lang w:val="en-US" w:eastAsia="zh-CN"/>
                    </w:rPr>
                  </w:pPr>
                  <w:r>
                    <w:rPr>
                      <w:rFonts w:hint="eastAsia"/>
                      <w:color w:val="auto"/>
                      <w:lang w:val="en-US" w:eastAsia="zh-CN"/>
                    </w:rPr>
                    <w:t>100</w:t>
                  </w:r>
                </w:p>
              </w:tc>
              <w:tc>
                <w:tcPr>
                  <w:tcW w:w="660" w:type="pct"/>
                  <w:noWrap w:val="0"/>
                  <w:vAlign w:val="center"/>
                </w:tcPr>
                <w:p w14:paraId="384E7F8C">
                  <w:pPr>
                    <w:pStyle w:val="86"/>
                    <w:rPr>
                      <w:rFonts w:hint="default"/>
                      <w:color w:val="auto"/>
                      <w:lang w:val="en-US" w:eastAsia="zh-CN"/>
                    </w:rPr>
                  </w:pPr>
                  <w:r>
                    <w:rPr>
                      <w:rFonts w:hint="eastAsia"/>
                      <w:color w:val="auto"/>
                      <w:lang w:val="en-US" w:eastAsia="zh-CN"/>
                    </w:rPr>
                    <w:t>190</w:t>
                  </w:r>
                </w:p>
              </w:tc>
            </w:tr>
            <w:tr w14:paraId="12B528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noWrap w:val="0"/>
                  <w:vAlign w:val="center"/>
                </w:tcPr>
                <w:p w14:paraId="3E769825">
                  <w:pPr>
                    <w:pStyle w:val="86"/>
                    <w:rPr>
                      <w:rFonts w:hint="default"/>
                      <w:color w:val="auto"/>
                      <w:lang w:val="en-US" w:eastAsia="zh-CN"/>
                    </w:rPr>
                  </w:pPr>
                  <w:r>
                    <w:rPr>
                      <w:rFonts w:hint="eastAsia"/>
                      <w:color w:val="auto"/>
                      <w:lang w:val="en-US" w:eastAsia="zh-CN"/>
                    </w:rPr>
                    <w:t>8</w:t>
                  </w:r>
                </w:p>
              </w:tc>
              <w:tc>
                <w:tcPr>
                  <w:tcW w:w="1104" w:type="pct"/>
                  <w:gridSpan w:val="2"/>
                  <w:noWrap w:val="0"/>
                  <w:vAlign w:val="center"/>
                </w:tcPr>
                <w:p w14:paraId="72BBBB6A">
                  <w:pPr>
                    <w:pStyle w:val="86"/>
                    <w:rPr>
                      <w:rFonts w:hint="default"/>
                      <w:color w:val="auto"/>
                      <w:lang w:val="en-US" w:eastAsia="zh-CN"/>
                    </w:rPr>
                  </w:pPr>
                  <w:r>
                    <w:rPr>
                      <w:rFonts w:hint="eastAsia"/>
                      <w:color w:val="auto"/>
                      <w:lang w:val="en-US" w:eastAsia="zh-CN"/>
                    </w:rPr>
                    <w:t>锌</w:t>
                  </w:r>
                </w:p>
              </w:tc>
              <w:tc>
                <w:tcPr>
                  <w:tcW w:w="684" w:type="pct"/>
                  <w:noWrap w:val="0"/>
                  <w:vAlign w:val="center"/>
                </w:tcPr>
                <w:p w14:paraId="5C2107B0">
                  <w:pPr>
                    <w:pStyle w:val="86"/>
                    <w:rPr>
                      <w:rFonts w:hint="default"/>
                      <w:color w:val="auto"/>
                      <w:lang w:val="en-US" w:eastAsia="zh-CN"/>
                    </w:rPr>
                  </w:pPr>
                  <w:r>
                    <w:rPr>
                      <w:rFonts w:hint="eastAsia"/>
                      <w:color w:val="auto"/>
                      <w:lang w:val="en-US" w:eastAsia="zh-CN"/>
                    </w:rPr>
                    <w:t>200</w:t>
                  </w:r>
                </w:p>
              </w:tc>
              <w:tc>
                <w:tcPr>
                  <w:tcW w:w="1008" w:type="pct"/>
                  <w:noWrap w:val="0"/>
                  <w:vAlign w:val="center"/>
                </w:tcPr>
                <w:p w14:paraId="0A4F0AEE">
                  <w:pPr>
                    <w:pStyle w:val="86"/>
                    <w:rPr>
                      <w:rFonts w:hint="default"/>
                      <w:color w:val="auto"/>
                      <w:lang w:val="en-US" w:eastAsia="zh-CN"/>
                    </w:rPr>
                  </w:pPr>
                  <w:r>
                    <w:rPr>
                      <w:rFonts w:hint="eastAsia"/>
                      <w:color w:val="auto"/>
                      <w:lang w:val="en-US" w:eastAsia="zh-CN"/>
                    </w:rPr>
                    <w:t>200</w:t>
                  </w:r>
                </w:p>
              </w:tc>
              <w:tc>
                <w:tcPr>
                  <w:tcW w:w="1102" w:type="pct"/>
                  <w:noWrap w:val="0"/>
                  <w:vAlign w:val="center"/>
                </w:tcPr>
                <w:p w14:paraId="4F523BCB">
                  <w:pPr>
                    <w:pStyle w:val="86"/>
                    <w:rPr>
                      <w:rFonts w:hint="default"/>
                      <w:color w:val="auto"/>
                      <w:lang w:val="en-US" w:eastAsia="zh-CN"/>
                    </w:rPr>
                  </w:pPr>
                  <w:r>
                    <w:rPr>
                      <w:rFonts w:hint="eastAsia"/>
                      <w:color w:val="auto"/>
                      <w:lang w:val="en-US" w:eastAsia="zh-CN"/>
                    </w:rPr>
                    <w:t>250</w:t>
                  </w:r>
                </w:p>
              </w:tc>
              <w:tc>
                <w:tcPr>
                  <w:tcW w:w="660" w:type="pct"/>
                  <w:noWrap w:val="0"/>
                  <w:vAlign w:val="center"/>
                </w:tcPr>
                <w:p w14:paraId="10FD89EA">
                  <w:pPr>
                    <w:pStyle w:val="86"/>
                    <w:rPr>
                      <w:rFonts w:hint="default"/>
                      <w:color w:val="auto"/>
                      <w:lang w:val="en-US" w:eastAsia="zh-CN"/>
                    </w:rPr>
                  </w:pPr>
                  <w:r>
                    <w:rPr>
                      <w:rFonts w:hint="eastAsia"/>
                      <w:color w:val="auto"/>
                      <w:lang w:val="en-US" w:eastAsia="zh-CN"/>
                    </w:rPr>
                    <w:t>300</w:t>
                  </w:r>
                </w:p>
              </w:tc>
            </w:tr>
            <w:tr w14:paraId="2768B6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noWrap w:val="0"/>
                  <w:vAlign w:val="center"/>
                </w:tcPr>
                <w:p w14:paraId="2B106DAD">
                  <w:pPr>
                    <w:pStyle w:val="86"/>
                    <w:rPr>
                      <w:rFonts w:hint="default"/>
                      <w:color w:val="auto"/>
                      <w:lang w:val="en-US" w:eastAsia="zh-CN"/>
                    </w:rPr>
                  </w:pPr>
                  <w:r>
                    <w:rPr>
                      <w:rFonts w:hint="eastAsia"/>
                      <w:color w:val="auto"/>
                      <w:lang w:val="en-US" w:eastAsia="zh-CN"/>
                    </w:rPr>
                    <w:t>管控值</w:t>
                  </w:r>
                </w:p>
              </w:tc>
            </w:tr>
            <w:tr w14:paraId="32D15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noWrap w:val="0"/>
                  <w:vAlign w:val="center"/>
                </w:tcPr>
                <w:p w14:paraId="3DF2F3DA">
                  <w:pPr>
                    <w:pStyle w:val="86"/>
                    <w:rPr>
                      <w:rFonts w:hint="default"/>
                      <w:color w:val="auto"/>
                      <w:lang w:val="en-US" w:eastAsia="zh-CN"/>
                    </w:rPr>
                  </w:pPr>
                  <w:r>
                    <w:rPr>
                      <w:rFonts w:hint="eastAsia"/>
                      <w:color w:val="auto"/>
                      <w:lang w:val="en-US" w:eastAsia="zh-CN"/>
                    </w:rPr>
                    <w:t>1</w:t>
                  </w:r>
                </w:p>
              </w:tc>
              <w:tc>
                <w:tcPr>
                  <w:tcW w:w="1104" w:type="pct"/>
                  <w:gridSpan w:val="2"/>
                  <w:noWrap w:val="0"/>
                  <w:vAlign w:val="center"/>
                </w:tcPr>
                <w:p w14:paraId="66FD37A1">
                  <w:pPr>
                    <w:pStyle w:val="86"/>
                    <w:rPr>
                      <w:rFonts w:hint="default"/>
                      <w:color w:val="auto"/>
                      <w:lang w:val="en-US" w:eastAsia="zh-CN"/>
                    </w:rPr>
                  </w:pPr>
                  <w:r>
                    <w:rPr>
                      <w:rFonts w:hint="eastAsia"/>
                      <w:color w:val="auto"/>
                      <w:lang w:val="en-US" w:eastAsia="zh-CN"/>
                    </w:rPr>
                    <w:t>镉</w:t>
                  </w:r>
                </w:p>
              </w:tc>
              <w:tc>
                <w:tcPr>
                  <w:tcW w:w="684" w:type="pct"/>
                  <w:noWrap w:val="0"/>
                  <w:vAlign w:val="center"/>
                </w:tcPr>
                <w:p w14:paraId="1F52F254">
                  <w:pPr>
                    <w:pStyle w:val="86"/>
                    <w:rPr>
                      <w:rFonts w:hint="default"/>
                      <w:color w:val="auto"/>
                      <w:lang w:val="en-US" w:eastAsia="zh-CN"/>
                    </w:rPr>
                  </w:pPr>
                  <w:r>
                    <w:rPr>
                      <w:rFonts w:hint="eastAsia"/>
                      <w:color w:val="auto"/>
                      <w:lang w:val="en-US" w:eastAsia="zh-CN"/>
                    </w:rPr>
                    <w:t>1.5</w:t>
                  </w:r>
                </w:p>
              </w:tc>
              <w:tc>
                <w:tcPr>
                  <w:tcW w:w="1008" w:type="pct"/>
                  <w:noWrap w:val="0"/>
                  <w:vAlign w:val="center"/>
                </w:tcPr>
                <w:p w14:paraId="499EAA82">
                  <w:pPr>
                    <w:pStyle w:val="86"/>
                    <w:rPr>
                      <w:rFonts w:hint="default"/>
                      <w:color w:val="auto"/>
                      <w:lang w:val="en-US" w:eastAsia="zh-CN"/>
                    </w:rPr>
                  </w:pPr>
                  <w:r>
                    <w:rPr>
                      <w:rFonts w:hint="eastAsia"/>
                      <w:color w:val="auto"/>
                      <w:lang w:val="en-US" w:eastAsia="zh-CN"/>
                    </w:rPr>
                    <w:t>2.0</w:t>
                  </w:r>
                </w:p>
              </w:tc>
              <w:tc>
                <w:tcPr>
                  <w:tcW w:w="1102" w:type="pct"/>
                  <w:noWrap w:val="0"/>
                  <w:vAlign w:val="center"/>
                </w:tcPr>
                <w:p w14:paraId="2D4CA35B">
                  <w:pPr>
                    <w:pStyle w:val="86"/>
                    <w:rPr>
                      <w:rFonts w:hint="default"/>
                      <w:color w:val="auto"/>
                      <w:lang w:val="en-US" w:eastAsia="zh-CN"/>
                    </w:rPr>
                  </w:pPr>
                  <w:r>
                    <w:rPr>
                      <w:rFonts w:hint="eastAsia"/>
                      <w:color w:val="auto"/>
                      <w:lang w:val="en-US" w:eastAsia="zh-CN"/>
                    </w:rPr>
                    <w:t>3.0</w:t>
                  </w:r>
                </w:p>
              </w:tc>
              <w:tc>
                <w:tcPr>
                  <w:tcW w:w="660" w:type="pct"/>
                  <w:noWrap w:val="0"/>
                  <w:vAlign w:val="center"/>
                </w:tcPr>
                <w:p w14:paraId="797CA9CD">
                  <w:pPr>
                    <w:pStyle w:val="86"/>
                    <w:rPr>
                      <w:rFonts w:hint="default"/>
                      <w:color w:val="auto"/>
                      <w:lang w:val="en-US" w:eastAsia="zh-CN"/>
                    </w:rPr>
                  </w:pPr>
                  <w:r>
                    <w:rPr>
                      <w:rFonts w:hint="eastAsia"/>
                      <w:color w:val="auto"/>
                      <w:lang w:val="en-US" w:eastAsia="zh-CN"/>
                    </w:rPr>
                    <w:t>4.0</w:t>
                  </w:r>
                </w:p>
              </w:tc>
            </w:tr>
            <w:tr w14:paraId="7C84E2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noWrap w:val="0"/>
                  <w:vAlign w:val="center"/>
                </w:tcPr>
                <w:p w14:paraId="4CE9F399">
                  <w:pPr>
                    <w:pStyle w:val="86"/>
                    <w:rPr>
                      <w:rFonts w:hint="default"/>
                      <w:color w:val="auto"/>
                      <w:lang w:val="en-US" w:eastAsia="zh-CN"/>
                    </w:rPr>
                  </w:pPr>
                  <w:r>
                    <w:rPr>
                      <w:rFonts w:hint="eastAsia"/>
                      <w:color w:val="auto"/>
                      <w:lang w:val="en-US" w:eastAsia="zh-CN"/>
                    </w:rPr>
                    <w:t>2</w:t>
                  </w:r>
                </w:p>
              </w:tc>
              <w:tc>
                <w:tcPr>
                  <w:tcW w:w="1104" w:type="pct"/>
                  <w:gridSpan w:val="2"/>
                  <w:noWrap w:val="0"/>
                  <w:vAlign w:val="center"/>
                </w:tcPr>
                <w:p w14:paraId="4BE1EC15">
                  <w:pPr>
                    <w:pStyle w:val="86"/>
                    <w:rPr>
                      <w:rFonts w:hint="default"/>
                      <w:color w:val="auto"/>
                      <w:lang w:val="en-US" w:eastAsia="zh-CN"/>
                    </w:rPr>
                  </w:pPr>
                  <w:r>
                    <w:rPr>
                      <w:rFonts w:hint="eastAsia"/>
                      <w:color w:val="auto"/>
                      <w:lang w:val="en-US" w:eastAsia="zh-CN"/>
                    </w:rPr>
                    <w:t>汞</w:t>
                  </w:r>
                </w:p>
              </w:tc>
              <w:tc>
                <w:tcPr>
                  <w:tcW w:w="684" w:type="pct"/>
                  <w:noWrap w:val="0"/>
                  <w:vAlign w:val="center"/>
                </w:tcPr>
                <w:p w14:paraId="0E5378D8">
                  <w:pPr>
                    <w:pStyle w:val="86"/>
                    <w:rPr>
                      <w:rFonts w:hint="default"/>
                      <w:color w:val="auto"/>
                      <w:lang w:val="en-US" w:eastAsia="zh-CN"/>
                    </w:rPr>
                  </w:pPr>
                  <w:r>
                    <w:rPr>
                      <w:rFonts w:hint="eastAsia"/>
                      <w:color w:val="auto"/>
                      <w:lang w:val="en-US" w:eastAsia="zh-CN"/>
                    </w:rPr>
                    <w:t>2.0</w:t>
                  </w:r>
                </w:p>
              </w:tc>
              <w:tc>
                <w:tcPr>
                  <w:tcW w:w="1008" w:type="pct"/>
                  <w:noWrap w:val="0"/>
                  <w:vAlign w:val="center"/>
                </w:tcPr>
                <w:p w14:paraId="2546173B">
                  <w:pPr>
                    <w:pStyle w:val="86"/>
                    <w:rPr>
                      <w:rFonts w:hint="default"/>
                      <w:color w:val="auto"/>
                      <w:lang w:val="en-US" w:eastAsia="zh-CN"/>
                    </w:rPr>
                  </w:pPr>
                  <w:r>
                    <w:rPr>
                      <w:rFonts w:hint="eastAsia"/>
                      <w:color w:val="auto"/>
                      <w:lang w:val="en-US" w:eastAsia="zh-CN"/>
                    </w:rPr>
                    <w:t>2.5</w:t>
                  </w:r>
                </w:p>
              </w:tc>
              <w:tc>
                <w:tcPr>
                  <w:tcW w:w="1102" w:type="pct"/>
                  <w:noWrap w:val="0"/>
                  <w:vAlign w:val="center"/>
                </w:tcPr>
                <w:p w14:paraId="4BD83392">
                  <w:pPr>
                    <w:pStyle w:val="86"/>
                    <w:rPr>
                      <w:rFonts w:hint="default"/>
                      <w:color w:val="auto"/>
                      <w:lang w:val="en-US" w:eastAsia="zh-CN"/>
                    </w:rPr>
                  </w:pPr>
                  <w:r>
                    <w:rPr>
                      <w:rFonts w:hint="eastAsia"/>
                      <w:color w:val="auto"/>
                      <w:lang w:val="en-US" w:eastAsia="zh-CN"/>
                    </w:rPr>
                    <w:t>4.0</w:t>
                  </w:r>
                </w:p>
              </w:tc>
              <w:tc>
                <w:tcPr>
                  <w:tcW w:w="660" w:type="pct"/>
                  <w:noWrap w:val="0"/>
                  <w:vAlign w:val="center"/>
                </w:tcPr>
                <w:p w14:paraId="106DE7DE">
                  <w:pPr>
                    <w:pStyle w:val="86"/>
                    <w:rPr>
                      <w:rFonts w:hint="default"/>
                      <w:color w:val="auto"/>
                      <w:lang w:val="en-US" w:eastAsia="zh-CN"/>
                    </w:rPr>
                  </w:pPr>
                  <w:r>
                    <w:rPr>
                      <w:rFonts w:hint="eastAsia"/>
                      <w:color w:val="auto"/>
                      <w:lang w:val="en-US" w:eastAsia="zh-CN"/>
                    </w:rPr>
                    <w:t>6.0</w:t>
                  </w:r>
                </w:p>
              </w:tc>
            </w:tr>
            <w:tr w14:paraId="4F876E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noWrap w:val="0"/>
                  <w:vAlign w:val="center"/>
                </w:tcPr>
                <w:p w14:paraId="378365BF">
                  <w:pPr>
                    <w:pStyle w:val="86"/>
                    <w:rPr>
                      <w:rFonts w:hint="default"/>
                      <w:color w:val="auto"/>
                      <w:lang w:val="en-US" w:eastAsia="zh-CN"/>
                    </w:rPr>
                  </w:pPr>
                  <w:r>
                    <w:rPr>
                      <w:rFonts w:hint="eastAsia"/>
                      <w:color w:val="auto"/>
                      <w:lang w:val="en-US" w:eastAsia="zh-CN"/>
                    </w:rPr>
                    <w:t>3</w:t>
                  </w:r>
                </w:p>
              </w:tc>
              <w:tc>
                <w:tcPr>
                  <w:tcW w:w="1104" w:type="pct"/>
                  <w:gridSpan w:val="2"/>
                  <w:noWrap w:val="0"/>
                  <w:vAlign w:val="center"/>
                </w:tcPr>
                <w:p w14:paraId="4FF4D8AF">
                  <w:pPr>
                    <w:pStyle w:val="86"/>
                    <w:rPr>
                      <w:rFonts w:hint="default"/>
                      <w:color w:val="auto"/>
                      <w:lang w:val="en-US" w:eastAsia="zh-CN"/>
                    </w:rPr>
                  </w:pPr>
                  <w:r>
                    <w:rPr>
                      <w:rFonts w:hint="eastAsia"/>
                      <w:color w:val="auto"/>
                      <w:lang w:val="en-US" w:eastAsia="zh-CN"/>
                    </w:rPr>
                    <w:t>砷</w:t>
                  </w:r>
                </w:p>
              </w:tc>
              <w:tc>
                <w:tcPr>
                  <w:tcW w:w="684" w:type="pct"/>
                  <w:noWrap w:val="0"/>
                  <w:vAlign w:val="center"/>
                </w:tcPr>
                <w:p w14:paraId="772A93EC">
                  <w:pPr>
                    <w:pStyle w:val="86"/>
                    <w:rPr>
                      <w:rFonts w:hint="default"/>
                      <w:color w:val="auto"/>
                      <w:lang w:val="en-US" w:eastAsia="zh-CN"/>
                    </w:rPr>
                  </w:pPr>
                  <w:r>
                    <w:rPr>
                      <w:rFonts w:hint="eastAsia"/>
                      <w:color w:val="auto"/>
                      <w:lang w:val="en-US" w:eastAsia="zh-CN"/>
                    </w:rPr>
                    <w:t>200</w:t>
                  </w:r>
                </w:p>
              </w:tc>
              <w:tc>
                <w:tcPr>
                  <w:tcW w:w="1008" w:type="pct"/>
                  <w:noWrap w:val="0"/>
                  <w:vAlign w:val="center"/>
                </w:tcPr>
                <w:p w14:paraId="62130EEE">
                  <w:pPr>
                    <w:pStyle w:val="86"/>
                    <w:rPr>
                      <w:rFonts w:hint="default"/>
                      <w:color w:val="auto"/>
                      <w:lang w:val="en-US" w:eastAsia="zh-CN"/>
                    </w:rPr>
                  </w:pPr>
                  <w:r>
                    <w:rPr>
                      <w:rFonts w:hint="eastAsia"/>
                      <w:color w:val="auto"/>
                      <w:lang w:val="en-US" w:eastAsia="zh-CN"/>
                    </w:rPr>
                    <w:t>150</w:t>
                  </w:r>
                </w:p>
              </w:tc>
              <w:tc>
                <w:tcPr>
                  <w:tcW w:w="1102" w:type="pct"/>
                  <w:noWrap w:val="0"/>
                  <w:vAlign w:val="center"/>
                </w:tcPr>
                <w:p w14:paraId="3108DA79">
                  <w:pPr>
                    <w:pStyle w:val="86"/>
                    <w:rPr>
                      <w:rFonts w:hint="default"/>
                      <w:color w:val="auto"/>
                      <w:lang w:val="en-US" w:eastAsia="zh-CN"/>
                    </w:rPr>
                  </w:pPr>
                  <w:r>
                    <w:rPr>
                      <w:rFonts w:hint="eastAsia"/>
                      <w:color w:val="auto"/>
                      <w:lang w:val="en-US" w:eastAsia="zh-CN"/>
                    </w:rPr>
                    <w:t>120</w:t>
                  </w:r>
                </w:p>
              </w:tc>
              <w:tc>
                <w:tcPr>
                  <w:tcW w:w="660" w:type="pct"/>
                  <w:noWrap w:val="0"/>
                  <w:vAlign w:val="center"/>
                </w:tcPr>
                <w:p w14:paraId="70164B24">
                  <w:pPr>
                    <w:pStyle w:val="86"/>
                    <w:rPr>
                      <w:rFonts w:hint="default"/>
                      <w:color w:val="auto"/>
                      <w:lang w:val="en-US" w:eastAsia="zh-CN"/>
                    </w:rPr>
                  </w:pPr>
                  <w:r>
                    <w:rPr>
                      <w:rFonts w:hint="eastAsia"/>
                      <w:color w:val="auto"/>
                      <w:lang w:val="en-US" w:eastAsia="zh-CN"/>
                    </w:rPr>
                    <w:t>100</w:t>
                  </w:r>
                </w:p>
              </w:tc>
            </w:tr>
            <w:tr w14:paraId="64F06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noWrap w:val="0"/>
                  <w:vAlign w:val="center"/>
                </w:tcPr>
                <w:p w14:paraId="5B0CF120">
                  <w:pPr>
                    <w:pStyle w:val="86"/>
                    <w:rPr>
                      <w:rFonts w:hint="default"/>
                      <w:color w:val="auto"/>
                      <w:lang w:val="en-US" w:eastAsia="zh-CN"/>
                    </w:rPr>
                  </w:pPr>
                  <w:r>
                    <w:rPr>
                      <w:rFonts w:hint="eastAsia"/>
                      <w:color w:val="auto"/>
                      <w:lang w:val="en-US" w:eastAsia="zh-CN"/>
                    </w:rPr>
                    <w:t>4</w:t>
                  </w:r>
                </w:p>
              </w:tc>
              <w:tc>
                <w:tcPr>
                  <w:tcW w:w="1104" w:type="pct"/>
                  <w:gridSpan w:val="2"/>
                  <w:noWrap w:val="0"/>
                  <w:vAlign w:val="center"/>
                </w:tcPr>
                <w:p w14:paraId="75965EC1">
                  <w:pPr>
                    <w:pStyle w:val="86"/>
                    <w:rPr>
                      <w:rFonts w:hint="default"/>
                      <w:color w:val="auto"/>
                      <w:lang w:val="en-US" w:eastAsia="zh-CN"/>
                    </w:rPr>
                  </w:pPr>
                  <w:r>
                    <w:rPr>
                      <w:rFonts w:hint="eastAsia"/>
                      <w:color w:val="auto"/>
                      <w:lang w:val="en-US" w:eastAsia="zh-CN"/>
                    </w:rPr>
                    <w:t>铅</w:t>
                  </w:r>
                </w:p>
              </w:tc>
              <w:tc>
                <w:tcPr>
                  <w:tcW w:w="684" w:type="pct"/>
                  <w:noWrap w:val="0"/>
                  <w:vAlign w:val="center"/>
                </w:tcPr>
                <w:p w14:paraId="6C841BC4">
                  <w:pPr>
                    <w:pStyle w:val="86"/>
                    <w:rPr>
                      <w:rFonts w:hint="default"/>
                      <w:color w:val="auto"/>
                      <w:lang w:val="en-US" w:eastAsia="zh-CN"/>
                    </w:rPr>
                  </w:pPr>
                  <w:r>
                    <w:rPr>
                      <w:rFonts w:hint="eastAsia"/>
                      <w:color w:val="auto"/>
                      <w:lang w:val="en-US" w:eastAsia="zh-CN"/>
                    </w:rPr>
                    <w:t>400</w:t>
                  </w:r>
                </w:p>
              </w:tc>
              <w:tc>
                <w:tcPr>
                  <w:tcW w:w="1008" w:type="pct"/>
                  <w:noWrap w:val="0"/>
                  <w:vAlign w:val="center"/>
                </w:tcPr>
                <w:p w14:paraId="4C232F1C">
                  <w:pPr>
                    <w:pStyle w:val="86"/>
                    <w:rPr>
                      <w:rFonts w:hint="default"/>
                      <w:color w:val="auto"/>
                      <w:lang w:val="en-US" w:eastAsia="zh-CN"/>
                    </w:rPr>
                  </w:pPr>
                  <w:r>
                    <w:rPr>
                      <w:rFonts w:hint="eastAsia"/>
                      <w:color w:val="auto"/>
                      <w:lang w:val="en-US" w:eastAsia="zh-CN"/>
                    </w:rPr>
                    <w:t>500</w:t>
                  </w:r>
                </w:p>
              </w:tc>
              <w:tc>
                <w:tcPr>
                  <w:tcW w:w="1102" w:type="pct"/>
                  <w:noWrap w:val="0"/>
                  <w:vAlign w:val="center"/>
                </w:tcPr>
                <w:p w14:paraId="6B303F6A">
                  <w:pPr>
                    <w:pStyle w:val="86"/>
                    <w:rPr>
                      <w:rFonts w:hint="default"/>
                      <w:color w:val="auto"/>
                      <w:lang w:val="en-US" w:eastAsia="zh-CN"/>
                    </w:rPr>
                  </w:pPr>
                  <w:r>
                    <w:rPr>
                      <w:rFonts w:hint="eastAsia"/>
                      <w:color w:val="auto"/>
                      <w:lang w:val="en-US" w:eastAsia="zh-CN"/>
                    </w:rPr>
                    <w:t>700</w:t>
                  </w:r>
                </w:p>
              </w:tc>
              <w:tc>
                <w:tcPr>
                  <w:tcW w:w="660" w:type="pct"/>
                  <w:noWrap w:val="0"/>
                  <w:vAlign w:val="center"/>
                </w:tcPr>
                <w:p w14:paraId="30410F4D">
                  <w:pPr>
                    <w:pStyle w:val="86"/>
                    <w:rPr>
                      <w:rFonts w:hint="default"/>
                      <w:color w:val="auto"/>
                      <w:lang w:val="en-US" w:eastAsia="zh-CN"/>
                    </w:rPr>
                  </w:pPr>
                  <w:r>
                    <w:rPr>
                      <w:rFonts w:hint="eastAsia"/>
                      <w:color w:val="auto"/>
                      <w:lang w:val="en-US" w:eastAsia="zh-CN"/>
                    </w:rPr>
                    <w:t>1000</w:t>
                  </w:r>
                </w:p>
              </w:tc>
            </w:tr>
            <w:tr w14:paraId="3D635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41" w:type="pct"/>
                  <w:noWrap w:val="0"/>
                  <w:vAlign w:val="center"/>
                </w:tcPr>
                <w:p w14:paraId="0B4F70E7">
                  <w:pPr>
                    <w:pStyle w:val="86"/>
                    <w:rPr>
                      <w:rFonts w:hint="default"/>
                      <w:color w:val="auto"/>
                      <w:lang w:val="en-US" w:eastAsia="zh-CN"/>
                    </w:rPr>
                  </w:pPr>
                  <w:r>
                    <w:rPr>
                      <w:rFonts w:hint="eastAsia"/>
                      <w:color w:val="auto"/>
                      <w:lang w:val="en-US" w:eastAsia="zh-CN"/>
                    </w:rPr>
                    <w:t>5</w:t>
                  </w:r>
                </w:p>
              </w:tc>
              <w:tc>
                <w:tcPr>
                  <w:tcW w:w="1104" w:type="pct"/>
                  <w:gridSpan w:val="2"/>
                  <w:noWrap w:val="0"/>
                  <w:vAlign w:val="center"/>
                </w:tcPr>
                <w:p w14:paraId="65D8C122">
                  <w:pPr>
                    <w:pStyle w:val="86"/>
                    <w:rPr>
                      <w:rFonts w:hint="default"/>
                      <w:color w:val="auto"/>
                      <w:lang w:val="en-US" w:eastAsia="zh-CN"/>
                    </w:rPr>
                  </w:pPr>
                  <w:r>
                    <w:rPr>
                      <w:rFonts w:hint="eastAsia"/>
                      <w:color w:val="auto"/>
                      <w:lang w:val="en-US" w:eastAsia="zh-CN"/>
                    </w:rPr>
                    <w:t>铬</w:t>
                  </w:r>
                </w:p>
              </w:tc>
              <w:tc>
                <w:tcPr>
                  <w:tcW w:w="684" w:type="pct"/>
                  <w:noWrap w:val="0"/>
                  <w:vAlign w:val="center"/>
                </w:tcPr>
                <w:p w14:paraId="2C1D4EBA">
                  <w:pPr>
                    <w:pStyle w:val="86"/>
                    <w:rPr>
                      <w:rFonts w:hint="default"/>
                      <w:color w:val="auto"/>
                      <w:lang w:val="en-US" w:eastAsia="zh-CN"/>
                    </w:rPr>
                  </w:pPr>
                  <w:r>
                    <w:rPr>
                      <w:rFonts w:hint="eastAsia"/>
                      <w:color w:val="auto"/>
                      <w:lang w:val="en-US" w:eastAsia="zh-CN"/>
                    </w:rPr>
                    <w:t>800</w:t>
                  </w:r>
                </w:p>
              </w:tc>
              <w:tc>
                <w:tcPr>
                  <w:tcW w:w="1008" w:type="pct"/>
                  <w:noWrap w:val="0"/>
                  <w:vAlign w:val="center"/>
                </w:tcPr>
                <w:p w14:paraId="70AD36DB">
                  <w:pPr>
                    <w:pStyle w:val="86"/>
                    <w:rPr>
                      <w:rFonts w:hint="default"/>
                      <w:color w:val="auto"/>
                      <w:lang w:val="en-US" w:eastAsia="zh-CN"/>
                    </w:rPr>
                  </w:pPr>
                  <w:r>
                    <w:rPr>
                      <w:rFonts w:hint="eastAsia"/>
                      <w:color w:val="auto"/>
                      <w:lang w:val="en-US" w:eastAsia="zh-CN"/>
                    </w:rPr>
                    <w:t>850</w:t>
                  </w:r>
                </w:p>
              </w:tc>
              <w:tc>
                <w:tcPr>
                  <w:tcW w:w="1102" w:type="pct"/>
                  <w:noWrap w:val="0"/>
                  <w:vAlign w:val="center"/>
                </w:tcPr>
                <w:p w14:paraId="18E8B2A9">
                  <w:pPr>
                    <w:pStyle w:val="86"/>
                    <w:rPr>
                      <w:rFonts w:hint="default"/>
                      <w:color w:val="auto"/>
                      <w:lang w:val="en-US" w:eastAsia="zh-CN"/>
                    </w:rPr>
                  </w:pPr>
                  <w:r>
                    <w:rPr>
                      <w:rFonts w:hint="eastAsia"/>
                      <w:color w:val="auto"/>
                      <w:lang w:val="en-US" w:eastAsia="zh-CN"/>
                    </w:rPr>
                    <w:t>1000</w:t>
                  </w:r>
                </w:p>
              </w:tc>
              <w:tc>
                <w:tcPr>
                  <w:tcW w:w="660" w:type="pct"/>
                  <w:noWrap w:val="0"/>
                  <w:vAlign w:val="center"/>
                </w:tcPr>
                <w:p w14:paraId="4152C356">
                  <w:pPr>
                    <w:pStyle w:val="86"/>
                    <w:rPr>
                      <w:rFonts w:hint="default"/>
                      <w:color w:val="auto"/>
                      <w:lang w:val="en-US" w:eastAsia="zh-CN"/>
                    </w:rPr>
                  </w:pPr>
                  <w:r>
                    <w:rPr>
                      <w:rFonts w:hint="eastAsia"/>
                      <w:color w:val="auto"/>
                      <w:lang w:val="en-US" w:eastAsia="zh-CN"/>
                    </w:rPr>
                    <w:t>1300</w:t>
                  </w:r>
                </w:p>
              </w:tc>
            </w:tr>
            <w:tr w14:paraId="2470EA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7"/>
                  <w:noWrap w:val="0"/>
                  <w:vAlign w:val="center"/>
                </w:tcPr>
                <w:p w14:paraId="75F82B6E">
                  <w:pPr>
                    <w:pStyle w:val="86"/>
                    <w:rPr>
                      <w:rFonts w:hint="default"/>
                      <w:color w:val="auto"/>
                      <w:lang w:val="en-US" w:eastAsia="zh-CN"/>
                    </w:rPr>
                  </w:pPr>
                  <w:r>
                    <w:rPr>
                      <w:rFonts w:hint="eastAsia"/>
                      <w:color w:val="auto"/>
                      <w:lang w:val="en-US" w:eastAsia="zh-CN"/>
                    </w:rPr>
                    <w:t>注：①重金属和类金属砷均按元素总量计。②对于水旱轮作地，采用其中较严格的风险筛选值。</w:t>
                  </w:r>
                </w:p>
              </w:tc>
            </w:tr>
          </w:tbl>
          <w:p w14:paraId="78344694">
            <w:pPr>
              <w:pStyle w:val="71"/>
              <w:adjustRightInd w:val="0"/>
              <w:ind w:firstLine="496" w:firstLineChars="0"/>
              <w:jc w:val="both"/>
              <w:rPr>
                <w:b/>
                <w:bCs/>
                <w:lang w:val="en-US"/>
              </w:rPr>
            </w:pPr>
            <w:r>
              <w:rPr>
                <w:rFonts w:hint="eastAsia"/>
                <w:b/>
                <w:bCs/>
                <w:lang w:val="en-US"/>
              </w:rPr>
              <w:t>（5）声环境</w:t>
            </w:r>
          </w:p>
          <w:p w14:paraId="4A1241A3">
            <w:pPr>
              <w:pStyle w:val="71"/>
              <w:adjustRightInd w:val="0"/>
              <w:ind w:firstLine="496" w:firstLineChars="0"/>
              <w:jc w:val="both"/>
              <w:rPr>
                <w:lang w:val="en-US"/>
              </w:rPr>
            </w:pPr>
            <w:r>
              <w:rPr>
                <w:rFonts w:hint="eastAsia"/>
                <w:lang w:val="en-US"/>
              </w:rPr>
              <w:t>项目位于云南省昆明市寻甸县鸡街镇古城新石桥村附近，声环境执行《声环境质量标准》（GB3096-2008）2类标准，具体见下表。</w:t>
            </w:r>
          </w:p>
          <w:p w14:paraId="7C5455C5">
            <w:pPr>
              <w:pStyle w:val="71"/>
              <w:adjustRightInd w:val="0"/>
              <w:spacing w:line="240" w:lineRule="auto"/>
              <w:ind w:firstLine="0" w:firstLineChars="0"/>
              <w:jc w:val="center"/>
              <w:rPr>
                <w:b/>
                <w:bCs/>
                <w:sz w:val="24"/>
                <w:szCs w:val="24"/>
                <w:lang w:val="en-US"/>
              </w:rPr>
            </w:pPr>
            <w:r>
              <w:rPr>
                <w:rFonts w:hint="eastAsia"/>
                <w:b/>
                <w:bCs/>
                <w:sz w:val="24"/>
                <w:szCs w:val="24"/>
                <w:lang w:val="en-US"/>
              </w:rPr>
              <w:t>表3-</w:t>
            </w:r>
            <w:r>
              <w:rPr>
                <w:rFonts w:hint="eastAsia"/>
                <w:b/>
                <w:bCs/>
                <w:sz w:val="24"/>
                <w:szCs w:val="24"/>
                <w:lang w:val="en-US" w:eastAsia="zh-CN"/>
              </w:rPr>
              <w:t xml:space="preserve">22  </w:t>
            </w:r>
            <w:r>
              <w:rPr>
                <w:rFonts w:hint="eastAsia"/>
                <w:b/>
                <w:bCs/>
                <w:sz w:val="24"/>
                <w:szCs w:val="24"/>
                <w:lang w:val="en-US"/>
              </w:rPr>
              <w:t>声环境质量标准单位：dB（A）</w:t>
            </w:r>
          </w:p>
          <w:tbl>
            <w:tblPr>
              <w:tblStyle w:val="41"/>
              <w:tblW w:w="828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60"/>
              <w:gridCol w:w="2560"/>
              <w:gridCol w:w="3165"/>
            </w:tblGrid>
            <w:tr w14:paraId="6381C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trPr>
              <w:tc>
                <w:tcPr>
                  <w:tcW w:w="2560" w:type="dxa"/>
                </w:tcPr>
                <w:p w14:paraId="094C2CEB">
                  <w:pPr>
                    <w:pStyle w:val="86"/>
                    <w:rPr>
                      <w:b/>
                      <w:bCs/>
                    </w:rPr>
                  </w:pPr>
                  <w:r>
                    <w:rPr>
                      <w:rFonts w:hint="eastAsia"/>
                      <w:b/>
                      <w:bCs/>
                    </w:rPr>
                    <w:t>时段</w:t>
                  </w:r>
                </w:p>
              </w:tc>
              <w:tc>
                <w:tcPr>
                  <w:tcW w:w="2560" w:type="dxa"/>
                </w:tcPr>
                <w:p w14:paraId="659451C7">
                  <w:pPr>
                    <w:pStyle w:val="86"/>
                    <w:rPr>
                      <w:b/>
                      <w:bCs/>
                    </w:rPr>
                  </w:pPr>
                  <w:r>
                    <w:rPr>
                      <w:rFonts w:hint="eastAsia"/>
                      <w:b/>
                      <w:bCs/>
                    </w:rPr>
                    <w:t>昼间</w:t>
                  </w:r>
                </w:p>
              </w:tc>
              <w:tc>
                <w:tcPr>
                  <w:tcW w:w="3165" w:type="dxa"/>
                </w:tcPr>
                <w:p w14:paraId="0686F5F4">
                  <w:pPr>
                    <w:pStyle w:val="86"/>
                    <w:rPr>
                      <w:b/>
                      <w:bCs/>
                    </w:rPr>
                  </w:pPr>
                  <w:r>
                    <w:rPr>
                      <w:rFonts w:hint="eastAsia"/>
                      <w:b/>
                      <w:bCs/>
                    </w:rPr>
                    <w:t>夜间</w:t>
                  </w:r>
                </w:p>
              </w:tc>
            </w:tr>
            <w:tr w14:paraId="114D32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3" w:hRule="atLeast"/>
              </w:trPr>
              <w:tc>
                <w:tcPr>
                  <w:tcW w:w="2560" w:type="dxa"/>
                </w:tcPr>
                <w:p w14:paraId="60F84E24">
                  <w:pPr>
                    <w:pStyle w:val="86"/>
                  </w:pPr>
                  <w:r>
                    <w:rPr>
                      <w:rFonts w:hint="eastAsia"/>
                    </w:rPr>
                    <w:t>2类声功能区</w:t>
                  </w:r>
                </w:p>
              </w:tc>
              <w:tc>
                <w:tcPr>
                  <w:tcW w:w="2560" w:type="dxa"/>
                </w:tcPr>
                <w:p w14:paraId="774EB4AD">
                  <w:pPr>
                    <w:pStyle w:val="86"/>
                  </w:pPr>
                  <w:r>
                    <w:rPr>
                      <w:rFonts w:hint="eastAsia"/>
                    </w:rPr>
                    <w:t>60</w:t>
                  </w:r>
                </w:p>
              </w:tc>
              <w:tc>
                <w:tcPr>
                  <w:tcW w:w="3165" w:type="dxa"/>
                </w:tcPr>
                <w:p w14:paraId="6F60BB6B">
                  <w:pPr>
                    <w:pStyle w:val="86"/>
                  </w:pPr>
                  <w:r>
                    <w:rPr>
                      <w:rFonts w:hint="eastAsia"/>
                    </w:rPr>
                    <w:t>50</w:t>
                  </w:r>
                </w:p>
              </w:tc>
            </w:tr>
          </w:tbl>
          <w:p w14:paraId="2C981E6B">
            <w:pPr>
              <w:pStyle w:val="71"/>
              <w:adjustRightInd w:val="0"/>
              <w:ind w:firstLine="496" w:firstLineChars="0"/>
              <w:jc w:val="both"/>
              <w:rPr>
                <w:b/>
                <w:bCs/>
                <w:lang w:val="en-US"/>
              </w:rPr>
            </w:pPr>
            <w:r>
              <w:rPr>
                <w:rFonts w:hint="eastAsia"/>
                <w:b/>
                <w:bCs/>
                <w:lang w:val="en-US"/>
              </w:rPr>
              <w:t>2、污染物排放标准</w:t>
            </w:r>
          </w:p>
          <w:p w14:paraId="66A79DE6">
            <w:pPr>
              <w:pStyle w:val="71"/>
              <w:adjustRightInd w:val="0"/>
              <w:ind w:firstLine="496" w:firstLineChars="0"/>
              <w:jc w:val="both"/>
              <w:rPr>
                <w:b/>
                <w:bCs/>
                <w:lang w:val="en-US"/>
              </w:rPr>
            </w:pPr>
            <w:r>
              <w:rPr>
                <w:rFonts w:hint="eastAsia"/>
                <w:b/>
                <w:bCs/>
                <w:lang w:val="en-US"/>
              </w:rPr>
              <w:t>（1）大气污染物排放标准</w:t>
            </w:r>
          </w:p>
          <w:p w14:paraId="0FFB5854">
            <w:pPr>
              <w:pStyle w:val="71"/>
              <w:adjustRightInd w:val="0"/>
              <w:ind w:firstLine="496" w:firstLineChars="0"/>
              <w:jc w:val="both"/>
              <w:rPr>
                <w:lang w:val="en-US"/>
              </w:rPr>
            </w:pPr>
            <w:r>
              <w:rPr>
                <w:rFonts w:hint="eastAsia"/>
                <w:lang w:val="en-US"/>
              </w:rPr>
              <w:t>项目矿坑修复区施工大气污染物主要为无组织颗粒物，执行《大气污染物综合排放标准》（</w:t>
            </w:r>
            <w:r>
              <w:rPr>
                <w:lang w:val="en-US"/>
              </w:rPr>
              <w:t>GB16297-1996</w:t>
            </w:r>
            <w:r>
              <w:rPr>
                <w:rFonts w:hint="eastAsia"/>
                <w:lang w:val="en-US"/>
              </w:rPr>
              <w:t>）表2中无组织排放限值（</w:t>
            </w:r>
            <w:r>
              <w:rPr>
                <w:lang w:val="en-US"/>
              </w:rPr>
              <w:t>1.0mg/</w:t>
            </w:r>
            <w:r>
              <w:rPr>
                <w:rFonts w:hint="eastAsia"/>
                <w:lang w:val="en-US"/>
              </w:rPr>
              <w:t>m</w:t>
            </w:r>
            <w:r>
              <w:rPr>
                <w:rFonts w:hint="eastAsia"/>
                <w:vertAlign w:val="superscript"/>
                <w:lang w:val="en-US"/>
              </w:rPr>
              <w:t>3</w:t>
            </w:r>
            <w:r>
              <w:rPr>
                <w:rFonts w:hint="eastAsia"/>
                <w:lang w:val="en-US"/>
              </w:rPr>
              <w:t>），详见下表。</w:t>
            </w:r>
          </w:p>
          <w:p w14:paraId="532C0BC9">
            <w:pPr>
              <w:pStyle w:val="71"/>
              <w:adjustRightInd w:val="0"/>
              <w:spacing w:line="240" w:lineRule="auto"/>
              <w:ind w:firstLine="0" w:firstLineChars="0"/>
              <w:jc w:val="center"/>
              <w:rPr>
                <w:rFonts w:hint="eastAsia"/>
                <w:b/>
                <w:bCs/>
                <w:sz w:val="24"/>
                <w:szCs w:val="24"/>
                <w:lang w:val="en-US"/>
              </w:rPr>
            </w:pPr>
            <w:r>
              <w:rPr>
                <w:rFonts w:hint="eastAsia"/>
                <w:b/>
                <w:bCs/>
                <w:sz w:val="24"/>
                <w:szCs w:val="24"/>
                <w:lang w:val="en-US"/>
              </w:rPr>
              <w:t>表3-2</w:t>
            </w:r>
            <w:r>
              <w:rPr>
                <w:rFonts w:hint="eastAsia"/>
                <w:b/>
                <w:bCs/>
                <w:sz w:val="24"/>
                <w:szCs w:val="24"/>
                <w:lang w:val="en-US" w:eastAsia="zh-CN"/>
              </w:rPr>
              <w:t xml:space="preserve">3 </w:t>
            </w:r>
            <w:r>
              <w:rPr>
                <w:rFonts w:hint="eastAsia"/>
                <w:b/>
                <w:bCs/>
                <w:sz w:val="24"/>
                <w:szCs w:val="24"/>
                <w:lang w:val="en-US"/>
              </w:rPr>
              <w:t xml:space="preserve"> 大气污染物综合排放标准</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453"/>
              <w:gridCol w:w="3067"/>
              <w:gridCol w:w="2762"/>
            </w:tblGrid>
            <w:tr w14:paraId="47D571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pct"/>
                </w:tcPr>
                <w:p w14:paraId="24450A10">
                  <w:pPr>
                    <w:pStyle w:val="86"/>
                    <w:rPr>
                      <w:b/>
                      <w:bCs/>
                    </w:rPr>
                  </w:pPr>
                  <w:r>
                    <w:rPr>
                      <w:rFonts w:hint="eastAsia"/>
                      <w:b/>
                      <w:bCs/>
                    </w:rPr>
                    <w:t>污染物</w:t>
                  </w:r>
                </w:p>
              </w:tc>
              <w:tc>
                <w:tcPr>
                  <w:tcW w:w="1851" w:type="pct"/>
                </w:tcPr>
                <w:p w14:paraId="5D7E4B05">
                  <w:pPr>
                    <w:pStyle w:val="86"/>
                    <w:rPr>
                      <w:b/>
                      <w:bCs/>
                    </w:rPr>
                  </w:pPr>
                  <w:r>
                    <w:rPr>
                      <w:rFonts w:hint="eastAsia"/>
                      <w:b/>
                      <w:bCs/>
                    </w:rPr>
                    <w:t>无组织排放监控浓度限制</w:t>
                  </w:r>
                </w:p>
              </w:tc>
              <w:tc>
                <w:tcPr>
                  <w:tcW w:w="1667" w:type="pct"/>
                </w:tcPr>
                <w:p w14:paraId="4ACE3D4E">
                  <w:pPr>
                    <w:pStyle w:val="86"/>
                    <w:rPr>
                      <w:b/>
                      <w:bCs/>
                    </w:rPr>
                  </w:pPr>
                  <w:r>
                    <w:rPr>
                      <w:rFonts w:hint="eastAsia"/>
                      <w:b/>
                      <w:bCs/>
                    </w:rPr>
                    <w:t>监控点</w:t>
                  </w:r>
                </w:p>
              </w:tc>
            </w:tr>
            <w:tr w14:paraId="7BFB68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481" w:type="pct"/>
                </w:tcPr>
                <w:p w14:paraId="18AB21A0">
                  <w:pPr>
                    <w:pStyle w:val="86"/>
                  </w:pPr>
                  <w:r>
                    <w:rPr>
                      <w:rFonts w:hint="eastAsia"/>
                    </w:rPr>
                    <w:t>颗粒物</w:t>
                  </w:r>
                </w:p>
              </w:tc>
              <w:tc>
                <w:tcPr>
                  <w:tcW w:w="1851" w:type="pct"/>
                </w:tcPr>
                <w:p w14:paraId="7BCD2354">
                  <w:pPr>
                    <w:pStyle w:val="86"/>
                  </w:pPr>
                  <w:r>
                    <w:rPr>
                      <w:rFonts w:hint="eastAsia"/>
                    </w:rPr>
                    <w:t>1.0mg/m³</w:t>
                  </w:r>
                </w:p>
              </w:tc>
              <w:tc>
                <w:tcPr>
                  <w:tcW w:w="1667" w:type="pct"/>
                </w:tcPr>
                <w:p w14:paraId="6A5F422F">
                  <w:pPr>
                    <w:pStyle w:val="86"/>
                  </w:pPr>
                  <w:r>
                    <w:rPr>
                      <w:rFonts w:hint="eastAsia"/>
                    </w:rPr>
                    <w:t>周界外浓度最高点</w:t>
                  </w:r>
                </w:p>
              </w:tc>
            </w:tr>
          </w:tbl>
          <w:p w14:paraId="5B997874">
            <w:pPr>
              <w:pStyle w:val="71"/>
              <w:adjustRightInd w:val="0"/>
              <w:ind w:firstLine="496" w:firstLineChars="0"/>
              <w:jc w:val="both"/>
              <w:rPr>
                <w:b/>
                <w:bCs/>
                <w:lang w:val="en-US"/>
              </w:rPr>
            </w:pPr>
            <w:r>
              <w:rPr>
                <w:rFonts w:hint="eastAsia"/>
                <w:b/>
                <w:bCs/>
                <w:lang w:val="en-US"/>
              </w:rPr>
              <w:t>（2）噪声排放标准</w:t>
            </w:r>
          </w:p>
          <w:p w14:paraId="31896EA2">
            <w:pPr>
              <w:pStyle w:val="71"/>
              <w:adjustRightInd w:val="0"/>
              <w:ind w:firstLine="496" w:firstLineChars="0"/>
              <w:jc w:val="both"/>
              <w:rPr>
                <w:lang w:val="en-US"/>
              </w:rPr>
            </w:pPr>
            <w:r>
              <w:rPr>
                <w:rFonts w:hint="eastAsia"/>
                <w:lang w:val="en-US"/>
              </w:rPr>
              <w:t>项目施工期噪声排放执行《建筑施工场界环境噪声排放标准》（</w:t>
            </w:r>
            <w:r>
              <w:rPr>
                <w:lang w:val="en-US"/>
              </w:rPr>
              <w:t>GB12523-2011</w:t>
            </w:r>
            <w:r>
              <w:rPr>
                <w:rFonts w:hint="eastAsia"/>
                <w:lang w:val="en-US"/>
              </w:rPr>
              <w:t>）中表1规定的排放限值，标准限值见下表。</w:t>
            </w:r>
          </w:p>
          <w:p w14:paraId="67C167D8">
            <w:pPr>
              <w:pStyle w:val="71"/>
              <w:adjustRightInd w:val="0"/>
              <w:spacing w:line="240" w:lineRule="auto"/>
              <w:ind w:firstLine="0" w:firstLineChars="0"/>
              <w:jc w:val="center"/>
              <w:rPr>
                <w:rFonts w:hint="eastAsia"/>
                <w:b/>
                <w:bCs/>
                <w:sz w:val="24"/>
                <w:szCs w:val="24"/>
                <w:lang w:val="en-US"/>
              </w:rPr>
            </w:pPr>
            <w:r>
              <w:rPr>
                <w:rFonts w:hint="eastAsia"/>
                <w:b/>
                <w:bCs/>
                <w:sz w:val="24"/>
                <w:szCs w:val="24"/>
                <w:lang w:val="en-US"/>
              </w:rPr>
              <w:t>表3-2</w:t>
            </w:r>
            <w:r>
              <w:rPr>
                <w:rFonts w:hint="eastAsia"/>
                <w:b/>
                <w:bCs/>
                <w:sz w:val="24"/>
                <w:szCs w:val="24"/>
                <w:lang w:val="en-US" w:eastAsia="zh-CN"/>
              </w:rPr>
              <w:t xml:space="preserve">4 </w:t>
            </w:r>
            <w:r>
              <w:rPr>
                <w:rFonts w:hint="eastAsia"/>
                <w:b/>
                <w:bCs/>
                <w:sz w:val="24"/>
                <w:szCs w:val="24"/>
                <w:lang w:val="en-US"/>
              </w:rPr>
              <w:t xml:space="preserve"> 建筑施工场界环境噪声排放限值单位：dB（A）</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42"/>
              <w:gridCol w:w="4143"/>
            </w:tblGrid>
            <w:tr w14:paraId="2D81EC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3AE5D621">
                  <w:pPr>
                    <w:pStyle w:val="71"/>
                    <w:spacing w:line="240" w:lineRule="auto"/>
                    <w:ind w:firstLine="0" w:firstLineChars="0"/>
                    <w:jc w:val="center"/>
                    <w:rPr>
                      <w:b/>
                      <w:bCs/>
                      <w:sz w:val="21"/>
                      <w:szCs w:val="21"/>
                      <w:lang w:val="en-US" w:bidi="ar"/>
                    </w:rPr>
                  </w:pPr>
                  <w:r>
                    <w:rPr>
                      <w:rFonts w:hint="eastAsia"/>
                      <w:b/>
                      <w:bCs/>
                      <w:sz w:val="21"/>
                      <w:szCs w:val="21"/>
                      <w:lang w:val="en-US" w:bidi="ar"/>
                    </w:rPr>
                    <w:t>昼间</w:t>
                  </w:r>
                </w:p>
              </w:tc>
              <w:tc>
                <w:tcPr>
                  <w:tcW w:w="2500" w:type="pct"/>
                  <w:vAlign w:val="center"/>
                </w:tcPr>
                <w:p w14:paraId="39563A93">
                  <w:pPr>
                    <w:pStyle w:val="71"/>
                    <w:spacing w:line="240" w:lineRule="auto"/>
                    <w:ind w:firstLine="0" w:firstLineChars="0"/>
                    <w:jc w:val="center"/>
                    <w:rPr>
                      <w:b/>
                      <w:bCs/>
                      <w:sz w:val="21"/>
                      <w:szCs w:val="21"/>
                      <w:lang w:val="en-US" w:bidi="ar"/>
                    </w:rPr>
                  </w:pPr>
                  <w:r>
                    <w:rPr>
                      <w:rFonts w:hint="eastAsia"/>
                      <w:b/>
                      <w:bCs/>
                      <w:sz w:val="21"/>
                      <w:szCs w:val="21"/>
                      <w:lang w:val="en-US" w:bidi="ar"/>
                    </w:rPr>
                    <w:t>夜间</w:t>
                  </w:r>
                </w:p>
              </w:tc>
            </w:tr>
            <w:tr w14:paraId="558E1A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500" w:type="pct"/>
                  <w:vAlign w:val="center"/>
                </w:tcPr>
                <w:p w14:paraId="356B8699">
                  <w:pPr>
                    <w:pStyle w:val="71"/>
                    <w:spacing w:line="240" w:lineRule="auto"/>
                    <w:ind w:firstLine="0" w:firstLineChars="0"/>
                    <w:jc w:val="center"/>
                    <w:rPr>
                      <w:sz w:val="21"/>
                      <w:szCs w:val="21"/>
                      <w:lang w:val="en-US" w:bidi="ar"/>
                    </w:rPr>
                  </w:pPr>
                  <w:r>
                    <w:rPr>
                      <w:rFonts w:hint="eastAsia"/>
                      <w:sz w:val="21"/>
                      <w:szCs w:val="21"/>
                      <w:lang w:val="en-US" w:bidi="ar"/>
                    </w:rPr>
                    <w:t>70</w:t>
                  </w:r>
                </w:p>
              </w:tc>
              <w:tc>
                <w:tcPr>
                  <w:tcW w:w="2500" w:type="pct"/>
                  <w:vAlign w:val="center"/>
                </w:tcPr>
                <w:p w14:paraId="7C07BBAA">
                  <w:pPr>
                    <w:pStyle w:val="71"/>
                    <w:spacing w:line="240" w:lineRule="auto"/>
                    <w:ind w:firstLine="0" w:firstLineChars="0"/>
                    <w:jc w:val="center"/>
                    <w:rPr>
                      <w:sz w:val="21"/>
                      <w:szCs w:val="21"/>
                      <w:lang w:val="en-US" w:bidi="ar"/>
                    </w:rPr>
                  </w:pPr>
                  <w:r>
                    <w:rPr>
                      <w:rFonts w:hint="eastAsia"/>
                      <w:sz w:val="21"/>
                      <w:szCs w:val="21"/>
                      <w:lang w:val="en-US" w:bidi="ar"/>
                    </w:rPr>
                    <w:t>55</w:t>
                  </w:r>
                </w:p>
              </w:tc>
            </w:tr>
          </w:tbl>
          <w:p w14:paraId="4F82B859">
            <w:pPr>
              <w:pStyle w:val="71"/>
              <w:adjustRightInd w:val="0"/>
              <w:ind w:firstLine="496" w:firstLineChars="0"/>
              <w:jc w:val="both"/>
              <w:rPr>
                <w:b/>
                <w:bCs/>
                <w:lang w:val="en-US"/>
              </w:rPr>
            </w:pPr>
            <w:r>
              <w:rPr>
                <w:rFonts w:hint="eastAsia"/>
                <w:b/>
                <w:bCs/>
                <w:lang w:val="en-US"/>
              </w:rPr>
              <w:t>（3）废水</w:t>
            </w:r>
          </w:p>
          <w:p w14:paraId="04A3D153">
            <w:pPr>
              <w:pStyle w:val="71"/>
              <w:adjustRightInd w:val="0"/>
              <w:ind w:firstLine="496" w:firstLineChars="0"/>
              <w:jc w:val="both"/>
              <w:rPr>
                <w:lang w:val="en-US"/>
              </w:rPr>
            </w:pPr>
            <w:r>
              <w:rPr>
                <w:rFonts w:hint="eastAsia"/>
                <w:lang w:val="en-US"/>
              </w:rPr>
              <w:t>施工期施工车辆进出冲洗废水经临时沉淀池沉淀后回用于施工场地洒水降尘，不外排；养护用水经浸润吸收后，自然蒸发，无废水产生。生态修复回填区降雨形成的渗滤液经盲沟收集至渗滤液收集井及回用水池沉淀处理后回用于回填区洒水降尘。</w:t>
            </w:r>
          </w:p>
          <w:p w14:paraId="143BE79E">
            <w:pPr>
              <w:pStyle w:val="71"/>
              <w:adjustRightInd w:val="0"/>
              <w:ind w:firstLine="496" w:firstLineChars="0"/>
              <w:jc w:val="both"/>
              <w:rPr>
                <w:b/>
                <w:bCs/>
                <w:lang w:val="en-US"/>
              </w:rPr>
            </w:pPr>
            <w:r>
              <w:rPr>
                <w:rFonts w:hint="eastAsia"/>
                <w:b/>
                <w:bCs/>
                <w:lang w:val="en-US"/>
              </w:rPr>
              <w:t>（4）固体废物</w:t>
            </w:r>
          </w:p>
          <w:p w14:paraId="6B405BB9">
            <w:pPr>
              <w:pStyle w:val="71"/>
              <w:adjustRightInd w:val="0"/>
              <w:ind w:firstLine="496" w:firstLineChars="0"/>
              <w:jc w:val="both"/>
              <w:rPr>
                <w:lang w:val="en-US"/>
              </w:rPr>
            </w:pPr>
            <w:r>
              <w:rPr>
                <w:rFonts w:hint="eastAsia"/>
                <w:lang w:val="en-US"/>
              </w:rPr>
              <w:t>生活垃圾遵循无害化、减量化、资源化的原则，在项目区内设置带盖垃圾桶收集垃圾，定期把垃圾清运至最近村庄垃圾收集点处置。</w:t>
            </w:r>
          </w:p>
          <w:p w14:paraId="6DE6259E">
            <w:pPr>
              <w:pStyle w:val="71"/>
              <w:adjustRightInd w:val="0"/>
              <w:ind w:firstLine="496" w:firstLineChars="0"/>
              <w:jc w:val="both"/>
              <w:rPr>
                <w:lang w:val="en-US"/>
              </w:rPr>
            </w:pPr>
            <w:r>
              <w:rPr>
                <w:rFonts w:hint="eastAsia"/>
                <w:lang w:val="en-US"/>
              </w:rPr>
              <w:t>场地清理产生的土石方和沉淀池沉渣进行回填处置不外排。拆除工程产生的建筑垃圾清运至政府指定地点进行处置。</w:t>
            </w:r>
          </w:p>
          <w:p w14:paraId="01D39AEC">
            <w:pPr>
              <w:pStyle w:val="71"/>
              <w:adjustRightInd w:val="0"/>
              <w:ind w:firstLine="496" w:firstLineChars="0"/>
              <w:jc w:val="both"/>
              <w:rPr>
                <w:b/>
                <w:bCs/>
                <w:lang w:val="en-US"/>
              </w:rPr>
            </w:pPr>
            <w:r>
              <w:rPr>
                <w:rFonts w:hint="eastAsia"/>
                <w:b/>
                <w:bCs/>
                <w:lang w:val="en-US"/>
              </w:rPr>
              <w:t>（5）防渗控制标准</w:t>
            </w:r>
          </w:p>
          <w:p w14:paraId="4D0B3F72">
            <w:pPr>
              <w:pStyle w:val="71"/>
              <w:adjustRightInd w:val="0"/>
              <w:ind w:firstLine="496"/>
              <w:jc w:val="both"/>
              <w:rPr>
                <w:lang w:val="en-US"/>
              </w:rPr>
            </w:pPr>
            <w:r>
              <w:rPr>
                <w:rFonts w:hint="eastAsia"/>
                <w:lang w:val="en-US"/>
              </w:rPr>
              <w:t>项目回填时防渗工程应满足《改性磷石膏用于矿山废弃地生态修复回填技术规范》（DB53/T1269-2024）要求“</w:t>
            </w:r>
            <w:r>
              <w:rPr>
                <w:lang w:val="en-US"/>
              </w:rPr>
              <w:t>当矿山废弃地天然基础层饱和</w:t>
            </w:r>
            <w:r>
              <w:rPr>
                <w:rFonts w:hint="eastAsia"/>
                <w:lang w:val="en-US"/>
              </w:rPr>
              <w:t>渗透系数≤1.0×10</w:t>
            </w:r>
            <w:r>
              <w:rPr>
                <w:rFonts w:hint="eastAsia"/>
                <w:kern w:val="0"/>
                <w:vertAlign w:val="superscript"/>
                <w:lang w:val="en-US" w:bidi="ar"/>
              </w:rPr>
              <w:t>-</w:t>
            </w:r>
            <w:r>
              <w:rPr>
                <w:vertAlign w:val="superscript"/>
                <w:lang w:val="en-US"/>
              </w:rPr>
              <w:t>5</w:t>
            </w:r>
            <w:r>
              <w:rPr>
                <w:rFonts w:hint="eastAsia"/>
                <w:lang w:val="en-US"/>
              </w:rPr>
              <w:t>cm/s，且厚度</w:t>
            </w:r>
            <w:r>
              <w:rPr>
                <w:lang w:val="en-US"/>
              </w:rPr>
              <w:t>≥0.75m时，可采用天然</w:t>
            </w:r>
            <w:r>
              <w:rPr>
                <w:rFonts w:hint="eastAsia"/>
                <w:lang w:val="en-US"/>
              </w:rPr>
              <w:t>基础层作为防渗衬层。当天然基础层不满足上述防渗要求时，应采用改性压实粘土类衬层或具有同等以上隔水效力的其他材料防渗衬层，其防渗性能应至少相当于渗透系数为1.0×10</w:t>
            </w:r>
            <w:r>
              <w:rPr>
                <w:rFonts w:hint="eastAsia"/>
                <w:kern w:val="0"/>
                <w:vertAlign w:val="superscript"/>
                <w:lang w:val="en-US" w:bidi="ar"/>
              </w:rPr>
              <w:t>-</w:t>
            </w:r>
            <w:r>
              <w:rPr>
                <w:vertAlign w:val="superscript"/>
                <w:lang w:val="en-US"/>
              </w:rPr>
              <w:t>5</w:t>
            </w:r>
            <w:r>
              <w:rPr>
                <w:rFonts w:hint="eastAsia"/>
                <w:lang w:val="en-US"/>
              </w:rPr>
              <w:t>cm/s，且厚度为0.75m的天然基础层；回填区域应设置渗漏监控系统，监控防渗衬层的完整性；回填区域应设计截排水、渗滤液集排水、堤、坝、挡土墙、导流渠、渗滤液收集井等设施。回填区域竖向设计应结合原有地形，做到有利于雨污分流、优化土石方平衡。应建立检查维护制度，按季度检查维护上述设施，发现有损坏或异常，应及时采取必要措施，保障正常运行。”</w:t>
            </w:r>
          </w:p>
          <w:p w14:paraId="0E760A67">
            <w:pPr>
              <w:pStyle w:val="71"/>
              <w:adjustRightInd w:val="0"/>
              <w:ind w:firstLine="498"/>
              <w:jc w:val="both"/>
              <w:rPr>
                <w:b/>
                <w:bCs/>
                <w:lang w:val="en-US"/>
              </w:rPr>
            </w:pPr>
            <w:r>
              <w:rPr>
                <w:rFonts w:hint="eastAsia"/>
                <w:b/>
                <w:bCs/>
              </w:rPr>
              <w:t>（</w:t>
            </w:r>
            <w:r>
              <w:rPr>
                <w:rFonts w:hint="eastAsia"/>
                <w:b/>
                <w:bCs/>
                <w:lang w:val="en-US"/>
              </w:rPr>
              <w:t>6</w:t>
            </w:r>
            <w:r>
              <w:rPr>
                <w:rFonts w:hint="eastAsia"/>
                <w:b/>
                <w:bCs/>
              </w:rPr>
              <w:t>）</w:t>
            </w:r>
            <w:r>
              <w:rPr>
                <w:rFonts w:hint="eastAsia"/>
                <w:b/>
                <w:bCs/>
                <w:lang w:val="en-US"/>
              </w:rPr>
              <w:t>回填材料入场控制标准</w:t>
            </w:r>
          </w:p>
          <w:p w14:paraId="478096B8">
            <w:pPr>
              <w:pStyle w:val="71"/>
              <w:adjustRightInd w:val="0"/>
              <w:ind w:firstLine="496"/>
              <w:jc w:val="both"/>
              <w:rPr>
                <w:lang w:val="en-US"/>
              </w:rPr>
            </w:pPr>
            <w:r>
              <w:rPr>
                <w:rFonts w:hint="eastAsia"/>
                <w:lang w:val="en-US"/>
              </w:rPr>
              <w:t>项目采用改性磷石膏材料对</w:t>
            </w:r>
            <w:r>
              <w:rPr>
                <w:rFonts w:hint="eastAsia"/>
                <w:szCs w:val="21"/>
              </w:rPr>
              <w:t>大旋塘采石场</w:t>
            </w:r>
            <w:r>
              <w:rPr>
                <w:rFonts w:hint="eastAsia"/>
                <w:lang w:val="en-US"/>
              </w:rPr>
              <w:t>废弃矿坑进行回填修复，根据《磷石膏的处理处置规范》（GB/T 32124-2024）中6.5露天填充材料6.5.1.3和6.5.2.3中要求采用二水磷石膏和半水磷石膏植被的露天填充材料应按照GB 18599-2020中第一类一般工业固体废物制取浸出液，检测结果符合下表要求。</w:t>
            </w:r>
          </w:p>
          <w:p w14:paraId="3509E982">
            <w:pPr>
              <w:pStyle w:val="71"/>
              <w:adjustRightInd w:val="0"/>
              <w:spacing w:line="240" w:lineRule="auto"/>
              <w:ind w:firstLine="0" w:firstLineChars="0"/>
              <w:jc w:val="center"/>
              <w:rPr>
                <w:b/>
                <w:bCs/>
                <w:sz w:val="24"/>
                <w:szCs w:val="24"/>
                <w:lang w:val="en-US"/>
              </w:rPr>
            </w:pPr>
            <w:r>
              <w:rPr>
                <w:rFonts w:hint="eastAsia"/>
                <w:b/>
                <w:bCs/>
                <w:sz w:val="24"/>
                <w:szCs w:val="24"/>
                <w:lang w:val="en-US"/>
              </w:rPr>
              <w:t>表3-2</w:t>
            </w:r>
            <w:r>
              <w:rPr>
                <w:rFonts w:hint="eastAsia"/>
                <w:b/>
                <w:bCs/>
                <w:sz w:val="24"/>
                <w:szCs w:val="24"/>
                <w:lang w:val="en-US" w:eastAsia="zh-CN"/>
              </w:rPr>
              <w:t>5</w:t>
            </w:r>
            <w:r>
              <w:rPr>
                <w:rFonts w:hint="eastAsia"/>
                <w:b/>
                <w:bCs/>
                <w:sz w:val="24"/>
                <w:szCs w:val="24"/>
                <w:lang w:val="en-US"/>
              </w:rPr>
              <w:t xml:space="preserve"> </w:t>
            </w:r>
            <w:r>
              <w:rPr>
                <w:rFonts w:hint="eastAsia"/>
                <w:b/>
                <w:bCs/>
                <w:sz w:val="24"/>
                <w:szCs w:val="24"/>
                <w:lang w:val="en-US" w:eastAsia="zh-CN"/>
              </w:rPr>
              <w:t xml:space="preserve"> </w:t>
            </w:r>
            <w:r>
              <w:rPr>
                <w:rFonts w:hint="eastAsia"/>
                <w:b/>
                <w:bCs/>
                <w:sz w:val="24"/>
                <w:szCs w:val="24"/>
                <w:lang w:val="en-US"/>
              </w:rPr>
              <w:t>露天填充材料浸出液要求</w:t>
            </w:r>
          </w:p>
          <w:tbl>
            <w:tblPr>
              <w:tblStyle w:val="41"/>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15"/>
              <w:gridCol w:w="1959"/>
              <w:gridCol w:w="1962"/>
              <w:gridCol w:w="1447"/>
            </w:tblGrid>
            <w:tr w14:paraId="18643E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759" w:type="pct"/>
                </w:tcPr>
                <w:p w14:paraId="09EFA209">
                  <w:pPr>
                    <w:pStyle w:val="64"/>
                    <w:spacing w:beforeLines="0" w:afterLines="0" w:line="240" w:lineRule="auto"/>
                    <w:ind w:firstLine="0" w:firstLineChars="0"/>
                    <w:rPr>
                      <w:rFonts w:ascii="Times New Roman"/>
                      <w:b/>
                      <w:bCs/>
                      <w:sz w:val="21"/>
                      <w:lang w:bidi="ar"/>
                    </w:rPr>
                  </w:pPr>
                  <w:r>
                    <w:rPr>
                      <w:rFonts w:hint="eastAsia" w:ascii="Times New Roman"/>
                      <w:b/>
                      <w:bCs/>
                      <w:sz w:val="21"/>
                      <w:lang w:bidi="ar"/>
                    </w:rPr>
                    <w:t>项目</w:t>
                  </w:r>
                </w:p>
              </w:tc>
              <w:tc>
                <w:tcPr>
                  <w:tcW w:w="1182" w:type="pct"/>
                </w:tcPr>
                <w:p w14:paraId="6AE4B7AC">
                  <w:pPr>
                    <w:pStyle w:val="64"/>
                    <w:spacing w:beforeLines="0" w:afterLines="0" w:line="240" w:lineRule="auto"/>
                    <w:ind w:firstLine="0" w:firstLineChars="0"/>
                    <w:rPr>
                      <w:rFonts w:ascii="Times New Roman"/>
                      <w:b/>
                      <w:bCs/>
                      <w:sz w:val="21"/>
                      <w:lang w:bidi="ar"/>
                    </w:rPr>
                  </w:pPr>
                  <w:r>
                    <w:rPr>
                      <w:rFonts w:hint="eastAsia" w:ascii="Times New Roman"/>
                      <w:b/>
                      <w:bCs/>
                      <w:sz w:val="21"/>
                      <w:lang w:bidi="ar"/>
                    </w:rPr>
                    <w:t>单位</w:t>
                  </w:r>
                </w:p>
              </w:tc>
              <w:tc>
                <w:tcPr>
                  <w:tcW w:w="1184" w:type="pct"/>
                </w:tcPr>
                <w:p w14:paraId="79A32500">
                  <w:pPr>
                    <w:pStyle w:val="64"/>
                    <w:spacing w:beforeLines="0" w:afterLines="0" w:line="240" w:lineRule="auto"/>
                    <w:ind w:firstLine="0" w:firstLineChars="0"/>
                    <w:rPr>
                      <w:rFonts w:ascii="Times New Roman"/>
                      <w:b/>
                      <w:bCs/>
                      <w:sz w:val="21"/>
                      <w:lang w:bidi="ar"/>
                    </w:rPr>
                  </w:pPr>
                  <w:r>
                    <w:rPr>
                      <w:rFonts w:hint="eastAsia" w:ascii="Times New Roman"/>
                      <w:b/>
                      <w:bCs/>
                      <w:sz w:val="21"/>
                      <w:lang w:bidi="ar"/>
                    </w:rPr>
                    <w:t>指标</w:t>
                  </w:r>
                </w:p>
              </w:tc>
              <w:tc>
                <w:tcPr>
                  <w:tcW w:w="873" w:type="pct"/>
                </w:tcPr>
                <w:p w14:paraId="15DA3443">
                  <w:pPr>
                    <w:pStyle w:val="64"/>
                    <w:spacing w:beforeLines="0" w:afterLines="0" w:line="240" w:lineRule="auto"/>
                    <w:ind w:firstLine="0" w:firstLineChars="0"/>
                    <w:rPr>
                      <w:rFonts w:ascii="Times New Roman"/>
                      <w:b/>
                      <w:bCs/>
                      <w:sz w:val="21"/>
                      <w:lang w:bidi="ar"/>
                    </w:rPr>
                  </w:pPr>
                  <w:r>
                    <w:rPr>
                      <w:rFonts w:hint="eastAsia" w:ascii="Times New Roman"/>
                      <w:b/>
                      <w:bCs/>
                      <w:sz w:val="21"/>
                      <w:lang w:bidi="ar"/>
                    </w:rPr>
                    <w:t>分析方法</w:t>
                  </w:r>
                </w:p>
              </w:tc>
            </w:tr>
            <w:tr w14:paraId="0C5129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759" w:type="pct"/>
                </w:tcPr>
                <w:p w14:paraId="1CF3880F">
                  <w:pPr>
                    <w:pStyle w:val="64"/>
                    <w:spacing w:beforeLines="0" w:afterLines="0" w:line="240" w:lineRule="auto"/>
                    <w:ind w:firstLine="0" w:firstLineChars="0"/>
                    <w:rPr>
                      <w:rFonts w:ascii="Times New Roman"/>
                      <w:sz w:val="21"/>
                      <w:lang w:bidi="ar"/>
                    </w:rPr>
                  </w:pPr>
                  <w:r>
                    <w:rPr>
                      <w:rFonts w:hint="eastAsia" w:ascii="Times New Roman"/>
                      <w:sz w:val="21"/>
                      <w:lang w:bidi="ar"/>
                    </w:rPr>
                    <w:t>磷酸盐（以P计）</w:t>
                  </w:r>
                </w:p>
              </w:tc>
              <w:tc>
                <w:tcPr>
                  <w:tcW w:w="1182" w:type="pct"/>
                </w:tcPr>
                <w:p w14:paraId="3885CD54">
                  <w:pPr>
                    <w:pStyle w:val="64"/>
                    <w:spacing w:beforeLines="0" w:afterLines="0" w:line="240" w:lineRule="auto"/>
                    <w:ind w:firstLine="0" w:firstLineChars="0"/>
                    <w:rPr>
                      <w:rFonts w:ascii="Times New Roman"/>
                      <w:sz w:val="21"/>
                      <w:lang w:bidi="ar"/>
                    </w:rPr>
                  </w:pPr>
                  <w:r>
                    <w:rPr>
                      <w:rFonts w:hint="eastAsia" w:ascii="Times New Roman"/>
                      <w:sz w:val="21"/>
                      <w:lang w:bidi="ar"/>
                    </w:rPr>
                    <w:t>mg/L</w:t>
                  </w:r>
                </w:p>
              </w:tc>
              <w:tc>
                <w:tcPr>
                  <w:tcW w:w="1184" w:type="pct"/>
                </w:tcPr>
                <w:p w14:paraId="7ED5138A">
                  <w:pPr>
                    <w:pStyle w:val="64"/>
                    <w:spacing w:beforeLines="0" w:afterLines="0" w:line="240" w:lineRule="auto"/>
                    <w:ind w:firstLine="0" w:firstLineChars="0"/>
                    <w:rPr>
                      <w:rFonts w:ascii="Times New Roman"/>
                      <w:sz w:val="21"/>
                      <w:lang w:bidi="ar"/>
                    </w:rPr>
                  </w:pPr>
                  <w:r>
                    <w:rPr>
                      <w:rFonts w:hint="eastAsia" w:ascii="Times New Roman"/>
                      <w:sz w:val="21"/>
                      <w:lang w:bidi="ar"/>
                    </w:rPr>
                    <w:t>≤0.5</w:t>
                  </w:r>
                </w:p>
              </w:tc>
              <w:tc>
                <w:tcPr>
                  <w:tcW w:w="873" w:type="pct"/>
                  <w:vMerge w:val="restart"/>
                  <w:vAlign w:val="center"/>
                </w:tcPr>
                <w:p w14:paraId="767ED70F">
                  <w:pPr>
                    <w:pStyle w:val="64"/>
                    <w:spacing w:beforeLines="0" w:afterLines="0" w:line="240" w:lineRule="auto"/>
                    <w:ind w:firstLine="0" w:firstLineChars="0"/>
                    <w:rPr>
                      <w:rFonts w:ascii="Times New Roman"/>
                      <w:sz w:val="21"/>
                      <w:lang w:bidi="ar"/>
                    </w:rPr>
                  </w:pPr>
                  <w:r>
                    <w:rPr>
                      <w:rFonts w:hint="eastAsia" w:ascii="Times New Roman"/>
                      <w:sz w:val="21"/>
                      <w:lang w:bidi="ar"/>
                    </w:rPr>
                    <w:t>GB  8978</w:t>
                  </w:r>
                </w:p>
              </w:tc>
            </w:tr>
            <w:tr w14:paraId="15F828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759" w:type="pct"/>
                </w:tcPr>
                <w:p w14:paraId="47D71B83">
                  <w:pPr>
                    <w:pStyle w:val="64"/>
                    <w:spacing w:beforeLines="0" w:afterLines="0" w:line="240" w:lineRule="auto"/>
                    <w:ind w:firstLine="0" w:firstLineChars="0"/>
                    <w:rPr>
                      <w:rFonts w:ascii="Times New Roman"/>
                      <w:sz w:val="21"/>
                      <w:lang w:bidi="ar"/>
                    </w:rPr>
                  </w:pPr>
                  <w:r>
                    <w:rPr>
                      <w:rFonts w:hint="eastAsia" w:ascii="Times New Roman"/>
                      <w:sz w:val="21"/>
                      <w:lang w:bidi="ar"/>
                    </w:rPr>
                    <w:t>氟化物（以F计）</w:t>
                  </w:r>
                </w:p>
              </w:tc>
              <w:tc>
                <w:tcPr>
                  <w:tcW w:w="1182" w:type="pct"/>
                </w:tcPr>
                <w:p w14:paraId="701348AC">
                  <w:pPr>
                    <w:pStyle w:val="64"/>
                    <w:spacing w:beforeLines="0" w:afterLines="0" w:line="240" w:lineRule="auto"/>
                    <w:ind w:firstLine="0" w:firstLineChars="0"/>
                    <w:rPr>
                      <w:rFonts w:ascii="Times New Roman"/>
                      <w:sz w:val="21"/>
                      <w:lang w:bidi="ar"/>
                    </w:rPr>
                  </w:pPr>
                  <w:r>
                    <w:rPr>
                      <w:rFonts w:hint="eastAsia" w:ascii="Times New Roman"/>
                      <w:sz w:val="21"/>
                      <w:lang w:bidi="ar"/>
                    </w:rPr>
                    <w:t>mg/L</w:t>
                  </w:r>
                </w:p>
              </w:tc>
              <w:tc>
                <w:tcPr>
                  <w:tcW w:w="1184" w:type="pct"/>
                </w:tcPr>
                <w:p w14:paraId="2CF1FA6A">
                  <w:pPr>
                    <w:pStyle w:val="64"/>
                    <w:spacing w:beforeLines="0" w:afterLines="0" w:line="240" w:lineRule="auto"/>
                    <w:ind w:firstLine="0" w:firstLineChars="0"/>
                    <w:rPr>
                      <w:rFonts w:ascii="Times New Roman"/>
                      <w:sz w:val="21"/>
                      <w:lang w:bidi="ar"/>
                    </w:rPr>
                  </w:pPr>
                  <w:r>
                    <w:rPr>
                      <w:rFonts w:hint="eastAsia" w:ascii="Times New Roman"/>
                      <w:sz w:val="21"/>
                      <w:lang w:bidi="ar"/>
                    </w:rPr>
                    <w:t>≤10</w:t>
                  </w:r>
                </w:p>
              </w:tc>
              <w:tc>
                <w:tcPr>
                  <w:tcW w:w="873" w:type="pct"/>
                  <w:vMerge w:val="continue"/>
                </w:tcPr>
                <w:p w14:paraId="5DCECCDA">
                  <w:pPr>
                    <w:pStyle w:val="64"/>
                    <w:spacing w:beforeLines="0" w:afterLines="0" w:line="240" w:lineRule="auto"/>
                    <w:ind w:firstLine="0" w:firstLineChars="0"/>
                    <w:rPr>
                      <w:rFonts w:ascii="Times New Roman"/>
                      <w:sz w:val="21"/>
                      <w:lang w:bidi="ar"/>
                    </w:rPr>
                  </w:pPr>
                </w:p>
              </w:tc>
            </w:tr>
            <w:tr w14:paraId="1399BB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759" w:type="pct"/>
                </w:tcPr>
                <w:p w14:paraId="739A33CC">
                  <w:pPr>
                    <w:pStyle w:val="64"/>
                    <w:spacing w:beforeLines="0" w:afterLines="0" w:line="240" w:lineRule="auto"/>
                    <w:ind w:firstLine="0" w:firstLineChars="0"/>
                    <w:rPr>
                      <w:rFonts w:ascii="Times New Roman"/>
                      <w:sz w:val="21"/>
                      <w:lang w:bidi="ar"/>
                    </w:rPr>
                  </w:pPr>
                  <w:r>
                    <w:rPr>
                      <w:rFonts w:hint="eastAsia" w:ascii="Times New Roman"/>
                      <w:sz w:val="21"/>
                      <w:lang w:bidi="ar"/>
                    </w:rPr>
                    <w:t>总汞（Hg）</w:t>
                  </w:r>
                </w:p>
              </w:tc>
              <w:tc>
                <w:tcPr>
                  <w:tcW w:w="1182" w:type="pct"/>
                </w:tcPr>
                <w:p w14:paraId="1C778ADE">
                  <w:pPr>
                    <w:pStyle w:val="64"/>
                    <w:spacing w:beforeLines="0" w:afterLines="0" w:line="240" w:lineRule="auto"/>
                    <w:ind w:firstLine="0" w:firstLineChars="0"/>
                    <w:rPr>
                      <w:rFonts w:ascii="Times New Roman"/>
                      <w:sz w:val="21"/>
                      <w:lang w:bidi="ar"/>
                    </w:rPr>
                  </w:pPr>
                  <w:r>
                    <w:rPr>
                      <w:rFonts w:hint="eastAsia" w:ascii="Times New Roman"/>
                      <w:sz w:val="21"/>
                      <w:lang w:bidi="ar"/>
                    </w:rPr>
                    <w:t>mg/L</w:t>
                  </w:r>
                </w:p>
              </w:tc>
              <w:tc>
                <w:tcPr>
                  <w:tcW w:w="1184" w:type="pct"/>
                </w:tcPr>
                <w:p w14:paraId="5D4ED6BA">
                  <w:pPr>
                    <w:pStyle w:val="64"/>
                    <w:spacing w:beforeLines="0" w:afterLines="0" w:line="240" w:lineRule="auto"/>
                    <w:ind w:firstLine="0" w:firstLineChars="0"/>
                    <w:rPr>
                      <w:rFonts w:ascii="Times New Roman"/>
                      <w:sz w:val="21"/>
                      <w:lang w:bidi="ar"/>
                    </w:rPr>
                  </w:pPr>
                  <w:r>
                    <w:rPr>
                      <w:rFonts w:hint="eastAsia" w:ascii="Times New Roman"/>
                      <w:sz w:val="21"/>
                      <w:lang w:bidi="ar"/>
                    </w:rPr>
                    <w:t>≤0.05</w:t>
                  </w:r>
                </w:p>
              </w:tc>
              <w:tc>
                <w:tcPr>
                  <w:tcW w:w="873" w:type="pct"/>
                  <w:vMerge w:val="continue"/>
                </w:tcPr>
                <w:p w14:paraId="48B5E120">
                  <w:pPr>
                    <w:pStyle w:val="64"/>
                    <w:spacing w:beforeLines="0" w:afterLines="0" w:line="240" w:lineRule="auto"/>
                    <w:ind w:firstLine="0" w:firstLineChars="0"/>
                    <w:rPr>
                      <w:rFonts w:ascii="Times New Roman"/>
                      <w:sz w:val="21"/>
                      <w:lang w:bidi="ar"/>
                    </w:rPr>
                  </w:pPr>
                </w:p>
              </w:tc>
            </w:tr>
            <w:tr w14:paraId="25AAC2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759" w:type="pct"/>
                </w:tcPr>
                <w:p w14:paraId="53BF17D2">
                  <w:pPr>
                    <w:pStyle w:val="64"/>
                    <w:spacing w:beforeLines="0" w:afterLines="0" w:line="240" w:lineRule="auto"/>
                    <w:ind w:firstLine="0" w:firstLineChars="0"/>
                    <w:rPr>
                      <w:rFonts w:ascii="Times New Roman"/>
                      <w:sz w:val="21"/>
                      <w:lang w:bidi="ar"/>
                    </w:rPr>
                  </w:pPr>
                  <w:r>
                    <w:rPr>
                      <w:rFonts w:hint="eastAsia" w:ascii="Times New Roman"/>
                      <w:sz w:val="21"/>
                      <w:lang w:bidi="ar"/>
                    </w:rPr>
                    <w:t>总镉（Cd）</w:t>
                  </w:r>
                </w:p>
              </w:tc>
              <w:tc>
                <w:tcPr>
                  <w:tcW w:w="1182" w:type="pct"/>
                </w:tcPr>
                <w:p w14:paraId="131279F8">
                  <w:pPr>
                    <w:pStyle w:val="64"/>
                    <w:spacing w:beforeLines="0" w:afterLines="0" w:line="240" w:lineRule="auto"/>
                    <w:ind w:firstLine="0" w:firstLineChars="0"/>
                    <w:rPr>
                      <w:rFonts w:ascii="Times New Roman"/>
                      <w:sz w:val="21"/>
                      <w:lang w:bidi="ar"/>
                    </w:rPr>
                  </w:pPr>
                  <w:r>
                    <w:rPr>
                      <w:rFonts w:hint="eastAsia" w:ascii="Times New Roman"/>
                      <w:sz w:val="21"/>
                      <w:lang w:bidi="ar"/>
                    </w:rPr>
                    <w:t>mg/L</w:t>
                  </w:r>
                </w:p>
              </w:tc>
              <w:tc>
                <w:tcPr>
                  <w:tcW w:w="1184" w:type="pct"/>
                </w:tcPr>
                <w:p w14:paraId="3DD42B76">
                  <w:pPr>
                    <w:pStyle w:val="64"/>
                    <w:spacing w:beforeLines="0" w:afterLines="0" w:line="240" w:lineRule="auto"/>
                    <w:ind w:firstLine="0" w:firstLineChars="0"/>
                    <w:rPr>
                      <w:rFonts w:ascii="Times New Roman"/>
                      <w:sz w:val="21"/>
                      <w:lang w:bidi="ar"/>
                    </w:rPr>
                  </w:pPr>
                  <w:r>
                    <w:rPr>
                      <w:rFonts w:hint="eastAsia" w:ascii="Times New Roman"/>
                      <w:sz w:val="21"/>
                      <w:lang w:bidi="ar"/>
                    </w:rPr>
                    <w:t>≤0.1</w:t>
                  </w:r>
                </w:p>
              </w:tc>
              <w:tc>
                <w:tcPr>
                  <w:tcW w:w="873" w:type="pct"/>
                  <w:vMerge w:val="continue"/>
                </w:tcPr>
                <w:p w14:paraId="0D3E31B0">
                  <w:pPr>
                    <w:pStyle w:val="64"/>
                    <w:spacing w:beforeLines="0" w:afterLines="0" w:line="240" w:lineRule="auto"/>
                    <w:ind w:firstLine="0" w:firstLineChars="0"/>
                    <w:rPr>
                      <w:rFonts w:ascii="Times New Roman"/>
                      <w:sz w:val="21"/>
                      <w:lang w:bidi="ar"/>
                    </w:rPr>
                  </w:pPr>
                </w:p>
              </w:tc>
            </w:tr>
            <w:tr w14:paraId="189794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759" w:type="pct"/>
                </w:tcPr>
                <w:p w14:paraId="4A95408D">
                  <w:pPr>
                    <w:pStyle w:val="64"/>
                    <w:spacing w:beforeLines="0" w:afterLines="0" w:line="240" w:lineRule="auto"/>
                    <w:ind w:firstLine="0" w:firstLineChars="0"/>
                    <w:rPr>
                      <w:rFonts w:ascii="Times New Roman"/>
                      <w:sz w:val="21"/>
                      <w:lang w:bidi="ar"/>
                    </w:rPr>
                  </w:pPr>
                  <w:r>
                    <w:rPr>
                      <w:rFonts w:hint="eastAsia" w:ascii="Times New Roman"/>
                      <w:sz w:val="21"/>
                      <w:lang w:bidi="ar"/>
                    </w:rPr>
                    <w:t>总铬（Cr）</w:t>
                  </w:r>
                </w:p>
              </w:tc>
              <w:tc>
                <w:tcPr>
                  <w:tcW w:w="1182" w:type="pct"/>
                </w:tcPr>
                <w:p w14:paraId="00E74A00">
                  <w:pPr>
                    <w:pStyle w:val="64"/>
                    <w:spacing w:beforeLines="0" w:afterLines="0" w:line="240" w:lineRule="auto"/>
                    <w:ind w:firstLine="0" w:firstLineChars="0"/>
                    <w:rPr>
                      <w:rFonts w:ascii="Times New Roman"/>
                      <w:sz w:val="21"/>
                      <w:lang w:bidi="ar"/>
                    </w:rPr>
                  </w:pPr>
                  <w:r>
                    <w:rPr>
                      <w:rFonts w:hint="eastAsia" w:ascii="Times New Roman"/>
                      <w:sz w:val="21"/>
                      <w:lang w:bidi="ar"/>
                    </w:rPr>
                    <w:t>mg/L</w:t>
                  </w:r>
                </w:p>
              </w:tc>
              <w:tc>
                <w:tcPr>
                  <w:tcW w:w="1184" w:type="pct"/>
                </w:tcPr>
                <w:p w14:paraId="4494FD89">
                  <w:pPr>
                    <w:pStyle w:val="64"/>
                    <w:spacing w:beforeLines="0" w:afterLines="0" w:line="240" w:lineRule="auto"/>
                    <w:ind w:firstLine="0" w:firstLineChars="0"/>
                    <w:rPr>
                      <w:rFonts w:ascii="Times New Roman"/>
                      <w:sz w:val="21"/>
                      <w:lang w:bidi="ar"/>
                    </w:rPr>
                  </w:pPr>
                  <w:r>
                    <w:rPr>
                      <w:rFonts w:hint="eastAsia" w:ascii="Times New Roman"/>
                      <w:sz w:val="21"/>
                      <w:lang w:bidi="ar"/>
                    </w:rPr>
                    <w:t>≤1.5</w:t>
                  </w:r>
                </w:p>
              </w:tc>
              <w:tc>
                <w:tcPr>
                  <w:tcW w:w="873" w:type="pct"/>
                  <w:vMerge w:val="continue"/>
                </w:tcPr>
                <w:p w14:paraId="08243880">
                  <w:pPr>
                    <w:pStyle w:val="64"/>
                    <w:spacing w:beforeLines="0" w:afterLines="0" w:line="240" w:lineRule="auto"/>
                    <w:ind w:firstLine="0" w:firstLineChars="0"/>
                    <w:rPr>
                      <w:rFonts w:ascii="Times New Roman"/>
                      <w:sz w:val="21"/>
                      <w:lang w:bidi="ar"/>
                    </w:rPr>
                  </w:pPr>
                </w:p>
              </w:tc>
            </w:tr>
            <w:tr w14:paraId="6DC8D5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759" w:type="pct"/>
                </w:tcPr>
                <w:p w14:paraId="4DACDCA8">
                  <w:pPr>
                    <w:pStyle w:val="64"/>
                    <w:spacing w:beforeLines="0" w:afterLines="0" w:line="240" w:lineRule="auto"/>
                    <w:ind w:firstLine="0" w:firstLineChars="0"/>
                    <w:rPr>
                      <w:rFonts w:ascii="Times New Roman"/>
                      <w:sz w:val="21"/>
                      <w:lang w:bidi="ar"/>
                    </w:rPr>
                  </w:pPr>
                  <w:r>
                    <w:rPr>
                      <w:rFonts w:hint="eastAsia" w:ascii="Times New Roman"/>
                      <w:sz w:val="21"/>
                      <w:lang w:bidi="ar"/>
                    </w:rPr>
                    <w:t>总砷（As）</w:t>
                  </w:r>
                </w:p>
              </w:tc>
              <w:tc>
                <w:tcPr>
                  <w:tcW w:w="1182" w:type="pct"/>
                </w:tcPr>
                <w:p w14:paraId="0DE525BA">
                  <w:pPr>
                    <w:pStyle w:val="64"/>
                    <w:spacing w:beforeLines="0" w:afterLines="0" w:line="240" w:lineRule="auto"/>
                    <w:ind w:firstLine="0" w:firstLineChars="0"/>
                    <w:rPr>
                      <w:rFonts w:ascii="Times New Roman"/>
                      <w:sz w:val="21"/>
                      <w:lang w:bidi="ar"/>
                    </w:rPr>
                  </w:pPr>
                  <w:r>
                    <w:rPr>
                      <w:rFonts w:hint="eastAsia" w:ascii="Times New Roman"/>
                      <w:sz w:val="21"/>
                      <w:lang w:bidi="ar"/>
                    </w:rPr>
                    <w:t>mg/L</w:t>
                  </w:r>
                </w:p>
              </w:tc>
              <w:tc>
                <w:tcPr>
                  <w:tcW w:w="1184" w:type="pct"/>
                </w:tcPr>
                <w:p w14:paraId="52589617">
                  <w:pPr>
                    <w:pStyle w:val="64"/>
                    <w:spacing w:beforeLines="0" w:afterLines="0" w:line="240" w:lineRule="auto"/>
                    <w:ind w:firstLine="0" w:firstLineChars="0"/>
                    <w:rPr>
                      <w:rFonts w:ascii="Times New Roman"/>
                      <w:sz w:val="21"/>
                      <w:lang w:bidi="ar"/>
                    </w:rPr>
                  </w:pPr>
                  <w:r>
                    <w:rPr>
                      <w:rFonts w:hint="eastAsia" w:ascii="Times New Roman"/>
                      <w:sz w:val="21"/>
                      <w:lang w:bidi="ar"/>
                    </w:rPr>
                    <w:t>≤0.5</w:t>
                  </w:r>
                </w:p>
              </w:tc>
              <w:tc>
                <w:tcPr>
                  <w:tcW w:w="873" w:type="pct"/>
                  <w:vMerge w:val="continue"/>
                </w:tcPr>
                <w:p w14:paraId="756D8955">
                  <w:pPr>
                    <w:pStyle w:val="64"/>
                    <w:spacing w:beforeLines="0" w:afterLines="0" w:line="240" w:lineRule="auto"/>
                    <w:ind w:firstLine="0" w:firstLineChars="0"/>
                    <w:rPr>
                      <w:rFonts w:ascii="Times New Roman"/>
                      <w:sz w:val="21"/>
                      <w:lang w:bidi="ar"/>
                    </w:rPr>
                  </w:pPr>
                </w:p>
              </w:tc>
            </w:tr>
            <w:tr w14:paraId="4F170A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759" w:type="pct"/>
                </w:tcPr>
                <w:p w14:paraId="13133887">
                  <w:pPr>
                    <w:pStyle w:val="64"/>
                    <w:spacing w:beforeLines="0" w:afterLines="0" w:line="240" w:lineRule="auto"/>
                    <w:ind w:firstLine="0" w:firstLineChars="0"/>
                    <w:rPr>
                      <w:rFonts w:ascii="Times New Roman"/>
                      <w:sz w:val="21"/>
                      <w:lang w:bidi="ar"/>
                    </w:rPr>
                  </w:pPr>
                  <w:r>
                    <w:rPr>
                      <w:rFonts w:hint="eastAsia" w:ascii="Times New Roman"/>
                      <w:sz w:val="21"/>
                      <w:lang w:bidi="ar"/>
                    </w:rPr>
                    <w:t>总铅（Pb）</w:t>
                  </w:r>
                </w:p>
              </w:tc>
              <w:tc>
                <w:tcPr>
                  <w:tcW w:w="1182" w:type="pct"/>
                </w:tcPr>
                <w:p w14:paraId="5414BCE5">
                  <w:pPr>
                    <w:pStyle w:val="64"/>
                    <w:spacing w:beforeLines="0" w:afterLines="0" w:line="240" w:lineRule="auto"/>
                    <w:ind w:firstLine="0" w:firstLineChars="0"/>
                    <w:rPr>
                      <w:rFonts w:ascii="Times New Roman"/>
                      <w:sz w:val="21"/>
                      <w:lang w:bidi="ar"/>
                    </w:rPr>
                  </w:pPr>
                  <w:r>
                    <w:rPr>
                      <w:rFonts w:hint="eastAsia" w:ascii="Times New Roman"/>
                      <w:sz w:val="21"/>
                      <w:lang w:bidi="ar"/>
                    </w:rPr>
                    <w:t>mg/L</w:t>
                  </w:r>
                </w:p>
              </w:tc>
              <w:tc>
                <w:tcPr>
                  <w:tcW w:w="1184" w:type="pct"/>
                </w:tcPr>
                <w:p w14:paraId="1DC0F28C">
                  <w:pPr>
                    <w:pStyle w:val="64"/>
                    <w:spacing w:beforeLines="0" w:afterLines="0" w:line="240" w:lineRule="auto"/>
                    <w:ind w:firstLine="0" w:firstLineChars="0"/>
                    <w:rPr>
                      <w:rFonts w:ascii="Times New Roman"/>
                      <w:sz w:val="21"/>
                      <w:lang w:bidi="ar"/>
                    </w:rPr>
                  </w:pPr>
                  <w:r>
                    <w:rPr>
                      <w:rFonts w:hint="eastAsia" w:ascii="Times New Roman"/>
                      <w:sz w:val="21"/>
                      <w:lang w:bidi="ar"/>
                    </w:rPr>
                    <w:t>≤1.0</w:t>
                  </w:r>
                </w:p>
              </w:tc>
              <w:tc>
                <w:tcPr>
                  <w:tcW w:w="873" w:type="pct"/>
                  <w:vMerge w:val="continue"/>
                </w:tcPr>
                <w:p w14:paraId="4F9E2C8B">
                  <w:pPr>
                    <w:pStyle w:val="64"/>
                    <w:spacing w:beforeLines="0" w:afterLines="0" w:line="240" w:lineRule="auto"/>
                    <w:ind w:firstLine="0" w:firstLineChars="0"/>
                    <w:rPr>
                      <w:rFonts w:ascii="Times New Roman"/>
                      <w:sz w:val="21"/>
                      <w:lang w:bidi="ar"/>
                    </w:rPr>
                  </w:pPr>
                </w:p>
              </w:tc>
            </w:tr>
            <w:tr w14:paraId="4001DC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jc w:val="center"/>
              </w:trPr>
              <w:tc>
                <w:tcPr>
                  <w:tcW w:w="1759" w:type="pct"/>
                </w:tcPr>
                <w:p w14:paraId="264C3415">
                  <w:pPr>
                    <w:pStyle w:val="64"/>
                    <w:spacing w:beforeLines="0" w:afterLines="0" w:line="240" w:lineRule="auto"/>
                    <w:ind w:firstLine="0" w:firstLineChars="0"/>
                    <w:rPr>
                      <w:rFonts w:ascii="Times New Roman"/>
                      <w:sz w:val="21"/>
                      <w:lang w:bidi="ar"/>
                    </w:rPr>
                  </w:pPr>
                  <w:r>
                    <w:rPr>
                      <w:rFonts w:hint="eastAsia" w:ascii="Times New Roman"/>
                      <w:sz w:val="21"/>
                      <w:lang w:bidi="ar"/>
                    </w:rPr>
                    <w:t>pH</w:t>
                  </w:r>
                </w:p>
              </w:tc>
              <w:tc>
                <w:tcPr>
                  <w:tcW w:w="1182" w:type="pct"/>
                </w:tcPr>
                <w:p w14:paraId="7F6302B0">
                  <w:pPr>
                    <w:pStyle w:val="64"/>
                    <w:spacing w:beforeLines="0" w:afterLines="0" w:line="240" w:lineRule="auto"/>
                    <w:ind w:firstLine="0" w:firstLineChars="0"/>
                    <w:rPr>
                      <w:rFonts w:ascii="Times New Roman"/>
                      <w:sz w:val="21"/>
                      <w:lang w:bidi="ar"/>
                    </w:rPr>
                  </w:pPr>
                  <w:r>
                    <w:rPr>
                      <w:rFonts w:hint="eastAsia" w:ascii="Times New Roman"/>
                      <w:sz w:val="21"/>
                      <w:lang w:bidi="ar"/>
                    </w:rPr>
                    <w:t>—</w:t>
                  </w:r>
                </w:p>
              </w:tc>
              <w:tc>
                <w:tcPr>
                  <w:tcW w:w="1184" w:type="pct"/>
                </w:tcPr>
                <w:p w14:paraId="41E18401">
                  <w:pPr>
                    <w:pStyle w:val="64"/>
                    <w:spacing w:beforeLines="0" w:afterLines="0" w:line="240" w:lineRule="auto"/>
                    <w:ind w:firstLine="0" w:firstLineChars="0"/>
                    <w:rPr>
                      <w:rFonts w:ascii="Times New Roman"/>
                      <w:sz w:val="21"/>
                      <w:lang w:bidi="ar"/>
                    </w:rPr>
                  </w:pPr>
                  <w:r>
                    <w:rPr>
                      <w:rFonts w:hint="eastAsia" w:ascii="Times New Roman"/>
                      <w:sz w:val="21"/>
                      <w:lang w:bidi="ar"/>
                    </w:rPr>
                    <w:t>6~9</w:t>
                  </w:r>
                </w:p>
              </w:tc>
              <w:tc>
                <w:tcPr>
                  <w:tcW w:w="873" w:type="pct"/>
                  <w:vMerge w:val="continue"/>
                </w:tcPr>
                <w:p w14:paraId="0AD87A0C">
                  <w:pPr>
                    <w:pStyle w:val="64"/>
                    <w:spacing w:beforeLines="0" w:afterLines="0" w:line="240" w:lineRule="auto"/>
                    <w:ind w:firstLine="0" w:firstLineChars="0"/>
                    <w:rPr>
                      <w:rFonts w:ascii="Times New Roman"/>
                      <w:sz w:val="21"/>
                      <w:lang w:bidi="ar"/>
                    </w:rPr>
                  </w:pPr>
                </w:p>
              </w:tc>
            </w:tr>
          </w:tbl>
          <w:p w14:paraId="70B2F07F">
            <w:pPr>
              <w:pStyle w:val="71"/>
              <w:adjustRightInd w:val="0"/>
              <w:ind w:firstLine="496"/>
              <w:jc w:val="both"/>
              <w:rPr>
                <w:lang w:val="en-US"/>
              </w:rPr>
            </w:pPr>
            <w:r>
              <w:rPr>
                <w:rFonts w:hint="eastAsia"/>
                <w:lang w:val="en-US"/>
              </w:rPr>
              <w:t>根据《改性磷石膏用于矿山废弃地生态修复回填技术规范》（DB53/T1269-2024）中相关要求，项目使用的改性磷石膏材料需要满足“</w:t>
            </w:r>
            <w:r>
              <w:rPr>
                <w:rFonts w:hint="eastAsia"/>
                <w:kern w:val="0"/>
                <w:lang w:val="en-US" w:bidi="ar"/>
              </w:rPr>
              <w:t>按照HJ557规定方法制备改性磷石膏浸出液中任何一种特征污染物浓度均不应超过GB 8978最高允许排放浓度（第二类污染物最高允许排放浓度按照一级标准执行）</w:t>
            </w:r>
            <w:r>
              <w:rPr>
                <w:rFonts w:hint="eastAsia"/>
                <w:lang w:val="en-US"/>
              </w:rPr>
              <w:t>”标准才可进行回填，具体指标见下表。</w:t>
            </w:r>
          </w:p>
          <w:p w14:paraId="0B47E891">
            <w:pPr>
              <w:pStyle w:val="71"/>
              <w:adjustRightInd w:val="0"/>
              <w:spacing w:line="240" w:lineRule="auto"/>
              <w:ind w:firstLine="0" w:firstLineChars="0"/>
              <w:jc w:val="center"/>
              <w:rPr>
                <w:b/>
                <w:bCs/>
                <w:sz w:val="24"/>
                <w:szCs w:val="24"/>
                <w:lang w:val="en-US"/>
              </w:rPr>
            </w:pPr>
            <w:r>
              <w:rPr>
                <w:rFonts w:hint="eastAsia"/>
                <w:b/>
                <w:bCs/>
                <w:sz w:val="24"/>
                <w:szCs w:val="24"/>
                <w:lang w:val="en-US"/>
              </w:rPr>
              <w:t>表3-2</w:t>
            </w:r>
            <w:r>
              <w:rPr>
                <w:rFonts w:hint="eastAsia"/>
                <w:b/>
                <w:bCs/>
                <w:sz w:val="24"/>
                <w:szCs w:val="24"/>
                <w:lang w:val="en-US" w:eastAsia="zh-CN"/>
              </w:rPr>
              <w:t>6</w:t>
            </w:r>
            <w:r>
              <w:rPr>
                <w:rFonts w:hint="eastAsia"/>
                <w:b/>
                <w:bCs/>
                <w:sz w:val="24"/>
                <w:szCs w:val="24"/>
                <w:lang w:val="en-US"/>
              </w:rPr>
              <w:t xml:space="preserve"> </w:t>
            </w:r>
            <w:r>
              <w:rPr>
                <w:rFonts w:hint="eastAsia"/>
                <w:b/>
                <w:bCs/>
                <w:sz w:val="24"/>
                <w:szCs w:val="24"/>
                <w:lang w:val="en-US" w:eastAsia="zh-CN"/>
              </w:rPr>
              <w:t xml:space="preserve"> </w:t>
            </w:r>
            <w:r>
              <w:rPr>
                <w:rFonts w:hint="eastAsia"/>
                <w:b/>
                <w:bCs/>
                <w:sz w:val="24"/>
                <w:szCs w:val="24"/>
                <w:lang w:val="en-US"/>
              </w:rPr>
              <w:t>改性磷石膏浸出液标准</w:t>
            </w:r>
          </w:p>
          <w:tbl>
            <w:tblPr>
              <w:tblStyle w:val="4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1"/>
              <w:gridCol w:w="2761"/>
              <w:gridCol w:w="2761"/>
            </w:tblGrid>
            <w:tr w14:paraId="3ABF99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4F2AB6C3">
                  <w:pPr>
                    <w:pStyle w:val="64"/>
                    <w:spacing w:beforeLines="0" w:afterLines="0" w:line="240" w:lineRule="auto"/>
                    <w:ind w:firstLine="0" w:firstLineChars="0"/>
                    <w:rPr>
                      <w:rFonts w:ascii="Times New Roman"/>
                      <w:b/>
                      <w:bCs/>
                      <w:sz w:val="21"/>
                      <w:lang w:bidi="ar"/>
                    </w:rPr>
                  </w:pPr>
                  <w:r>
                    <w:rPr>
                      <w:rFonts w:hint="eastAsia" w:ascii="Times New Roman"/>
                      <w:b/>
                      <w:bCs/>
                      <w:sz w:val="21"/>
                      <w:lang w:bidi="ar"/>
                    </w:rPr>
                    <w:t>序号</w:t>
                  </w:r>
                </w:p>
              </w:tc>
              <w:tc>
                <w:tcPr>
                  <w:tcW w:w="1666" w:type="pct"/>
                </w:tcPr>
                <w:p w14:paraId="450BE4FF">
                  <w:pPr>
                    <w:pStyle w:val="64"/>
                    <w:spacing w:beforeLines="0" w:afterLines="0" w:line="240" w:lineRule="auto"/>
                    <w:ind w:firstLine="0" w:firstLineChars="0"/>
                    <w:rPr>
                      <w:rFonts w:ascii="Times New Roman"/>
                      <w:b/>
                      <w:bCs/>
                      <w:sz w:val="21"/>
                      <w:lang w:bidi="ar"/>
                    </w:rPr>
                  </w:pPr>
                  <w:r>
                    <w:rPr>
                      <w:rFonts w:hint="eastAsia" w:ascii="Times New Roman"/>
                      <w:b/>
                      <w:bCs/>
                      <w:sz w:val="21"/>
                      <w:lang w:bidi="ar"/>
                    </w:rPr>
                    <w:t>污染物项目</w:t>
                  </w:r>
                </w:p>
              </w:tc>
              <w:tc>
                <w:tcPr>
                  <w:tcW w:w="1666" w:type="pct"/>
                </w:tcPr>
                <w:p w14:paraId="53F29D04">
                  <w:pPr>
                    <w:pStyle w:val="64"/>
                    <w:spacing w:beforeLines="0" w:afterLines="0" w:line="240" w:lineRule="auto"/>
                    <w:ind w:firstLine="0" w:firstLineChars="0"/>
                    <w:rPr>
                      <w:rFonts w:ascii="Times New Roman"/>
                      <w:b/>
                      <w:bCs/>
                      <w:sz w:val="21"/>
                      <w:lang w:bidi="ar"/>
                    </w:rPr>
                  </w:pPr>
                  <w:r>
                    <w:rPr>
                      <w:rFonts w:hint="eastAsia" w:ascii="Times New Roman"/>
                      <w:b/>
                      <w:bCs/>
                      <w:sz w:val="21"/>
                      <w:lang w:bidi="ar"/>
                    </w:rPr>
                    <w:t>指标</w:t>
                  </w:r>
                </w:p>
              </w:tc>
            </w:tr>
            <w:tr w14:paraId="072CD1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666" w:type="pct"/>
                </w:tcPr>
                <w:p w14:paraId="11015C76">
                  <w:pPr>
                    <w:pStyle w:val="64"/>
                    <w:spacing w:beforeLines="0" w:afterLines="0" w:line="240" w:lineRule="auto"/>
                    <w:ind w:firstLine="0" w:firstLineChars="0"/>
                    <w:rPr>
                      <w:rFonts w:ascii="Times New Roman"/>
                      <w:sz w:val="21"/>
                      <w:lang w:bidi="ar"/>
                    </w:rPr>
                  </w:pPr>
                  <w:r>
                    <w:rPr>
                      <w:rFonts w:hint="eastAsia" w:ascii="Times New Roman"/>
                      <w:sz w:val="21"/>
                      <w:lang w:bidi="ar"/>
                    </w:rPr>
                    <w:t>1</w:t>
                  </w:r>
                </w:p>
              </w:tc>
              <w:tc>
                <w:tcPr>
                  <w:tcW w:w="1666" w:type="pct"/>
                </w:tcPr>
                <w:p w14:paraId="5B108149">
                  <w:pPr>
                    <w:pStyle w:val="64"/>
                    <w:spacing w:beforeLines="0" w:afterLines="0" w:line="240" w:lineRule="auto"/>
                    <w:ind w:firstLine="0" w:firstLineChars="0"/>
                    <w:rPr>
                      <w:rFonts w:ascii="Times New Roman"/>
                      <w:sz w:val="21"/>
                      <w:lang w:bidi="ar"/>
                    </w:rPr>
                  </w:pPr>
                  <w:r>
                    <w:rPr>
                      <w:rFonts w:hint="eastAsia" w:ascii="Times New Roman"/>
                      <w:sz w:val="21"/>
                      <w:lang w:bidi="ar"/>
                    </w:rPr>
                    <w:t>pH</w:t>
                  </w:r>
                </w:p>
              </w:tc>
              <w:tc>
                <w:tcPr>
                  <w:tcW w:w="1666" w:type="pct"/>
                </w:tcPr>
                <w:p w14:paraId="17F62BC0">
                  <w:pPr>
                    <w:pStyle w:val="64"/>
                    <w:spacing w:beforeLines="0" w:afterLines="0" w:line="240" w:lineRule="auto"/>
                    <w:ind w:firstLine="0" w:firstLineChars="0"/>
                    <w:rPr>
                      <w:rFonts w:ascii="Times New Roman"/>
                      <w:sz w:val="21"/>
                      <w:lang w:bidi="ar"/>
                    </w:rPr>
                  </w:pPr>
                  <w:r>
                    <w:rPr>
                      <w:rFonts w:hint="eastAsia" w:ascii="Times New Roman"/>
                      <w:sz w:val="21"/>
                      <w:lang w:bidi="ar"/>
                    </w:rPr>
                    <w:t>6~9</w:t>
                  </w:r>
                </w:p>
              </w:tc>
            </w:tr>
            <w:tr w14:paraId="7D2CA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69850C9F">
                  <w:pPr>
                    <w:pStyle w:val="64"/>
                    <w:spacing w:beforeLines="0" w:afterLines="0" w:line="240" w:lineRule="auto"/>
                    <w:ind w:firstLine="0" w:firstLineChars="0"/>
                    <w:rPr>
                      <w:rFonts w:ascii="Times New Roman"/>
                      <w:sz w:val="21"/>
                      <w:lang w:bidi="ar"/>
                    </w:rPr>
                  </w:pPr>
                  <w:r>
                    <w:rPr>
                      <w:rFonts w:hint="eastAsia" w:ascii="Times New Roman"/>
                      <w:sz w:val="21"/>
                      <w:lang w:bidi="ar"/>
                    </w:rPr>
                    <w:t>2</w:t>
                  </w:r>
                </w:p>
              </w:tc>
              <w:tc>
                <w:tcPr>
                  <w:tcW w:w="1666" w:type="pct"/>
                </w:tcPr>
                <w:p w14:paraId="0FA382FD">
                  <w:pPr>
                    <w:pStyle w:val="64"/>
                    <w:spacing w:beforeLines="0" w:afterLines="0" w:line="240" w:lineRule="auto"/>
                    <w:ind w:firstLine="0" w:firstLineChars="0"/>
                    <w:rPr>
                      <w:rFonts w:ascii="Times New Roman"/>
                      <w:sz w:val="21"/>
                      <w:lang w:bidi="ar"/>
                    </w:rPr>
                  </w:pPr>
                  <w:r>
                    <w:rPr>
                      <w:rFonts w:hint="eastAsia" w:ascii="Times New Roman"/>
                      <w:sz w:val="21"/>
                      <w:lang w:bidi="ar"/>
                    </w:rPr>
                    <w:t>磷酸盐（以P计）</w:t>
                  </w:r>
                </w:p>
              </w:tc>
              <w:tc>
                <w:tcPr>
                  <w:tcW w:w="1666" w:type="pct"/>
                </w:tcPr>
                <w:p w14:paraId="4889C1C5">
                  <w:pPr>
                    <w:pStyle w:val="64"/>
                    <w:spacing w:beforeLines="0" w:afterLines="0" w:line="240" w:lineRule="auto"/>
                    <w:ind w:firstLine="0" w:firstLineChars="0"/>
                    <w:rPr>
                      <w:rFonts w:ascii="Times New Roman"/>
                      <w:sz w:val="21"/>
                      <w:lang w:bidi="ar"/>
                    </w:rPr>
                  </w:pPr>
                  <w:r>
                    <w:rPr>
                      <w:rFonts w:hint="eastAsia" w:ascii="Times New Roman"/>
                      <w:sz w:val="21"/>
                      <w:lang w:bidi="ar"/>
                    </w:rPr>
                    <w:t>≤0.5</w:t>
                  </w:r>
                </w:p>
              </w:tc>
            </w:tr>
            <w:tr w14:paraId="1285EB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26E201CA">
                  <w:pPr>
                    <w:pStyle w:val="64"/>
                    <w:spacing w:beforeLines="0" w:afterLines="0" w:line="240" w:lineRule="auto"/>
                    <w:ind w:firstLine="0" w:firstLineChars="0"/>
                    <w:rPr>
                      <w:rFonts w:ascii="Times New Roman"/>
                      <w:sz w:val="21"/>
                      <w:lang w:bidi="ar"/>
                    </w:rPr>
                  </w:pPr>
                  <w:r>
                    <w:rPr>
                      <w:rFonts w:hint="eastAsia" w:ascii="Times New Roman"/>
                      <w:sz w:val="21"/>
                      <w:lang w:bidi="ar"/>
                    </w:rPr>
                    <w:t>3</w:t>
                  </w:r>
                </w:p>
              </w:tc>
              <w:tc>
                <w:tcPr>
                  <w:tcW w:w="1666" w:type="pct"/>
                </w:tcPr>
                <w:p w14:paraId="0B547C60">
                  <w:pPr>
                    <w:pStyle w:val="64"/>
                    <w:spacing w:beforeLines="0" w:afterLines="0" w:line="240" w:lineRule="auto"/>
                    <w:ind w:firstLine="0" w:firstLineChars="0"/>
                    <w:rPr>
                      <w:rFonts w:ascii="Times New Roman"/>
                      <w:sz w:val="21"/>
                      <w:lang w:bidi="ar"/>
                    </w:rPr>
                  </w:pPr>
                  <w:r>
                    <w:rPr>
                      <w:rFonts w:hint="eastAsia" w:ascii="Times New Roman"/>
                      <w:sz w:val="21"/>
                      <w:lang w:bidi="ar"/>
                    </w:rPr>
                    <w:t>氟化物</w:t>
                  </w:r>
                </w:p>
              </w:tc>
              <w:tc>
                <w:tcPr>
                  <w:tcW w:w="1666" w:type="pct"/>
                </w:tcPr>
                <w:p w14:paraId="7B4C4B5C">
                  <w:pPr>
                    <w:pStyle w:val="64"/>
                    <w:spacing w:beforeLines="0" w:afterLines="0" w:line="240" w:lineRule="auto"/>
                    <w:ind w:firstLine="0" w:firstLineChars="0"/>
                    <w:rPr>
                      <w:rFonts w:ascii="Times New Roman"/>
                      <w:sz w:val="21"/>
                      <w:lang w:bidi="ar"/>
                    </w:rPr>
                  </w:pPr>
                  <w:r>
                    <w:rPr>
                      <w:rFonts w:hint="eastAsia" w:ascii="Times New Roman"/>
                      <w:sz w:val="21"/>
                      <w:lang w:bidi="ar"/>
                    </w:rPr>
                    <w:t>≤10</w:t>
                  </w:r>
                </w:p>
              </w:tc>
            </w:tr>
            <w:tr w14:paraId="5ED3AB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58A7C548">
                  <w:pPr>
                    <w:pStyle w:val="64"/>
                    <w:spacing w:beforeLines="0" w:afterLines="0" w:line="240" w:lineRule="auto"/>
                    <w:ind w:firstLine="0" w:firstLineChars="0"/>
                    <w:rPr>
                      <w:rFonts w:ascii="Times New Roman"/>
                      <w:sz w:val="21"/>
                      <w:lang w:bidi="ar"/>
                    </w:rPr>
                  </w:pPr>
                  <w:r>
                    <w:rPr>
                      <w:rFonts w:hint="eastAsia" w:ascii="Times New Roman"/>
                      <w:sz w:val="21"/>
                      <w:lang w:bidi="ar"/>
                    </w:rPr>
                    <w:t>4</w:t>
                  </w:r>
                </w:p>
              </w:tc>
              <w:tc>
                <w:tcPr>
                  <w:tcW w:w="1666" w:type="pct"/>
                </w:tcPr>
                <w:p w14:paraId="12A42FB6">
                  <w:pPr>
                    <w:pStyle w:val="64"/>
                    <w:spacing w:beforeLines="0" w:afterLines="0" w:line="240" w:lineRule="auto"/>
                    <w:ind w:firstLine="0" w:firstLineChars="0"/>
                    <w:rPr>
                      <w:rFonts w:ascii="Times New Roman"/>
                      <w:sz w:val="21"/>
                      <w:lang w:bidi="ar"/>
                    </w:rPr>
                  </w:pPr>
                  <w:r>
                    <w:rPr>
                      <w:rFonts w:hint="eastAsia" w:ascii="Times New Roman"/>
                      <w:sz w:val="21"/>
                      <w:lang w:bidi="ar"/>
                    </w:rPr>
                    <w:t>总汞</w:t>
                  </w:r>
                </w:p>
              </w:tc>
              <w:tc>
                <w:tcPr>
                  <w:tcW w:w="1666" w:type="pct"/>
                </w:tcPr>
                <w:p w14:paraId="729EA4B3">
                  <w:pPr>
                    <w:pStyle w:val="64"/>
                    <w:spacing w:beforeLines="0" w:afterLines="0" w:line="240" w:lineRule="auto"/>
                    <w:ind w:firstLine="0" w:firstLineChars="0"/>
                    <w:rPr>
                      <w:rFonts w:ascii="Times New Roman"/>
                      <w:sz w:val="21"/>
                      <w:lang w:bidi="ar"/>
                    </w:rPr>
                  </w:pPr>
                  <w:r>
                    <w:rPr>
                      <w:rFonts w:hint="eastAsia" w:ascii="Times New Roman"/>
                      <w:sz w:val="21"/>
                      <w:lang w:bidi="ar"/>
                    </w:rPr>
                    <w:t>≤0.05</w:t>
                  </w:r>
                </w:p>
              </w:tc>
            </w:tr>
            <w:tr w14:paraId="763C3F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09AFCC68">
                  <w:pPr>
                    <w:pStyle w:val="64"/>
                    <w:spacing w:beforeLines="0" w:afterLines="0" w:line="240" w:lineRule="auto"/>
                    <w:ind w:firstLine="0" w:firstLineChars="0"/>
                    <w:rPr>
                      <w:rFonts w:ascii="Times New Roman"/>
                      <w:sz w:val="21"/>
                      <w:lang w:bidi="ar"/>
                    </w:rPr>
                  </w:pPr>
                  <w:r>
                    <w:rPr>
                      <w:rFonts w:hint="eastAsia" w:ascii="Times New Roman"/>
                      <w:sz w:val="21"/>
                      <w:lang w:bidi="ar"/>
                    </w:rPr>
                    <w:t>5</w:t>
                  </w:r>
                </w:p>
              </w:tc>
              <w:tc>
                <w:tcPr>
                  <w:tcW w:w="1666" w:type="pct"/>
                </w:tcPr>
                <w:p w14:paraId="467BFEC2">
                  <w:pPr>
                    <w:pStyle w:val="64"/>
                    <w:spacing w:beforeLines="0" w:afterLines="0" w:line="240" w:lineRule="auto"/>
                    <w:ind w:firstLine="0" w:firstLineChars="0"/>
                    <w:rPr>
                      <w:rFonts w:ascii="Times New Roman"/>
                      <w:sz w:val="21"/>
                      <w:lang w:bidi="ar"/>
                    </w:rPr>
                  </w:pPr>
                  <w:r>
                    <w:rPr>
                      <w:rFonts w:hint="eastAsia" w:ascii="Times New Roman"/>
                      <w:sz w:val="21"/>
                      <w:lang w:bidi="ar"/>
                    </w:rPr>
                    <w:t>总镉</w:t>
                  </w:r>
                </w:p>
              </w:tc>
              <w:tc>
                <w:tcPr>
                  <w:tcW w:w="1666" w:type="pct"/>
                </w:tcPr>
                <w:p w14:paraId="370CF8DB">
                  <w:pPr>
                    <w:pStyle w:val="64"/>
                    <w:spacing w:beforeLines="0" w:afterLines="0" w:line="240" w:lineRule="auto"/>
                    <w:ind w:firstLine="0" w:firstLineChars="0"/>
                    <w:rPr>
                      <w:rFonts w:ascii="Times New Roman"/>
                      <w:sz w:val="21"/>
                      <w:lang w:bidi="ar"/>
                    </w:rPr>
                  </w:pPr>
                  <w:r>
                    <w:rPr>
                      <w:rFonts w:hint="eastAsia" w:ascii="Times New Roman"/>
                      <w:sz w:val="21"/>
                      <w:lang w:bidi="ar"/>
                    </w:rPr>
                    <w:t>≤0.1</w:t>
                  </w:r>
                </w:p>
              </w:tc>
            </w:tr>
            <w:tr w14:paraId="7E5876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0CB6F976">
                  <w:pPr>
                    <w:pStyle w:val="64"/>
                    <w:spacing w:beforeLines="0" w:afterLines="0" w:line="240" w:lineRule="auto"/>
                    <w:ind w:firstLine="0" w:firstLineChars="0"/>
                    <w:rPr>
                      <w:rFonts w:ascii="Times New Roman"/>
                      <w:sz w:val="21"/>
                      <w:lang w:bidi="ar"/>
                    </w:rPr>
                  </w:pPr>
                  <w:r>
                    <w:rPr>
                      <w:rFonts w:hint="eastAsia" w:ascii="Times New Roman"/>
                      <w:sz w:val="21"/>
                      <w:lang w:bidi="ar"/>
                    </w:rPr>
                    <w:t>6</w:t>
                  </w:r>
                </w:p>
              </w:tc>
              <w:tc>
                <w:tcPr>
                  <w:tcW w:w="1666" w:type="pct"/>
                </w:tcPr>
                <w:p w14:paraId="77A22BB5">
                  <w:pPr>
                    <w:pStyle w:val="64"/>
                    <w:spacing w:beforeLines="0" w:afterLines="0" w:line="240" w:lineRule="auto"/>
                    <w:ind w:firstLine="0" w:firstLineChars="0"/>
                    <w:rPr>
                      <w:rFonts w:ascii="Times New Roman"/>
                      <w:sz w:val="21"/>
                      <w:lang w:bidi="ar"/>
                    </w:rPr>
                  </w:pPr>
                  <w:r>
                    <w:rPr>
                      <w:rFonts w:hint="eastAsia" w:ascii="Times New Roman"/>
                      <w:sz w:val="21"/>
                      <w:lang w:bidi="ar"/>
                    </w:rPr>
                    <w:t>总铬</w:t>
                  </w:r>
                </w:p>
              </w:tc>
              <w:tc>
                <w:tcPr>
                  <w:tcW w:w="1666" w:type="pct"/>
                </w:tcPr>
                <w:p w14:paraId="66A91A52">
                  <w:pPr>
                    <w:pStyle w:val="64"/>
                    <w:spacing w:beforeLines="0" w:afterLines="0" w:line="240" w:lineRule="auto"/>
                    <w:ind w:firstLine="0" w:firstLineChars="0"/>
                    <w:rPr>
                      <w:rFonts w:ascii="Times New Roman"/>
                      <w:sz w:val="21"/>
                      <w:lang w:bidi="ar"/>
                    </w:rPr>
                  </w:pPr>
                  <w:r>
                    <w:rPr>
                      <w:rFonts w:hint="eastAsia" w:ascii="Times New Roman"/>
                      <w:sz w:val="21"/>
                      <w:lang w:bidi="ar"/>
                    </w:rPr>
                    <w:t>≤1.5</w:t>
                  </w:r>
                </w:p>
              </w:tc>
            </w:tr>
            <w:tr w14:paraId="3FC16A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1BFFE8A5">
                  <w:pPr>
                    <w:pStyle w:val="64"/>
                    <w:spacing w:beforeLines="0" w:afterLines="0" w:line="240" w:lineRule="auto"/>
                    <w:ind w:firstLine="0" w:firstLineChars="0"/>
                    <w:rPr>
                      <w:rFonts w:ascii="Times New Roman"/>
                      <w:sz w:val="21"/>
                      <w:lang w:bidi="ar"/>
                    </w:rPr>
                  </w:pPr>
                  <w:r>
                    <w:rPr>
                      <w:rFonts w:hint="eastAsia" w:ascii="Times New Roman"/>
                      <w:sz w:val="21"/>
                      <w:lang w:bidi="ar"/>
                    </w:rPr>
                    <w:t>7</w:t>
                  </w:r>
                </w:p>
              </w:tc>
              <w:tc>
                <w:tcPr>
                  <w:tcW w:w="1666" w:type="pct"/>
                </w:tcPr>
                <w:p w14:paraId="22864E57">
                  <w:pPr>
                    <w:pStyle w:val="64"/>
                    <w:spacing w:beforeLines="0" w:afterLines="0" w:line="240" w:lineRule="auto"/>
                    <w:ind w:firstLine="0" w:firstLineChars="0"/>
                    <w:rPr>
                      <w:rFonts w:ascii="Times New Roman"/>
                      <w:sz w:val="21"/>
                      <w:lang w:bidi="ar"/>
                    </w:rPr>
                  </w:pPr>
                  <w:r>
                    <w:rPr>
                      <w:rFonts w:hint="eastAsia" w:ascii="Times New Roman"/>
                      <w:sz w:val="21"/>
                      <w:lang w:bidi="ar"/>
                    </w:rPr>
                    <w:t>六价铬</w:t>
                  </w:r>
                </w:p>
              </w:tc>
              <w:tc>
                <w:tcPr>
                  <w:tcW w:w="1666" w:type="pct"/>
                </w:tcPr>
                <w:p w14:paraId="75C7848D">
                  <w:pPr>
                    <w:pStyle w:val="64"/>
                    <w:spacing w:beforeLines="0" w:afterLines="0" w:line="240" w:lineRule="auto"/>
                    <w:ind w:firstLine="0" w:firstLineChars="0"/>
                    <w:rPr>
                      <w:rFonts w:ascii="Times New Roman"/>
                      <w:sz w:val="21"/>
                      <w:lang w:bidi="ar"/>
                    </w:rPr>
                  </w:pPr>
                  <w:r>
                    <w:rPr>
                      <w:rFonts w:hint="eastAsia" w:ascii="Times New Roman"/>
                      <w:sz w:val="21"/>
                      <w:lang w:bidi="ar"/>
                    </w:rPr>
                    <w:t>≤0.5</w:t>
                  </w:r>
                </w:p>
              </w:tc>
            </w:tr>
            <w:tr w14:paraId="488155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4A88C511">
                  <w:pPr>
                    <w:pStyle w:val="64"/>
                    <w:spacing w:beforeLines="0" w:afterLines="0" w:line="240" w:lineRule="auto"/>
                    <w:ind w:firstLine="0" w:firstLineChars="0"/>
                    <w:rPr>
                      <w:rFonts w:ascii="Times New Roman"/>
                      <w:sz w:val="21"/>
                      <w:lang w:bidi="ar"/>
                    </w:rPr>
                  </w:pPr>
                  <w:r>
                    <w:rPr>
                      <w:rFonts w:hint="eastAsia" w:ascii="Times New Roman"/>
                      <w:sz w:val="21"/>
                      <w:lang w:bidi="ar"/>
                    </w:rPr>
                    <w:t>8</w:t>
                  </w:r>
                </w:p>
              </w:tc>
              <w:tc>
                <w:tcPr>
                  <w:tcW w:w="1666" w:type="pct"/>
                </w:tcPr>
                <w:p w14:paraId="1A4A3E8E">
                  <w:pPr>
                    <w:pStyle w:val="64"/>
                    <w:spacing w:beforeLines="0" w:afterLines="0" w:line="240" w:lineRule="auto"/>
                    <w:ind w:firstLine="0" w:firstLineChars="0"/>
                    <w:rPr>
                      <w:rFonts w:ascii="Times New Roman"/>
                      <w:sz w:val="21"/>
                      <w:lang w:bidi="ar"/>
                    </w:rPr>
                  </w:pPr>
                  <w:r>
                    <w:rPr>
                      <w:rFonts w:hint="eastAsia" w:ascii="Times New Roman"/>
                      <w:sz w:val="21"/>
                      <w:lang w:bidi="ar"/>
                    </w:rPr>
                    <w:t>总砷</w:t>
                  </w:r>
                </w:p>
              </w:tc>
              <w:tc>
                <w:tcPr>
                  <w:tcW w:w="1666" w:type="pct"/>
                </w:tcPr>
                <w:p w14:paraId="7FAE43FE">
                  <w:pPr>
                    <w:pStyle w:val="64"/>
                    <w:spacing w:beforeLines="0" w:afterLines="0" w:line="240" w:lineRule="auto"/>
                    <w:ind w:firstLine="0" w:firstLineChars="0"/>
                    <w:rPr>
                      <w:rFonts w:ascii="Times New Roman"/>
                      <w:sz w:val="21"/>
                      <w:lang w:bidi="ar"/>
                    </w:rPr>
                  </w:pPr>
                  <w:r>
                    <w:rPr>
                      <w:rFonts w:hint="eastAsia" w:ascii="Times New Roman"/>
                      <w:sz w:val="21"/>
                      <w:lang w:bidi="ar"/>
                    </w:rPr>
                    <w:t>≤0.5</w:t>
                  </w:r>
                </w:p>
              </w:tc>
            </w:tr>
            <w:tr w14:paraId="29175E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0EF8EE12">
                  <w:pPr>
                    <w:pStyle w:val="64"/>
                    <w:spacing w:beforeLines="0" w:afterLines="0" w:line="240" w:lineRule="auto"/>
                    <w:ind w:firstLine="0" w:firstLineChars="0"/>
                    <w:rPr>
                      <w:rFonts w:ascii="Times New Roman"/>
                      <w:sz w:val="21"/>
                      <w:lang w:bidi="ar"/>
                    </w:rPr>
                  </w:pPr>
                  <w:r>
                    <w:rPr>
                      <w:rFonts w:hint="eastAsia" w:ascii="Times New Roman"/>
                      <w:sz w:val="21"/>
                      <w:lang w:bidi="ar"/>
                    </w:rPr>
                    <w:t>9</w:t>
                  </w:r>
                </w:p>
              </w:tc>
              <w:tc>
                <w:tcPr>
                  <w:tcW w:w="1666" w:type="pct"/>
                </w:tcPr>
                <w:p w14:paraId="49B13DB6">
                  <w:pPr>
                    <w:pStyle w:val="64"/>
                    <w:spacing w:beforeLines="0" w:afterLines="0" w:line="240" w:lineRule="auto"/>
                    <w:ind w:firstLine="0" w:firstLineChars="0"/>
                    <w:rPr>
                      <w:rFonts w:ascii="Times New Roman"/>
                      <w:sz w:val="21"/>
                      <w:lang w:bidi="ar"/>
                    </w:rPr>
                  </w:pPr>
                  <w:r>
                    <w:rPr>
                      <w:rFonts w:hint="eastAsia" w:ascii="Times New Roman"/>
                      <w:sz w:val="21"/>
                      <w:lang w:bidi="ar"/>
                    </w:rPr>
                    <w:t>总铅</w:t>
                  </w:r>
                </w:p>
              </w:tc>
              <w:tc>
                <w:tcPr>
                  <w:tcW w:w="1666" w:type="pct"/>
                </w:tcPr>
                <w:p w14:paraId="09CA8F42">
                  <w:pPr>
                    <w:pStyle w:val="64"/>
                    <w:spacing w:beforeLines="0" w:afterLines="0" w:line="240" w:lineRule="auto"/>
                    <w:ind w:firstLine="0" w:firstLineChars="0"/>
                    <w:rPr>
                      <w:rFonts w:ascii="Times New Roman"/>
                      <w:sz w:val="21"/>
                      <w:lang w:bidi="ar"/>
                    </w:rPr>
                  </w:pPr>
                  <w:r>
                    <w:rPr>
                      <w:rFonts w:hint="eastAsia" w:ascii="Times New Roman"/>
                      <w:sz w:val="21"/>
                      <w:lang w:bidi="ar"/>
                    </w:rPr>
                    <w:t>≤1.0</w:t>
                  </w:r>
                </w:p>
              </w:tc>
            </w:tr>
            <w:tr w14:paraId="72B39B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5EC91D17">
                  <w:pPr>
                    <w:pStyle w:val="64"/>
                    <w:spacing w:beforeLines="0" w:afterLines="0" w:line="240" w:lineRule="auto"/>
                    <w:ind w:firstLine="0" w:firstLineChars="0"/>
                    <w:rPr>
                      <w:rFonts w:ascii="Times New Roman"/>
                      <w:sz w:val="21"/>
                      <w:lang w:bidi="ar"/>
                    </w:rPr>
                  </w:pPr>
                  <w:r>
                    <w:rPr>
                      <w:rFonts w:hint="eastAsia" w:ascii="Times New Roman"/>
                      <w:sz w:val="21"/>
                      <w:lang w:bidi="ar"/>
                    </w:rPr>
                    <w:t>10</w:t>
                  </w:r>
                </w:p>
              </w:tc>
              <w:tc>
                <w:tcPr>
                  <w:tcW w:w="1666" w:type="pct"/>
                </w:tcPr>
                <w:p w14:paraId="2C186CD4">
                  <w:pPr>
                    <w:pStyle w:val="64"/>
                    <w:spacing w:beforeLines="0" w:afterLines="0" w:line="240" w:lineRule="auto"/>
                    <w:ind w:firstLine="0" w:firstLineChars="0"/>
                    <w:rPr>
                      <w:rFonts w:ascii="Times New Roman"/>
                      <w:sz w:val="21"/>
                      <w:lang w:bidi="ar"/>
                    </w:rPr>
                  </w:pPr>
                  <w:r>
                    <w:rPr>
                      <w:rFonts w:hint="eastAsia" w:ascii="Times New Roman"/>
                      <w:sz w:val="21"/>
                      <w:lang w:bidi="ar"/>
                    </w:rPr>
                    <w:t>总镍</w:t>
                  </w:r>
                </w:p>
              </w:tc>
              <w:tc>
                <w:tcPr>
                  <w:tcW w:w="1666" w:type="pct"/>
                </w:tcPr>
                <w:p w14:paraId="10D88CAB">
                  <w:pPr>
                    <w:pStyle w:val="64"/>
                    <w:spacing w:beforeLines="0" w:afterLines="0" w:line="240" w:lineRule="auto"/>
                    <w:ind w:firstLine="0" w:firstLineChars="0"/>
                    <w:rPr>
                      <w:rFonts w:ascii="Times New Roman"/>
                      <w:sz w:val="21"/>
                      <w:lang w:bidi="ar"/>
                    </w:rPr>
                  </w:pPr>
                  <w:r>
                    <w:rPr>
                      <w:rFonts w:hint="eastAsia" w:ascii="Times New Roman"/>
                      <w:sz w:val="21"/>
                      <w:lang w:bidi="ar"/>
                    </w:rPr>
                    <w:t>≤1.0</w:t>
                  </w:r>
                </w:p>
              </w:tc>
            </w:tr>
            <w:tr w14:paraId="60763D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78E9FCBA">
                  <w:pPr>
                    <w:pStyle w:val="64"/>
                    <w:spacing w:beforeLines="0" w:afterLines="0" w:line="240" w:lineRule="auto"/>
                    <w:ind w:firstLine="0" w:firstLineChars="0"/>
                    <w:rPr>
                      <w:rFonts w:ascii="Times New Roman"/>
                      <w:sz w:val="21"/>
                      <w:lang w:bidi="ar"/>
                    </w:rPr>
                  </w:pPr>
                  <w:r>
                    <w:rPr>
                      <w:rFonts w:hint="eastAsia" w:ascii="Times New Roman"/>
                      <w:sz w:val="21"/>
                      <w:lang w:bidi="ar"/>
                    </w:rPr>
                    <w:t>11</w:t>
                  </w:r>
                </w:p>
              </w:tc>
              <w:tc>
                <w:tcPr>
                  <w:tcW w:w="1666" w:type="pct"/>
                </w:tcPr>
                <w:p w14:paraId="5B10917A">
                  <w:pPr>
                    <w:pStyle w:val="64"/>
                    <w:spacing w:beforeLines="0" w:afterLines="0" w:line="240" w:lineRule="auto"/>
                    <w:ind w:firstLine="0" w:firstLineChars="0"/>
                    <w:rPr>
                      <w:rFonts w:ascii="Times New Roman"/>
                      <w:sz w:val="21"/>
                      <w:lang w:bidi="ar"/>
                    </w:rPr>
                  </w:pPr>
                  <w:r>
                    <w:rPr>
                      <w:rFonts w:hint="eastAsia" w:ascii="Times New Roman"/>
                      <w:sz w:val="21"/>
                      <w:lang w:bidi="ar"/>
                    </w:rPr>
                    <w:t>总锌</w:t>
                  </w:r>
                </w:p>
              </w:tc>
              <w:tc>
                <w:tcPr>
                  <w:tcW w:w="1666" w:type="pct"/>
                </w:tcPr>
                <w:p w14:paraId="56080761">
                  <w:pPr>
                    <w:pStyle w:val="64"/>
                    <w:spacing w:beforeLines="0" w:afterLines="0" w:line="240" w:lineRule="auto"/>
                    <w:ind w:firstLine="0" w:firstLineChars="0"/>
                    <w:rPr>
                      <w:rFonts w:ascii="Times New Roman"/>
                      <w:sz w:val="21"/>
                      <w:lang w:bidi="ar"/>
                    </w:rPr>
                  </w:pPr>
                  <w:r>
                    <w:rPr>
                      <w:rFonts w:hint="eastAsia" w:ascii="Times New Roman"/>
                      <w:sz w:val="21"/>
                      <w:lang w:bidi="ar"/>
                    </w:rPr>
                    <w:t>≤2.0</w:t>
                  </w:r>
                </w:p>
              </w:tc>
            </w:tr>
            <w:tr w14:paraId="3BF944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2F98FEF7">
                  <w:pPr>
                    <w:pStyle w:val="64"/>
                    <w:spacing w:beforeLines="0" w:afterLines="0" w:line="240" w:lineRule="auto"/>
                    <w:ind w:firstLine="0" w:firstLineChars="0"/>
                    <w:rPr>
                      <w:rFonts w:ascii="Times New Roman"/>
                      <w:sz w:val="21"/>
                      <w:lang w:bidi="ar"/>
                    </w:rPr>
                  </w:pPr>
                  <w:r>
                    <w:rPr>
                      <w:rFonts w:hint="eastAsia" w:ascii="Times New Roman"/>
                      <w:sz w:val="21"/>
                      <w:lang w:bidi="ar"/>
                    </w:rPr>
                    <w:t>12</w:t>
                  </w:r>
                </w:p>
              </w:tc>
              <w:tc>
                <w:tcPr>
                  <w:tcW w:w="1666" w:type="pct"/>
                </w:tcPr>
                <w:p w14:paraId="6963B01F">
                  <w:pPr>
                    <w:pStyle w:val="64"/>
                    <w:spacing w:beforeLines="0" w:afterLines="0" w:line="240" w:lineRule="auto"/>
                    <w:ind w:firstLine="0" w:firstLineChars="0"/>
                    <w:rPr>
                      <w:rFonts w:ascii="Times New Roman"/>
                      <w:sz w:val="21"/>
                      <w:lang w:bidi="ar"/>
                    </w:rPr>
                  </w:pPr>
                  <w:r>
                    <w:rPr>
                      <w:rFonts w:hint="eastAsia" w:ascii="Times New Roman"/>
                      <w:sz w:val="21"/>
                      <w:lang w:bidi="ar"/>
                    </w:rPr>
                    <w:t>总铍</w:t>
                  </w:r>
                </w:p>
              </w:tc>
              <w:tc>
                <w:tcPr>
                  <w:tcW w:w="1666" w:type="pct"/>
                </w:tcPr>
                <w:p w14:paraId="18DB5802">
                  <w:pPr>
                    <w:pStyle w:val="64"/>
                    <w:spacing w:beforeLines="0" w:afterLines="0" w:line="240" w:lineRule="auto"/>
                    <w:ind w:firstLine="0" w:firstLineChars="0"/>
                    <w:rPr>
                      <w:rFonts w:ascii="Times New Roman"/>
                      <w:sz w:val="21"/>
                      <w:lang w:bidi="ar"/>
                    </w:rPr>
                  </w:pPr>
                  <w:r>
                    <w:rPr>
                      <w:rFonts w:hint="eastAsia" w:ascii="Times New Roman"/>
                      <w:sz w:val="21"/>
                      <w:lang w:bidi="ar"/>
                    </w:rPr>
                    <w:t>≤0.005</w:t>
                  </w:r>
                </w:p>
              </w:tc>
            </w:tr>
            <w:tr w14:paraId="17C7E5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666" w:type="pct"/>
                </w:tcPr>
                <w:p w14:paraId="785BAA7F">
                  <w:pPr>
                    <w:pStyle w:val="64"/>
                    <w:spacing w:beforeLines="0" w:afterLines="0" w:line="240" w:lineRule="auto"/>
                    <w:ind w:firstLine="0" w:firstLineChars="0"/>
                    <w:rPr>
                      <w:rFonts w:ascii="Times New Roman"/>
                      <w:sz w:val="21"/>
                      <w:lang w:bidi="ar"/>
                    </w:rPr>
                  </w:pPr>
                  <w:r>
                    <w:rPr>
                      <w:rFonts w:hint="eastAsia" w:ascii="Times New Roman"/>
                      <w:sz w:val="21"/>
                      <w:lang w:bidi="ar"/>
                    </w:rPr>
                    <w:t>13</w:t>
                  </w:r>
                </w:p>
              </w:tc>
              <w:tc>
                <w:tcPr>
                  <w:tcW w:w="1666" w:type="pct"/>
                </w:tcPr>
                <w:p w14:paraId="4BFBD638">
                  <w:pPr>
                    <w:pStyle w:val="64"/>
                    <w:spacing w:beforeLines="0" w:afterLines="0" w:line="240" w:lineRule="auto"/>
                    <w:ind w:firstLine="0" w:firstLineChars="0"/>
                    <w:rPr>
                      <w:rFonts w:ascii="Times New Roman"/>
                      <w:sz w:val="21"/>
                      <w:lang w:bidi="ar"/>
                    </w:rPr>
                  </w:pPr>
                  <w:r>
                    <w:rPr>
                      <w:rFonts w:hint="eastAsia" w:ascii="Times New Roman"/>
                      <w:sz w:val="21"/>
                      <w:lang w:bidi="ar"/>
                    </w:rPr>
                    <w:t>总银</w:t>
                  </w:r>
                </w:p>
              </w:tc>
              <w:tc>
                <w:tcPr>
                  <w:tcW w:w="1666" w:type="pct"/>
                </w:tcPr>
                <w:p w14:paraId="6FED0F77">
                  <w:pPr>
                    <w:pStyle w:val="64"/>
                    <w:spacing w:beforeLines="0" w:afterLines="0" w:line="240" w:lineRule="auto"/>
                    <w:ind w:firstLine="0" w:firstLineChars="0"/>
                    <w:rPr>
                      <w:rFonts w:ascii="Times New Roman"/>
                      <w:sz w:val="21"/>
                      <w:lang w:bidi="ar"/>
                    </w:rPr>
                  </w:pPr>
                  <w:r>
                    <w:rPr>
                      <w:rFonts w:hint="eastAsia" w:ascii="Times New Roman"/>
                      <w:sz w:val="21"/>
                      <w:lang w:bidi="ar"/>
                    </w:rPr>
                    <w:t>≤0.5</w:t>
                  </w:r>
                </w:p>
              </w:tc>
            </w:tr>
            <w:tr w14:paraId="539D3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0" w:hRule="atLeast"/>
              </w:trPr>
              <w:tc>
                <w:tcPr>
                  <w:tcW w:w="1666" w:type="pct"/>
                </w:tcPr>
                <w:p w14:paraId="649B1B61">
                  <w:pPr>
                    <w:pStyle w:val="64"/>
                    <w:spacing w:beforeLines="0" w:afterLines="0" w:line="240" w:lineRule="auto"/>
                    <w:ind w:firstLine="0" w:firstLineChars="0"/>
                    <w:rPr>
                      <w:rFonts w:ascii="Times New Roman"/>
                      <w:sz w:val="21"/>
                      <w:lang w:bidi="ar"/>
                    </w:rPr>
                  </w:pPr>
                  <w:r>
                    <w:rPr>
                      <w:rFonts w:hint="eastAsia" w:ascii="Times New Roman"/>
                      <w:sz w:val="21"/>
                      <w:lang w:bidi="ar"/>
                    </w:rPr>
                    <w:t>14</w:t>
                  </w:r>
                </w:p>
              </w:tc>
              <w:tc>
                <w:tcPr>
                  <w:tcW w:w="1666" w:type="pct"/>
                </w:tcPr>
                <w:p w14:paraId="3E7B7BAB">
                  <w:pPr>
                    <w:pStyle w:val="64"/>
                    <w:spacing w:beforeLines="0" w:afterLines="0" w:line="240" w:lineRule="auto"/>
                    <w:ind w:firstLine="0" w:firstLineChars="0"/>
                    <w:rPr>
                      <w:rFonts w:ascii="Times New Roman"/>
                      <w:sz w:val="21"/>
                      <w:lang w:bidi="ar"/>
                    </w:rPr>
                  </w:pPr>
                  <w:r>
                    <w:rPr>
                      <w:rFonts w:hint="eastAsia" w:ascii="Times New Roman"/>
                      <w:sz w:val="21"/>
                      <w:lang w:bidi="ar"/>
                    </w:rPr>
                    <w:t>烷基汞</w:t>
                  </w:r>
                </w:p>
              </w:tc>
              <w:tc>
                <w:tcPr>
                  <w:tcW w:w="1666" w:type="pct"/>
                </w:tcPr>
                <w:p w14:paraId="2A799497">
                  <w:pPr>
                    <w:pStyle w:val="64"/>
                    <w:spacing w:beforeLines="0" w:afterLines="0" w:line="240" w:lineRule="auto"/>
                    <w:ind w:firstLine="0" w:firstLineChars="0"/>
                    <w:rPr>
                      <w:rFonts w:ascii="Times New Roman"/>
                      <w:sz w:val="21"/>
                      <w:lang w:bidi="ar"/>
                    </w:rPr>
                  </w:pPr>
                  <w:r>
                    <w:rPr>
                      <w:rFonts w:hint="eastAsia" w:ascii="Times New Roman"/>
                      <w:sz w:val="21"/>
                      <w:lang w:bidi="ar"/>
                    </w:rPr>
                    <w:t>不得检出</w:t>
                  </w:r>
                </w:p>
              </w:tc>
            </w:tr>
          </w:tbl>
          <w:p w14:paraId="23478EEF">
            <w:pPr>
              <w:pStyle w:val="71"/>
              <w:adjustRightInd w:val="0"/>
              <w:spacing w:line="240" w:lineRule="auto"/>
              <w:ind w:firstLine="0" w:firstLineChars="0"/>
              <w:jc w:val="center"/>
              <w:rPr>
                <w:b/>
                <w:bCs/>
                <w:sz w:val="24"/>
                <w:szCs w:val="24"/>
                <w:lang w:val="en-US"/>
              </w:rPr>
            </w:pPr>
            <w:r>
              <w:rPr>
                <w:rFonts w:hint="eastAsia"/>
                <w:b/>
                <w:bCs/>
                <w:sz w:val="24"/>
                <w:szCs w:val="24"/>
                <w:lang w:val="en-US"/>
              </w:rPr>
              <w:t>表3-2</w:t>
            </w:r>
            <w:r>
              <w:rPr>
                <w:rFonts w:hint="eastAsia"/>
                <w:b/>
                <w:bCs/>
                <w:sz w:val="24"/>
                <w:szCs w:val="24"/>
                <w:lang w:val="en-US" w:eastAsia="zh-CN"/>
              </w:rPr>
              <w:t>7</w:t>
            </w:r>
            <w:r>
              <w:rPr>
                <w:rFonts w:hint="eastAsia"/>
                <w:b/>
                <w:bCs/>
                <w:sz w:val="24"/>
                <w:szCs w:val="24"/>
                <w:lang w:val="en-US"/>
              </w:rPr>
              <w:t xml:space="preserve"> </w:t>
            </w:r>
            <w:r>
              <w:rPr>
                <w:rFonts w:hint="eastAsia"/>
                <w:b/>
                <w:bCs/>
                <w:sz w:val="24"/>
                <w:szCs w:val="24"/>
                <w:lang w:val="en-US" w:eastAsia="zh-CN"/>
              </w:rPr>
              <w:t xml:space="preserve"> </w:t>
            </w:r>
            <w:r>
              <w:rPr>
                <w:rFonts w:hint="eastAsia"/>
                <w:b/>
                <w:bCs/>
                <w:sz w:val="24"/>
                <w:szCs w:val="24"/>
                <w:lang w:val="en-US"/>
              </w:rPr>
              <w:t>改性磷石膏改性后质量检测要求</w:t>
            </w:r>
          </w:p>
          <w:tbl>
            <w:tblPr>
              <w:tblStyle w:val="41"/>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31"/>
              <w:gridCol w:w="7054"/>
            </w:tblGrid>
            <w:tr w14:paraId="607597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00" w:type="pct"/>
                  <w:gridSpan w:val="2"/>
                  <w:vAlign w:val="center"/>
                </w:tcPr>
                <w:p w14:paraId="0961E9FD">
                  <w:pPr>
                    <w:pStyle w:val="86"/>
                  </w:pPr>
                  <w:r>
                    <w:rPr>
                      <w:rFonts w:hint="eastAsia"/>
                    </w:rPr>
                    <w:t>《改性磷石膏用于矿山废弃地生态修复回填技术规范》（DB53/T1269-2024）要求</w:t>
                  </w:r>
                </w:p>
              </w:tc>
            </w:tr>
            <w:tr w14:paraId="5C3B9B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Align w:val="center"/>
                </w:tcPr>
                <w:p w14:paraId="7EF90A6C">
                  <w:pPr>
                    <w:pStyle w:val="86"/>
                  </w:pPr>
                  <w:r>
                    <w:rPr>
                      <w:rFonts w:hint="eastAsia"/>
                    </w:rPr>
                    <w:t>采样频次</w:t>
                  </w:r>
                </w:p>
              </w:tc>
              <w:tc>
                <w:tcPr>
                  <w:tcW w:w="4256" w:type="pct"/>
                  <w:vAlign w:val="center"/>
                </w:tcPr>
                <w:p w14:paraId="4235EAC5">
                  <w:pPr>
                    <w:widowControl/>
                    <w:spacing w:line="240" w:lineRule="auto"/>
                    <w:ind w:firstLine="0" w:firstLineChars="0"/>
                    <w:jc w:val="center"/>
                  </w:pPr>
                  <w:r>
                    <w:rPr>
                      <w:rFonts w:hint="eastAsia"/>
                      <w:kern w:val="0"/>
                      <w:sz w:val="21"/>
                      <w:szCs w:val="21"/>
                      <w:lang w:bidi="ar"/>
                    </w:rPr>
                    <w:t>回填规模≤300000T，以5000T改性磷石膏为一批次：300000T&lt;回填规模≤1000000T，以15000T改性磷石膏为一批次：回填规模&gt;1000000T，以30000T改性磷石膏为一批次。</w:t>
                  </w:r>
                </w:p>
              </w:tc>
            </w:tr>
            <w:tr w14:paraId="616A3E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Align w:val="center"/>
                </w:tcPr>
                <w:p w14:paraId="44DB9958">
                  <w:pPr>
                    <w:pStyle w:val="86"/>
                  </w:pPr>
                  <w:r>
                    <w:rPr>
                      <w:rFonts w:hint="eastAsia"/>
                    </w:rPr>
                    <w:t>采样方法</w:t>
                  </w:r>
                </w:p>
              </w:tc>
              <w:tc>
                <w:tcPr>
                  <w:tcW w:w="4256" w:type="pct"/>
                  <w:vAlign w:val="center"/>
                </w:tcPr>
                <w:p w14:paraId="40F534ED">
                  <w:pPr>
                    <w:pStyle w:val="86"/>
                  </w:pPr>
                  <w:r>
                    <w:rPr>
                      <w:rFonts w:hint="eastAsia" w:cs="Times New Roman"/>
                      <w:kern w:val="0"/>
                      <w:szCs w:val="21"/>
                      <w:lang w:bidi="ar"/>
                    </w:rPr>
                    <w:t>改性磷石膏用于回填区地形重塑后进行采样，结合回填工艺确定采样区域。采样区域使用网格法结合堆积高度确定采样点位数，每批次采样点位不少于3个，每批次份样数不少于6个，将上述份样制成一个混合样，按照HJ/T20中第5章的要求进行制样分析。</w:t>
                  </w:r>
                </w:p>
              </w:tc>
            </w:tr>
            <w:tr w14:paraId="122ED3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3" w:type="pct"/>
                  <w:vAlign w:val="center"/>
                </w:tcPr>
                <w:p w14:paraId="609ED9D9">
                  <w:pPr>
                    <w:pStyle w:val="86"/>
                  </w:pPr>
                  <w:r>
                    <w:rPr>
                      <w:rFonts w:hint="eastAsia"/>
                    </w:rPr>
                    <w:t>检测要求</w:t>
                  </w:r>
                </w:p>
              </w:tc>
              <w:tc>
                <w:tcPr>
                  <w:tcW w:w="4256" w:type="pct"/>
                  <w:vAlign w:val="center"/>
                </w:tcPr>
                <w:p w14:paraId="015373D9">
                  <w:pPr>
                    <w:pStyle w:val="86"/>
                  </w:pPr>
                  <w:r>
                    <w:rPr>
                      <w:rFonts w:hint="eastAsia" w:cs="Times New Roman"/>
                      <w:kern w:val="0"/>
                      <w:szCs w:val="21"/>
                      <w:lang w:bidi="ar"/>
                    </w:rPr>
                    <w:t>应对改性磷石膏浸出液进行检测，浸出方法按照HJ557。</w:t>
                  </w:r>
                </w:p>
              </w:tc>
            </w:tr>
          </w:tbl>
          <w:p w14:paraId="73CDB5C6">
            <w:pPr>
              <w:pStyle w:val="71"/>
              <w:adjustRightInd w:val="0"/>
              <w:ind w:firstLine="498"/>
              <w:jc w:val="both"/>
              <w:rPr>
                <w:b/>
                <w:bCs/>
                <w:lang w:val="en-US"/>
              </w:rPr>
            </w:pPr>
            <w:r>
              <w:rPr>
                <w:rFonts w:hint="eastAsia"/>
                <w:b/>
                <w:bCs/>
              </w:rPr>
              <w:t>（</w:t>
            </w:r>
            <w:r>
              <w:rPr>
                <w:rFonts w:hint="eastAsia"/>
                <w:b/>
                <w:bCs/>
                <w:lang w:val="en-US"/>
              </w:rPr>
              <w:t>7</w:t>
            </w:r>
            <w:r>
              <w:rPr>
                <w:rFonts w:hint="eastAsia"/>
                <w:b/>
                <w:bCs/>
              </w:rPr>
              <w:t>）</w:t>
            </w:r>
            <w:r>
              <w:rPr>
                <w:rFonts w:hint="eastAsia"/>
                <w:b/>
                <w:bCs/>
                <w:lang w:val="en-US"/>
              </w:rPr>
              <w:t>渗滤液等回用水水质标准</w:t>
            </w:r>
          </w:p>
          <w:p w14:paraId="1FE71B1B">
            <w:pPr>
              <w:pStyle w:val="71"/>
              <w:adjustRightInd w:val="0"/>
              <w:ind w:firstLine="496"/>
              <w:jc w:val="both"/>
              <w:rPr>
                <w:lang w:val="en-US"/>
              </w:rPr>
            </w:pPr>
            <w:r>
              <w:rPr>
                <w:rFonts w:hint="eastAsia"/>
                <w:lang w:val="en-US"/>
              </w:rPr>
              <w:t>本项目项目渗滤液等收集后回用于</w:t>
            </w:r>
            <w:r>
              <w:rPr>
                <w:rFonts w:hint="eastAsia" w:ascii="宋体" w:hAnsi="宋体" w:cs="宋体"/>
                <w:kern w:val="0"/>
                <w:lang w:val="en-US" w:bidi="ar"/>
              </w:rPr>
              <w:t>生态修复区及运输道路洒水降尘，</w:t>
            </w:r>
            <w:r>
              <w:rPr>
                <w:rFonts w:hint="eastAsia"/>
                <w:lang w:val="en-US"/>
              </w:rPr>
              <w:t>参考执行《城市污水再生利用城市杂用水水质》（GB/T 18920-2020）中城市绿化、道路清扫、消防、建筑施工标准限值要求。</w:t>
            </w:r>
          </w:p>
          <w:p w14:paraId="793DA96A">
            <w:pPr>
              <w:pStyle w:val="71"/>
              <w:adjustRightInd w:val="0"/>
              <w:spacing w:line="240" w:lineRule="auto"/>
              <w:ind w:firstLine="0" w:firstLineChars="0"/>
              <w:jc w:val="center"/>
              <w:rPr>
                <w:b/>
                <w:bCs/>
                <w:sz w:val="24"/>
                <w:szCs w:val="24"/>
                <w:lang w:val="en-US"/>
              </w:rPr>
            </w:pPr>
            <w:r>
              <w:rPr>
                <w:rFonts w:hint="eastAsia"/>
                <w:b/>
                <w:bCs/>
                <w:sz w:val="24"/>
                <w:szCs w:val="24"/>
                <w:lang w:val="en-US"/>
              </w:rPr>
              <w:t>表3-2</w:t>
            </w:r>
            <w:r>
              <w:rPr>
                <w:rFonts w:hint="eastAsia"/>
                <w:b/>
                <w:bCs/>
                <w:sz w:val="24"/>
                <w:szCs w:val="24"/>
                <w:lang w:val="en-US" w:eastAsia="zh-CN"/>
              </w:rPr>
              <w:t>8</w:t>
            </w:r>
            <w:r>
              <w:rPr>
                <w:rFonts w:hint="eastAsia"/>
                <w:b/>
                <w:bCs/>
                <w:sz w:val="24"/>
                <w:szCs w:val="24"/>
                <w:lang w:val="en-US"/>
              </w:rPr>
              <w:t xml:space="preserve"> </w:t>
            </w:r>
            <w:r>
              <w:rPr>
                <w:rFonts w:hint="eastAsia"/>
                <w:b/>
                <w:bCs/>
                <w:sz w:val="24"/>
                <w:szCs w:val="24"/>
                <w:lang w:val="en-US" w:eastAsia="zh-CN"/>
              </w:rPr>
              <w:t xml:space="preserve"> </w:t>
            </w:r>
            <w:r>
              <w:rPr>
                <w:rFonts w:hint="eastAsia"/>
                <w:b/>
                <w:bCs/>
                <w:sz w:val="24"/>
                <w:szCs w:val="24"/>
                <w:lang w:val="en-US"/>
              </w:rPr>
              <w:t>回用水水质标准</w:t>
            </w:r>
          </w:p>
          <w:tbl>
            <w:tblPr>
              <w:tblStyle w:val="41"/>
              <w:tblW w:w="765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323"/>
              <w:gridCol w:w="3381"/>
              <w:gridCol w:w="2955"/>
            </w:tblGrid>
            <w:tr w14:paraId="6480B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23" w:type="dxa"/>
                </w:tcPr>
                <w:p w14:paraId="6F20F8B1">
                  <w:pPr>
                    <w:pStyle w:val="64"/>
                    <w:spacing w:beforeLines="0" w:afterLines="0" w:line="240" w:lineRule="auto"/>
                    <w:ind w:firstLine="0" w:firstLineChars="0"/>
                    <w:rPr>
                      <w:rFonts w:ascii="Times New Roman"/>
                      <w:b/>
                      <w:bCs/>
                      <w:sz w:val="21"/>
                      <w:lang w:bidi="ar"/>
                    </w:rPr>
                  </w:pPr>
                  <w:r>
                    <w:rPr>
                      <w:rFonts w:hint="eastAsia" w:ascii="Times New Roman"/>
                      <w:b/>
                      <w:bCs/>
                      <w:sz w:val="21"/>
                      <w:lang w:bidi="ar"/>
                    </w:rPr>
                    <w:t>序号</w:t>
                  </w:r>
                </w:p>
              </w:tc>
              <w:tc>
                <w:tcPr>
                  <w:tcW w:w="3381" w:type="dxa"/>
                </w:tcPr>
                <w:p w14:paraId="0EFF5B42">
                  <w:pPr>
                    <w:pStyle w:val="64"/>
                    <w:spacing w:beforeLines="0" w:afterLines="0" w:line="240" w:lineRule="auto"/>
                    <w:ind w:firstLine="0" w:firstLineChars="0"/>
                    <w:rPr>
                      <w:rFonts w:ascii="Times New Roman"/>
                      <w:b/>
                      <w:bCs/>
                      <w:sz w:val="21"/>
                      <w:lang w:bidi="ar"/>
                    </w:rPr>
                  </w:pPr>
                  <w:r>
                    <w:rPr>
                      <w:rFonts w:hint="eastAsia" w:ascii="Times New Roman"/>
                      <w:b/>
                      <w:bCs/>
                      <w:sz w:val="21"/>
                      <w:lang w:bidi="ar"/>
                    </w:rPr>
                    <w:t>项目</w:t>
                  </w:r>
                </w:p>
              </w:tc>
              <w:tc>
                <w:tcPr>
                  <w:tcW w:w="2955" w:type="dxa"/>
                </w:tcPr>
                <w:p w14:paraId="793C468F">
                  <w:pPr>
                    <w:pStyle w:val="64"/>
                    <w:spacing w:beforeLines="0" w:afterLines="0" w:line="240" w:lineRule="auto"/>
                    <w:ind w:firstLine="0" w:firstLineChars="0"/>
                    <w:rPr>
                      <w:rFonts w:ascii="Times New Roman"/>
                      <w:b/>
                      <w:bCs/>
                      <w:sz w:val="21"/>
                      <w:lang w:bidi="ar"/>
                    </w:rPr>
                  </w:pPr>
                  <w:r>
                    <w:rPr>
                      <w:rFonts w:hint="eastAsia" w:ascii="Times New Roman"/>
                      <w:b/>
                      <w:bCs/>
                    </w:rPr>
                    <w:t>城市绿化、道路清扫、消防、建筑施工</w:t>
                  </w:r>
                </w:p>
              </w:tc>
            </w:tr>
            <w:tr w14:paraId="6363DE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23" w:type="dxa"/>
                </w:tcPr>
                <w:p w14:paraId="2616206D">
                  <w:pPr>
                    <w:pStyle w:val="64"/>
                    <w:spacing w:beforeLines="0" w:afterLines="0" w:line="240" w:lineRule="auto"/>
                    <w:ind w:firstLine="0" w:firstLineChars="0"/>
                    <w:rPr>
                      <w:rFonts w:ascii="Times New Roman"/>
                      <w:sz w:val="21"/>
                      <w:lang w:bidi="ar"/>
                    </w:rPr>
                  </w:pPr>
                  <w:r>
                    <w:rPr>
                      <w:rFonts w:hint="eastAsia" w:ascii="Times New Roman"/>
                      <w:sz w:val="21"/>
                      <w:lang w:bidi="ar"/>
                    </w:rPr>
                    <w:t>1</w:t>
                  </w:r>
                </w:p>
              </w:tc>
              <w:tc>
                <w:tcPr>
                  <w:tcW w:w="3381" w:type="dxa"/>
                </w:tcPr>
                <w:p w14:paraId="60ED1BBA">
                  <w:pPr>
                    <w:pStyle w:val="64"/>
                    <w:spacing w:beforeLines="0" w:afterLines="0" w:line="240" w:lineRule="auto"/>
                    <w:ind w:firstLine="0" w:firstLineChars="0"/>
                    <w:rPr>
                      <w:rFonts w:ascii="Times New Roman"/>
                      <w:sz w:val="21"/>
                      <w:lang w:bidi="ar"/>
                    </w:rPr>
                  </w:pPr>
                  <w:r>
                    <w:rPr>
                      <w:rFonts w:hint="eastAsia" w:ascii="Times New Roman"/>
                      <w:sz w:val="21"/>
                      <w:lang w:bidi="ar"/>
                    </w:rPr>
                    <w:t>pH</w:t>
                  </w:r>
                </w:p>
              </w:tc>
              <w:tc>
                <w:tcPr>
                  <w:tcW w:w="2955" w:type="dxa"/>
                </w:tcPr>
                <w:p w14:paraId="016E520B">
                  <w:pPr>
                    <w:pStyle w:val="64"/>
                    <w:spacing w:beforeLines="0" w:afterLines="0" w:line="240" w:lineRule="auto"/>
                    <w:ind w:firstLine="0" w:firstLineChars="0"/>
                    <w:rPr>
                      <w:rFonts w:ascii="Times New Roman"/>
                      <w:sz w:val="21"/>
                      <w:lang w:bidi="ar"/>
                    </w:rPr>
                  </w:pPr>
                  <w:r>
                    <w:rPr>
                      <w:rFonts w:hint="eastAsia" w:ascii="Times New Roman"/>
                      <w:sz w:val="21"/>
                      <w:lang w:bidi="ar"/>
                    </w:rPr>
                    <w:t>6.0~9.0</w:t>
                  </w:r>
                </w:p>
              </w:tc>
            </w:tr>
            <w:tr w14:paraId="6F1571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23" w:type="dxa"/>
                </w:tcPr>
                <w:p w14:paraId="2B5C6185">
                  <w:pPr>
                    <w:pStyle w:val="64"/>
                    <w:spacing w:beforeLines="0" w:afterLines="0" w:line="240" w:lineRule="auto"/>
                    <w:ind w:firstLine="0" w:firstLineChars="0"/>
                    <w:rPr>
                      <w:rFonts w:ascii="Times New Roman"/>
                      <w:sz w:val="21"/>
                      <w:lang w:bidi="ar"/>
                    </w:rPr>
                  </w:pPr>
                  <w:r>
                    <w:rPr>
                      <w:rFonts w:hint="eastAsia" w:ascii="Times New Roman"/>
                      <w:sz w:val="21"/>
                      <w:lang w:bidi="ar"/>
                    </w:rPr>
                    <w:t>2</w:t>
                  </w:r>
                </w:p>
              </w:tc>
              <w:tc>
                <w:tcPr>
                  <w:tcW w:w="3381" w:type="dxa"/>
                </w:tcPr>
                <w:p w14:paraId="217C5A94">
                  <w:pPr>
                    <w:pStyle w:val="64"/>
                    <w:spacing w:beforeLines="0" w:afterLines="0" w:line="240" w:lineRule="auto"/>
                    <w:ind w:firstLine="0" w:firstLineChars="0"/>
                    <w:rPr>
                      <w:rFonts w:ascii="Times New Roman"/>
                      <w:sz w:val="21"/>
                      <w:lang w:bidi="ar"/>
                    </w:rPr>
                  </w:pPr>
                  <w:r>
                    <w:rPr>
                      <w:rFonts w:hint="eastAsia" w:ascii="Times New Roman"/>
                      <w:sz w:val="21"/>
                      <w:lang w:bidi="ar"/>
                    </w:rPr>
                    <w:t>色度，铂钴色度单位</w:t>
                  </w:r>
                </w:p>
              </w:tc>
              <w:tc>
                <w:tcPr>
                  <w:tcW w:w="2955" w:type="dxa"/>
                </w:tcPr>
                <w:p w14:paraId="4C94D841">
                  <w:pPr>
                    <w:pStyle w:val="64"/>
                    <w:spacing w:beforeLines="0" w:afterLines="0" w:line="240" w:lineRule="auto"/>
                    <w:ind w:firstLine="0" w:firstLineChars="0"/>
                    <w:rPr>
                      <w:rFonts w:ascii="Times New Roman"/>
                      <w:sz w:val="21"/>
                      <w:lang w:bidi="ar"/>
                    </w:rPr>
                  </w:pPr>
                  <w:r>
                    <w:rPr>
                      <w:rFonts w:hint="eastAsia" w:ascii="Times New Roman"/>
                      <w:sz w:val="21"/>
                      <w:lang w:bidi="ar"/>
                    </w:rPr>
                    <w:t>30</w:t>
                  </w:r>
                </w:p>
              </w:tc>
            </w:tr>
            <w:tr w14:paraId="6500CC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23" w:type="dxa"/>
                </w:tcPr>
                <w:p w14:paraId="4A22BFC8">
                  <w:pPr>
                    <w:pStyle w:val="64"/>
                    <w:spacing w:beforeLines="0" w:afterLines="0" w:line="240" w:lineRule="auto"/>
                    <w:ind w:firstLine="0" w:firstLineChars="0"/>
                    <w:rPr>
                      <w:rFonts w:ascii="Times New Roman"/>
                      <w:sz w:val="21"/>
                      <w:lang w:bidi="ar"/>
                    </w:rPr>
                  </w:pPr>
                  <w:r>
                    <w:rPr>
                      <w:rFonts w:hint="eastAsia" w:ascii="Times New Roman"/>
                      <w:sz w:val="21"/>
                      <w:lang w:bidi="ar"/>
                    </w:rPr>
                    <w:t>3</w:t>
                  </w:r>
                </w:p>
              </w:tc>
              <w:tc>
                <w:tcPr>
                  <w:tcW w:w="3381" w:type="dxa"/>
                </w:tcPr>
                <w:p w14:paraId="0E5E39F4">
                  <w:pPr>
                    <w:pStyle w:val="64"/>
                    <w:spacing w:beforeLines="0" w:afterLines="0" w:line="240" w:lineRule="auto"/>
                    <w:ind w:firstLine="0" w:firstLineChars="0"/>
                    <w:rPr>
                      <w:rFonts w:ascii="Times New Roman"/>
                      <w:sz w:val="21"/>
                      <w:lang w:bidi="ar"/>
                    </w:rPr>
                  </w:pPr>
                  <w:r>
                    <w:rPr>
                      <w:rFonts w:hint="eastAsia" w:ascii="Times New Roman"/>
                      <w:sz w:val="21"/>
                      <w:lang w:bidi="ar"/>
                    </w:rPr>
                    <w:t>嗅</w:t>
                  </w:r>
                </w:p>
              </w:tc>
              <w:tc>
                <w:tcPr>
                  <w:tcW w:w="2955" w:type="dxa"/>
                </w:tcPr>
                <w:p w14:paraId="3B2F83AB">
                  <w:pPr>
                    <w:pStyle w:val="64"/>
                    <w:spacing w:beforeLines="0" w:afterLines="0" w:line="240" w:lineRule="auto"/>
                    <w:ind w:firstLine="0" w:firstLineChars="0"/>
                    <w:rPr>
                      <w:rFonts w:ascii="Times New Roman"/>
                      <w:sz w:val="21"/>
                      <w:lang w:bidi="ar"/>
                    </w:rPr>
                  </w:pPr>
                  <w:r>
                    <w:rPr>
                      <w:rFonts w:hint="eastAsia" w:ascii="Times New Roman"/>
                      <w:sz w:val="21"/>
                      <w:lang w:bidi="ar"/>
                    </w:rPr>
                    <w:t>无不快感</w:t>
                  </w:r>
                </w:p>
              </w:tc>
            </w:tr>
            <w:tr w14:paraId="740013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23" w:type="dxa"/>
                </w:tcPr>
                <w:p w14:paraId="18018A8C">
                  <w:pPr>
                    <w:pStyle w:val="64"/>
                    <w:spacing w:beforeLines="0" w:afterLines="0" w:line="240" w:lineRule="auto"/>
                    <w:ind w:firstLine="0" w:firstLineChars="0"/>
                    <w:rPr>
                      <w:rFonts w:ascii="Times New Roman"/>
                      <w:sz w:val="21"/>
                      <w:lang w:bidi="ar"/>
                    </w:rPr>
                  </w:pPr>
                  <w:r>
                    <w:rPr>
                      <w:rFonts w:hint="eastAsia" w:ascii="Times New Roman"/>
                      <w:sz w:val="21"/>
                      <w:lang w:bidi="ar"/>
                    </w:rPr>
                    <w:t>4</w:t>
                  </w:r>
                </w:p>
              </w:tc>
              <w:tc>
                <w:tcPr>
                  <w:tcW w:w="3381" w:type="dxa"/>
                </w:tcPr>
                <w:p w14:paraId="561A11CD">
                  <w:pPr>
                    <w:pStyle w:val="64"/>
                    <w:spacing w:beforeLines="0" w:afterLines="0" w:line="240" w:lineRule="auto"/>
                    <w:ind w:firstLine="0" w:firstLineChars="0"/>
                    <w:rPr>
                      <w:rFonts w:ascii="Times New Roman"/>
                      <w:sz w:val="21"/>
                      <w:lang w:bidi="ar"/>
                    </w:rPr>
                  </w:pPr>
                  <w:r>
                    <w:rPr>
                      <w:rFonts w:hint="eastAsia" w:ascii="Times New Roman"/>
                      <w:sz w:val="21"/>
                      <w:lang w:bidi="ar"/>
                    </w:rPr>
                    <w:t>浊度/NTU</w:t>
                  </w:r>
                </w:p>
              </w:tc>
              <w:tc>
                <w:tcPr>
                  <w:tcW w:w="2955" w:type="dxa"/>
                </w:tcPr>
                <w:p w14:paraId="54A923C7">
                  <w:pPr>
                    <w:pStyle w:val="64"/>
                    <w:spacing w:beforeLines="0" w:afterLines="0" w:line="240" w:lineRule="auto"/>
                    <w:ind w:firstLine="0" w:firstLineChars="0"/>
                    <w:rPr>
                      <w:rFonts w:ascii="Times New Roman"/>
                      <w:sz w:val="21"/>
                      <w:lang w:bidi="ar"/>
                    </w:rPr>
                  </w:pPr>
                  <w:r>
                    <w:rPr>
                      <w:rFonts w:hint="eastAsia" w:ascii="Times New Roman"/>
                      <w:sz w:val="21"/>
                      <w:lang w:bidi="ar"/>
                    </w:rPr>
                    <w:t>10</w:t>
                  </w:r>
                </w:p>
              </w:tc>
            </w:tr>
            <w:tr w14:paraId="2B1E66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23" w:type="dxa"/>
                </w:tcPr>
                <w:p w14:paraId="398E34D3">
                  <w:pPr>
                    <w:pStyle w:val="64"/>
                    <w:spacing w:beforeLines="0" w:afterLines="0" w:line="240" w:lineRule="auto"/>
                    <w:ind w:firstLine="0" w:firstLineChars="0"/>
                    <w:rPr>
                      <w:rFonts w:ascii="Times New Roman"/>
                      <w:sz w:val="21"/>
                      <w:lang w:bidi="ar"/>
                    </w:rPr>
                  </w:pPr>
                  <w:r>
                    <w:rPr>
                      <w:rFonts w:hint="eastAsia" w:ascii="Times New Roman"/>
                      <w:sz w:val="21"/>
                      <w:lang w:bidi="ar"/>
                    </w:rPr>
                    <w:t>5</w:t>
                  </w:r>
                </w:p>
              </w:tc>
              <w:tc>
                <w:tcPr>
                  <w:tcW w:w="3381" w:type="dxa"/>
                </w:tcPr>
                <w:p w14:paraId="4DB4397A">
                  <w:pPr>
                    <w:pStyle w:val="64"/>
                    <w:spacing w:beforeLines="0" w:afterLines="0" w:line="240" w:lineRule="auto"/>
                    <w:ind w:firstLine="0" w:firstLineChars="0"/>
                    <w:rPr>
                      <w:rFonts w:ascii="Times New Roman"/>
                      <w:sz w:val="21"/>
                      <w:lang w:bidi="ar"/>
                    </w:rPr>
                  </w:pPr>
                  <w:r>
                    <w:rPr>
                      <w:rFonts w:hint="eastAsia" w:ascii="Times New Roman"/>
                      <w:sz w:val="21"/>
                      <w:lang w:bidi="ar"/>
                    </w:rPr>
                    <w:t>五日生化需氧量（BOD</w:t>
                  </w:r>
                  <w:r>
                    <w:rPr>
                      <w:rFonts w:hint="eastAsia" w:ascii="Times New Roman"/>
                      <w:sz w:val="21"/>
                      <w:vertAlign w:val="subscript"/>
                      <w:lang w:bidi="ar"/>
                    </w:rPr>
                    <w:t>5</w:t>
                  </w:r>
                  <w:r>
                    <w:rPr>
                      <w:rFonts w:hint="eastAsia" w:ascii="Times New Roman"/>
                      <w:sz w:val="21"/>
                      <w:lang w:bidi="ar"/>
                    </w:rPr>
                    <w:t>）/（mg/L）</w:t>
                  </w:r>
                </w:p>
              </w:tc>
              <w:tc>
                <w:tcPr>
                  <w:tcW w:w="2955" w:type="dxa"/>
                </w:tcPr>
                <w:p w14:paraId="22684F1B">
                  <w:pPr>
                    <w:pStyle w:val="64"/>
                    <w:spacing w:beforeLines="0" w:afterLines="0" w:line="240" w:lineRule="auto"/>
                    <w:ind w:firstLine="0" w:firstLineChars="0"/>
                    <w:rPr>
                      <w:rFonts w:ascii="Times New Roman"/>
                      <w:sz w:val="21"/>
                      <w:lang w:bidi="ar"/>
                    </w:rPr>
                  </w:pPr>
                  <w:r>
                    <w:rPr>
                      <w:rFonts w:hint="eastAsia" w:ascii="Times New Roman"/>
                      <w:sz w:val="21"/>
                      <w:lang w:bidi="ar"/>
                    </w:rPr>
                    <w:t>10</w:t>
                  </w:r>
                </w:p>
              </w:tc>
            </w:tr>
            <w:tr w14:paraId="75503F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23" w:type="dxa"/>
                </w:tcPr>
                <w:p w14:paraId="5BE458B6">
                  <w:pPr>
                    <w:pStyle w:val="64"/>
                    <w:spacing w:beforeLines="0" w:afterLines="0" w:line="240" w:lineRule="auto"/>
                    <w:ind w:firstLine="0" w:firstLineChars="0"/>
                    <w:rPr>
                      <w:rFonts w:ascii="Times New Roman"/>
                      <w:sz w:val="21"/>
                      <w:lang w:bidi="ar"/>
                    </w:rPr>
                  </w:pPr>
                  <w:r>
                    <w:rPr>
                      <w:rFonts w:hint="eastAsia" w:ascii="Times New Roman"/>
                      <w:sz w:val="21"/>
                      <w:lang w:bidi="ar"/>
                    </w:rPr>
                    <w:t>6</w:t>
                  </w:r>
                </w:p>
              </w:tc>
              <w:tc>
                <w:tcPr>
                  <w:tcW w:w="3381" w:type="dxa"/>
                </w:tcPr>
                <w:p w14:paraId="6D0B71E3">
                  <w:pPr>
                    <w:pStyle w:val="64"/>
                    <w:spacing w:beforeLines="0" w:afterLines="0" w:line="240" w:lineRule="auto"/>
                    <w:ind w:firstLine="0" w:firstLineChars="0"/>
                    <w:rPr>
                      <w:rFonts w:ascii="Times New Roman"/>
                      <w:sz w:val="21"/>
                      <w:lang w:bidi="ar"/>
                    </w:rPr>
                  </w:pPr>
                  <w:r>
                    <w:rPr>
                      <w:rFonts w:hint="eastAsia" w:ascii="Times New Roman"/>
                      <w:sz w:val="21"/>
                      <w:lang w:bidi="ar"/>
                    </w:rPr>
                    <w:t>氨氮/（mg/L）</w:t>
                  </w:r>
                </w:p>
              </w:tc>
              <w:tc>
                <w:tcPr>
                  <w:tcW w:w="2955" w:type="dxa"/>
                </w:tcPr>
                <w:p w14:paraId="2608AE52">
                  <w:pPr>
                    <w:pStyle w:val="64"/>
                    <w:spacing w:beforeLines="0" w:afterLines="0" w:line="240" w:lineRule="auto"/>
                    <w:ind w:firstLine="0" w:firstLineChars="0"/>
                    <w:rPr>
                      <w:rFonts w:ascii="Times New Roman"/>
                      <w:sz w:val="21"/>
                      <w:lang w:bidi="ar"/>
                    </w:rPr>
                  </w:pPr>
                  <w:r>
                    <w:rPr>
                      <w:rFonts w:hint="eastAsia" w:ascii="Times New Roman"/>
                      <w:sz w:val="21"/>
                      <w:lang w:bidi="ar"/>
                    </w:rPr>
                    <w:t>8</w:t>
                  </w:r>
                </w:p>
              </w:tc>
            </w:tr>
            <w:tr w14:paraId="375DDB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23" w:type="dxa"/>
                </w:tcPr>
                <w:p w14:paraId="0BEB1D5D">
                  <w:pPr>
                    <w:pStyle w:val="64"/>
                    <w:spacing w:beforeLines="0" w:afterLines="0" w:line="240" w:lineRule="auto"/>
                    <w:ind w:firstLine="0" w:firstLineChars="0"/>
                    <w:rPr>
                      <w:rFonts w:ascii="Times New Roman"/>
                      <w:sz w:val="21"/>
                      <w:lang w:bidi="ar"/>
                    </w:rPr>
                  </w:pPr>
                  <w:r>
                    <w:rPr>
                      <w:rFonts w:hint="eastAsia" w:ascii="Times New Roman"/>
                      <w:sz w:val="21"/>
                      <w:lang w:bidi="ar"/>
                    </w:rPr>
                    <w:t>7</w:t>
                  </w:r>
                </w:p>
              </w:tc>
              <w:tc>
                <w:tcPr>
                  <w:tcW w:w="3381" w:type="dxa"/>
                </w:tcPr>
                <w:p w14:paraId="7363BF47">
                  <w:pPr>
                    <w:pStyle w:val="64"/>
                    <w:spacing w:beforeLines="0" w:afterLines="0" w:line="240" w:lineRule="auto"/>
                    <w:ind w:firstLine="0" w:firstLineChars="0"/>
                    <w:rPr>
                      <w:rFonts w:ascii="Times New Roman"/>
                      <w:sz w:val="21"/>
                      <w:lang w:bidi="ar"/>
                    </w:rPr>
                  </w:pPr>
                  <w:r>
                    <w:rPr>
                      <w:rFonts w:hint="eastAsia" w:ascii="Times New Roman"/>
                      <w:sz w:val="21"/>
                      <w:lang w:bidi="ar"/>
                    </w:rPr>
                    <w:t>阴离子表面活性剂/（mg/L）</w:t>
                  </w:r>
                </w:p>
              </w:tc>
              <w:tc>
                <w:tcPr>
                  <w:tcW w:w="2955" w:type="dxa"/>
                </w:tcPr>
                <w:p w14:paraId="0CA655F4">
                  <w:pPr>
                    <w:pStyle w:val="64"/>
                    <w:spacing w:beforeLines="0" w:afterLines="0" w:line="240" w:lineRule="auto"/>
                    <w:ind w:firstLine="0" w:firstLineChars="0"/>
                    <w:rPr>
                      <w:rFonts w:ascii="Times New Roman"/>
                      <w:sz w:val="21"/>
                      <w:lang w:bidi="ar"/>
                    </w:rPr>
                  </w:pPr>
                  <w:r>
                    <w:rPr>
                      <w:rFonts w:hint="eastAsia" w:ascii="Times New Roman"/>
                      <w:sz w:val="21"/>
                      <w:lang w:bidi="ar"/>
                    </w:rPr>
                    <w:t>0.5</w:t>
                  </w:r>
                </w:p>
              </w:tc>
            </w:tr>
            <w:tr w14:paraId="154D9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23" w:type="dxa"/>
                </w:tcPr>
                <w:p w14:paraId="585CF471">
                  <w:pPr>
                    <w:pStyle w:val="64"/>
                    <w:spacing w:beforeLines="0" w:afterLines="0" w:line="240" w:lineRule="auto"/>
                    <w:ind w:firstLine="0" w:firstLineChars="0"/>
                    <w:rPr>
                      <w:rFonts w:ascii="Times New Roman"/>
                      <w:sz w:val="21"/>
                      <w:lang w:bidi="ar"/>
                    </w:rPr>
                  </w:pPr>
                  <w:r>
                    <w:rPr>
                      <w:rFonts w:hint="eastAsia" w:ascii="Times New Roman"/>
                      <w:sz w:val="21"/>
                      <w:lang w:bidi="ar"/>
                    </w:rPr>
                    <w:t>8</w:t>
                  </w:r>
                </w:p>
              </w:tc>
              <w:tc>
                <w:tcPr>
                  <w:tcW w:w="3381" w:type="dxa"/>
                </w:tcPr>
                <w:p w14:paraId="2B6441E8">
                  <w:pPr>
                    <w:pStyle w:val="64"/>
                    <w:spacing w:beforeLines="0" w:afterLines="0" w:line="240" w:lineRule="auto"/>
                    <w:ind w:firstLine="0" w:firstLineChars="0"/>
                    <w:rPr>
                      <w:rFonts w:ascii="Times New Roman"/>
                      <w:sz w:val="21"/>
                      <w:lang w:bidi="ar"/>
                    </w:rPr>
                  </w:pPr>
                  <w:r>
                    <w:rPr>
                      <w:rFonts w:hint="eastAsia" w:ascii="Times New Roman"/>
                      <w:sz w:val="21"/>
                      <w:lang w:bidi="ar"/>
                    </w:rPr>
                    <w:t>铁/（mg/L）</w:t>
                  </w:r>
                </w:p>
              </w:tc>
              <w:tc>
                <w:tcPr>
                  <w:tcW w:w="2955" w:type="dxa"/>
                </w:tcPr>
                <w:p w14:paraId="0FC31880">
                  <w:pPr>
                    <w:pStyle w:val="64"/>
                    <w:spacing w:beforeLines="0" w:afterLines="0" w:line="240" w:lineRule="auto"/>
                    <w:ind w:firstLine="0" w:firstLineChars="0"/>
                    <w:rPr>
                      <w:rFonts w:ascii="Times New Roman"/>
                      <w:sz w:val="21"/>
                      <w:lang w:bidi="ar"/>
                    </w:rPr>
                  </w:pPr>
                  <w:r>
                    <w:rPr>
                      <w:rFonts w:hint="eastAsia" w:ascii="Times New Roman"/>
                      <w:sz w:val="21"/>
                      <w:lang w:bidi="ar"/>
                    </w:rPr>
                    <w:t>—</w:t>
                  </w:r>
                </w:p>
              </w:tc>
            </w:tr>
            <w:tr w14:paraId="726FD95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23" w:type="dxa"/>
                </w:tcPr>
                <w:p w14:paraId="54E04CA0">
                  <w:pPr>
                    <w:pStyle w:val="64"/>
                    <w:spacing w:beforeLines="0" w:afterLines="0" w:line="240" w:lineRule="auto"/>
                    <w:ind w:firstLine="0" w:firstLineChars="0"/>
                    <w:rPr>
                      <w:rFonts w:ascii="Times New Roman"/>
                      <w:sz w:val="21"/>
                      <w:lang w:bidi="ar"/>
                    </w:rPr>
                  </w:pPr>
                  <w:r>
                    <w:rPr>
                      <w:rFonts w:hint="eastAsia" w:ascii="Times New Roman"/>
                      <w:sz w:val="21"/>
                      <w:lang w:bidi="ar"/>
                    </w:rPr>
                    <w:t>9</w:t>
                  </w:r>
                </w:p>
              </w:tc>
              <w:tc>
                <w:tcPr>
                  <w:tcW w:w="3381" w:type="dxa"/>
                </w:tcPr>
                <w:p w14:paraId="607D1B05">
                  <w:pPr>
                    <w:pStyle w:val="64"/>
                    <w:spacing w:beforeLines="0" w:afterLines="0" w:line="240" w:lineRule="auto"/>
                    <w:ind w:firstLine="0" w:firstLineChars="0"/>
                    <w:rPr>
                      <w:rFonts w:ascii="Times New Roman"/>
                      <w:sz w:val="21"/>
                      <w:lang w:bidi="ar"/>
                    </w:rPr>
                  </w:pPr>
                  <w:r>
                    <w:rPr>
                      <w:rFonts w:hint="eastAsia" w:ascii="Times New Roman"/>
                      <w:sz w:val="21"/>
                      <w:lang w:bidi="ar"/>
                    </w:rPr>
                    <w:t>锰/（mg/L）</w:t>
                  </w:r>
                </w:p>
              </w:tc>
              <w:tc>
                <w:tcPr>
                  <w:tcW w:w="2955" w:type="dxa"/>
                </w:tcPr>
                <w:p w14:paraId="75844A4D">
                  <w:pPr>
                    <w:pStyle w:val="64"/>
                    <w:spacing w:beforeLines="0" w:afterLines="0" w:line="240" w:lineRule="auto"/>
                    <w:ind w:firstLine="0" w:firstLineChars="0"/>
                    <w:rPr>
                      <w:rFonts w:ascii="Times New Roman"/>
                      <w:sz w:val="21"/>
                      <w:lang w:bidi="ar"/>
                    </w:rPr>
                  </w:pPr>
                  <w:r>
                    <w:rPr>
                      <w:rFonts w:hint="eastAsia" w:ascii="Times New Roman"/>
                      <w:sz w:val="21"/>
                      <w:lang w:bidi="ar"/>
                    </w:rPr>
                    <w:t>—</w:t>
                  </w:r>
                </w:p>
              </w:tc>
            </w:tr>
            <w:tr w14:paraId="3F19ED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23" w:type="dxa"/>
                </w:tcPr>
                <w:p w14:paraId="2A3E527A">
                  <w:pPr>
                    <w:pStyle w:val="64"/>
                    <w:spacing w:beforeLines="0" w:afterLines="0" w:line="240" w:lineRule="auto"/>
                    <w:ind w:firstLine="0" w:firstLineChars="0"/>
                    <w:rPr>
                      <w:rFonts w:ascii="Times New Roman"/>
                      <w:sz w:val="21"/>
                      <w:lang w:bidi="ar"/>
                    </w:rPr>
                  </w:pPr>
                  <w:r>
                    <w:rPr>
                      <w:rFonts w:hint="eastAsia" w:ascii="Times New Roman"/>
                      <w:sz w:val="21"/>
                      <w:lang w:bidi="ar"/>
                    </w:rPr>
                    <w:t>10</w:t>
                  </w:r>
                </w:p>
              </w:tc>
              <w:tc>
                <w:tcPr>
                  <w:tcW w:w="3381" w:type="dxa"/>
                </w:tcPr>
                <w:p w14:paraId="72979DC4">
                  <w:pPr>
                    <w:pStyle w:val="64"/>
                    <w:spacing w:beforeLines="0" w:afterLines="0" w:line="240" w:lineRule="auto"/>
                    <w:ind w:firstLine="0" w:firstLineChars="0"/>
                    <w:rPr>
                      <w:rFonts w:ascii="Times New Roman"/>
                      <w:sz w:val="21"/>
                      <w:lang w:bidi="ar"/>
                    </w:rPr>
                  </w:pPr>
                  <w:r>
                    <w:rPr>
                      <w:rFonts w:hint="eastAsia" w:ascii="Times New Roman"/>
                      <w:sz w:val="21"/>
                      <w:lang w:bidi="ar"/>
                    </w:rPr>
                    <w:t>溶解性总固体/（mg/L）</w:t>
                  </w:r>
                </w:p>
              </w:tc>
              <w:tc>
                <w:tcPr>
                  <w:tcW w:w="2955" w:type="dxa"/>
                </w:tcPr>
                <w:p w14:paraId="02F803D3">
                  <w:pPr>
                    <w:pStyle w:val="64"/>
                    <w:spacing w:beforeLines="0" w:afterLines="0" w:line="240" w:lineRule="auto"/>
                    <w:ind w:firstLine="0" w:firstLineChars="0"/>
                    <w:rPr>
                      <w:rFonts w:ascii="Times New Roman"/>
                      <w:sz w:val="21"/>
                      <w:lang w:bidi="ar"/>
                    </w:rPr>
                  </w:pPr>
                  <w:r>
                    <w:rPr>
                      <w:rFonts w:hint="eastAsia" w:ascii="Times New Roman"/>
                      <w:sz w:val="21"/>
                      <w:lang w:bidi="ar"/>
                    </w:rPr>
                    <w:t>1000（2000）</w:t>
                  </w:r>
                  <w:r>
                    <w:rPr>
                      <w:rFonts w:hint="eastAsia" w:ascii="Times New Roman"/>
                      <w:sz w:val="21"/>
                      <w:vertAlign w:val="superscript"/>
                      <w:lang w:bidi="ar"/>
                    </w:rPr>
                    <w:t>a</w:t>
                  </w:r>
                </w:p>
              </w:tc>
            </w:tr>
            <w:tr w14:paraId="72E5D7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23" w:type="dxa"/>
                </w:tcPr>
                <w:p w14:paraId="2536624C">
                  <w:pPr>
                    <w:pStyle w:val="64"/>
                    <w:spacing w:beforeLines="0" w:afterLines="0" w:line="240" w:lineRule="auto"/>
                    <w:ind w:firstLine="0" w:firstLineChars="0"/>
                    <w:rPr>
                      <w:rFonts w:ascii="Times New Roman"/>
                      <w:sz w:val="21"/>
                      <w:lang w:bidi="ar"/>
                    </w:rPr>
                  </w:pPr>
                  <w:r>
                    <w:rPr>
                      <w:rFonts w:hint="eastAsia" w:ascii="Times New Roman"/>
                      <w:sz w:val="21"/>
                      <w:lang w:bidi="ar"/>
                    </w:rPr>
                    <w:t>11</w:t>
                  </w:r>
                </w:p>
              </w:tc>
              <w:tc>
                <w:tcPr>
                  <w:tcW w:w="3381" w:type="dxa"/>
                </w:tcPr>
                <w:p w14:paraId="31358E73">
                  <w:pPr>
                    <w:pStyle w:val="64"/>
                    <w:spacing w:beforeLines="0" w:afterLines="0" w:line="240" w:lineRule="auto"/>
                    <w:ind w:firstLine="0" w:firstLineChars="0"/>
                    <w:rPr>
                      <w:rFonts w:ascii="Times New Roman"/>
                      <w:sz w:val="21"/>
                      <w:lang w:bidi="ar"/>
                    </w:rPr>
                  </w:pPr>
                  <w:r>
                    <w:rPr>
                      <w:rFonts w:hint="eastAsia" w:ascii="Times New Roman"/>
                      <w:sz w:val="21"/>
                      <w:lang w:bidi="ar"/>
                    </w:rPr>
                    <w:t>溶解氧/（mg/L）</w:t>
                  </w:r>
                </w:p>
              </w:tc>
              <w:tc>
                <w:tcPr>
                  <w:tcW w:w="2955" w:type="dxa"/>
                </w:tcPr>
                <w:p w14:paraId="50D852B5">
                  <w:pPr>
                    <w:pStyle w:val="64"/>
                    <w:spacing w:beforeLines="0" w:afterLines="0" w:line="240" w:lineRule="auto"/>
                    <w:ind w:firstLine="0" w:firstLineChars="0"/>
                    <w:rPr>
                      <w:rFonts w:ascii="Times New Roman"/>
                      <w:sz w:val="21"/>
                      <w:lang w:bidi="ar"/>
                    </w:rPr>
                  </w:pPr>
                  <w:r>
                    <w:rPr>
                      <w:rFonts w:hint="eastAsia" w:ascii="Times New Roman"/>
                      <w:sz w:val="21"/>
                      <w:lang w:bidi="ar"/>
                    </w:rPr>
                    <w:t>2.0</w:t>
                  </w:r>
                </w:p>
              </w:tc>
            </w:tr>
            <w:tr w14:paraId="7AF74D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23" w:type="dxa"/>
                </w:tcPr>
                <w:p w14:paraId="4930310E">
                  <w:pPr>
                    <w:pStyle w:val="64"/>
                    <w:spacing w:beforeLines="0" w:afterLines="0" w:line="240" w:lineRule="auto"/>
                    <w:ind w:firstLine="0" w:firstLineChars="0"/>
                    <w:rPr>
                      <w:rFonts w:ascii="Times New Roman"/>
                      <w:sz w:val="21"/>
                      <w:lang w:bidi="ar"/>
                    </w:rPr>
                  </w:pPr>
                  <w:r>
                    <w:rPr>
                      <w:rFonts w:hint="eastAsia" w:ascii="Times New Roman"/>
                      <w:sz w:val="21"/>
                      <w:lang w:bidi="ar"/>
                    </w:rPr>
                    <w:t>12</w:t>
                  </w:r>
                </w:p>
              </w:tc>
              <w:tc>
                <w:tcPr>
                  <w:tcW w:w="3381" w:type="dxa"/>
                </w:tcPr>
                <w:p w14:paraId="433272B6">
                  <w:pPr>
                    <w:pStyle w:val="64"/>
                    <w:spacing w:beforeLines="0" w:afterLines="0" w:line="240" w:lineRule="auto"/>
                    <w:ind w:firstLine="0" w:firstLineChars="0"/>
                    <w:rPr>
                      <w:rFonts w:ascii="Times New Roman"/>
                      <w:sz w:val="21"/>
                      <w:lang w:bidi="ar"/>
                    </w:rPr>
                  </w:pPr>
                  <w:r>
                    <w:rPr>
                      <w:rFonts w:hint="eastAsia" w:ascii="Times New Roman"/>
                      <w:sz w:val="21"/>
                      <w:lang w:bidi="ar"/>
                    </w:rPr>
                    <w:t>总氯/（mg/L）</w:t>
                  </w:r>
                </w:p>
              </w:tc>
              <w:tc>
                <w:tcPr>
                  <w:tcW w:w="2955" w:type="dxa"/>
                </w:tcPr>
                <w:p w14:paraId="52E0C3EA">
                  <w:pPr>
                    <w:pStyle w:val="64"/>
                    <w:spacing w:beforeLines="0" w:afterLines="0" w:line="240" w:lineRule="auto"/>
                    <w:ind w:firstLine="0" w:firstLineChars="0"/>
                    <w:rPr>
                      <w:rFonts w:ascii="Times New Roman"/>
                      <w:sz w:val="21"/>
                      <w:lang w:bidi="ar"/>
                    </w:rPr>
                  </w:pPr>
                  <w:r>
                    <w:rPr>
                      <w:rFonts w:hint="eastAsia" w:ascii="Times New Roman"/>
                      <w:sz w:val="21"/>
                      <w:lang w:bidi="ar"/>
                    </w:rPr>
                    <w:t>1.0（出厂），0.2</w:t>
                  </w:r>
                  <w:r>
                    <w:rPr>
                      <w:rFonts w:hint="eastAsia" w:ascii="Times New Roman"/>
                      <w:sz w:val="21"/>
                      <w:vertAlign w:val="superscript"/>
                      <w:lang w:bidi="ar"/>
                    </w:rPr>
                    <w:t>b</w:t>
                  </w:r>
                  <w:r>
                    <w:rPr>
                      <w:rFonts w:hint="eastAsia" w:ascii="Times New Roman"/>
                      <w:sz w:val="21"/>
                      <w:lang w:bidi="ar"/>
                    </w:rPr>
                    <w:t>（管网末端）</w:t>
                  </w:r>
                </w:p>
              </w:tc>
            </w:tr>
            <w:tr w14:paraId="382C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1323" w:type="dxa"/>
                </w:tcPr>
                <w:p w14:paraId="5D6A0977">
                  <w:pPr>
                    <w:pStyle w:val="64"/>
                    <w:spacing w:beforeLines="0" w:afterLines="0" w:line="240" w:lineRule="auto"/>
                    <w:ind w:firstLine="0" w:firstLineChars="0"/>
                    <w:rPr>
                      <w:rFonts w:ascii="Times New Roman"/>
                      <w:sz w:val="21"/>
                      <w:lang w:bidi="ar"/>
                    </w:rPr>
                  </w:pPr>
                  <w:r>
                    <w:rPr>
                      <w:rFonts w:hint="eastAsia" w:ascii="Times New Roman"/>
                      <w:sz w:val="21"/>
                      <w:lang w:bidi="ar"/>
                    </w:rPr>
                    <w:t>13</w:t>
                  </w:r>
                </w:p>
              </w:tc>
              <w:tc>
                <w:tcPr>
                  <w:tcW w:w="3381" w:type="dxa"/>
                </w:tcPr>
                <w:p w14:paraId="2BEFA01C">
                  <w:pPr>
                    <w:pStyle w:val="64"/>
                    <w:spacing w:beforeLines="0" w:afterLines="0" w:line="240" w:lineRule="auto"/>
                    <w:ind w:firstLine="0" w:firstLineChars="0"/>
                    <w:rPr>
                      <w:rFonts w:ascii="Times New Roman"/>
                      <w:sz w:val="21"/>
                      <w:lang w:bidi="ar"/>
                    </w:rPr>
                  </w:pPr>
                  <w:r>
                    <w:rPr>
                      <w:rFonts w:hint="eastAsia" w:ascii="Times New Roman"/>
                      <w:sz w:val="21"/>
                      <w:lang w:bidi="ar"/>
                    </w:rPr>
                    <w:t>大肠埃希氏菌/（MPN/100mL或CFU/100mL）</w:t>
                  </w:r>
                </w:p>
              </w:tc>
              <w:tc>
                <w:tcPr>
                  <w:tcW w:w="2955" w:type="dxa"/>
                </w:tcPr>
                <w:p w14:paraId="4E5F5B48">
                  <w:pPr>
                    <w:pStyle w:val="64"/>
                    <w:spacing w:beforeLines="0" w:afterLines="0" w:line="240" w:lineRule="auto"/>
                    <w:ind w:firstLine="0" w:firstLineChars="0"/>
                    <w:rPr>
                      <w:rFonts w:ascii="Times New Roman"/>
                      <w:sz w:val="21"/>
                      <w:lang w:bidi="ar"/>
                    </w:rPr>
                  </w:pPr>
                  <w:r>
                    <w:rPr>
                      <w:rFonts w:hint="eastAsia" w:ascii="Times New Roman"/>
                      <w:sz w:val="21"/>
                      <w:lang w:bidi="ar"/>
                    </w:rPr>
                    <w:t>无</w:t>
                  </w:r>
                </w:p>
              </w:tc>
            </w:tr>
            <w:tr w14:paraId="5A603B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659" w:type="dxa"/>
                  <w:gridSpan w:val="3"/>
                </w:tcPr>
                <w:p w14:paraId="45305C9B">
                  <w:pPr>
                    <w:pStyle w:val="64"/>
                    <w:spacing w:beforeLines="0" w:afterLines="0" w:line="240" w:lineRule="auto"/>
                    <w:ind w:firstLine="0" w:firstLineChars="0"/>
                    <w:jc w:val="left"/>
                    <w:rPr>
                      <w:rFonts w:ascii="Times New Roman"/>
                      <w:sz w:val="21"/>
                      <w:lang w:bidi="ar"/>
                    </w:rPr>
                  </w:pPr>
                  <w:r>
                    <w:rPr>
                      <w:rFonts w:hint="eastAsia" w:ascii="Times New Roman"/>
                      <w:sz w:val="21"/>
                      <w:lang w:bidi="ar"/>
                    </w:rPr>
                    <w:t>注：“—”表示对此项无要求。</w:t>
                  </w:r>
                </w:p>
              </w:tc>
            </w:tr>
            <w:tr w14:paraId="242AD1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 w:hRule="atLeast"/>
              </w:trPr>
              <w:tc>
                <w:tcPr>
                  <w:tcW w:w="7659" w:type="dxa"/>
                  <w:gridSpan w:val="3"/>
                </w:tcPr>
                <w:p w14:paraId="38B955D1">
                  <w:pPr>
                    <w:pStyle w:val="64"/>
                    <w:spacing w:beforeLines="0" w:afterLines="0" w:line="240" w:lineRule="auto"/>
                    <w:ind w:firstLine="0" w:firstLineChars="0"/>
                    <w:rPr>
                      <w:rFonts w:ascii="Times New Roman"/>
                      <w:sz w:val="21"/>
                      <w:lang w:bidi="ar"/>
                    </w:rPr>
                  </w:pPr>
                  <w:r>
                    <w:rPr>
                      <w:rFonts w:hint="eastAsia" w:ascii="Times New Roman"/>
                      <w:sz w:val="21"/>
                      <w:lang w:bidi="ar"/>
                    </w:rPr>
                    <w:t>a括号内指标值为沿海及本地水源中溶解性固体含量较高的区域的指标。</w:t>
                  </w:r>
                </w:p>
                <w:p w14:paraId="2B3762A6">
                  <w:pPr>
                    <w:pStyle w:val="64"/>
                    <w:spacing w:beforeLines="0" w:afterLines="0" w:line="240" w:lineRule="auto"/>
                    <w:ind w:firstLine="420"/>
                    <w:jc w:val="both"/>
                    <w:rPr>
                      <w:rFonts w:ascii="Times New Roman"/>
                      <w:sz w:val="21"/>
                      <w:lang w:bidi="ar"/>
                    </w:rPr>
                  </w:pPr>
                  <w:r>
                    <w:rPr>
                      <w:rFonts w:hint="eastAsia" w:ascii="Times New Roman"/>
                      <w:sz w:val="21"/>
                      <w:lang w:bidi="ar"/>
                    </w:rPr>
                    <w:t>b 用于城市绿化时，不应超过2.5mg/L</w:t>
                  </w:r>
                </w:p>
                <w:p w14:paraId="45219344">
                  <w:pPr>
                    <w:pStyle w:val="64"/>
                    <w:spacing w:beforeLines="0" w:afterLines="0" w:line="240" w:lineRule="auto"/>
                    <w:ind w:firstLine="420"/>
                    <w:jc w:val="both"/>
                    <w:rPr>
                      <w:rFonts w:ascii="Times New Roman"/>
                      <w:sz w:val="21"/>
                      <w:lang w:bidi="ar"/>
                    </w:rPr>
                  </w:pPr>
                  <w:r>
                    <w:rPr>
                      <w:rFonts w:hint="eastAsia" w:ascii="Times New Roman"/>
                      <w:sz w:val="21"/>
                      <w:lang w:bidi="ar"/>
                    </w:rPr>
                    <w:t>c大肠埃希氏菌不应检出。</w:t>
                  </w:r>
                </w:p>
              </w:tc>
            </w:tr>
          </w:tbl>
          <w:p w14:paraId="49174853">
            <w:pPr>
              <w:pStyle w:val="71"/>
              <w:adjustRightInd w:val="0"/>
              <w:ind w:firstLine="496"/>
              <w:jc w:val="both"/>
              <w:rPr>
                <w:lang w:val="en-US"/>
              </w:rPr>
            </w:pPr>
          </w:p>
        </w:tc>
      </w:tr>
      <w:tr w14:paraId="785933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9" w:type="dxa"/>
            <w:vAlign w:val="center"/>
          </w:tcPr>
          <w:p w14:paraId="6AA2B116">
            <w:pPr>
              <w:adjustRightInd w:val="0"/>
              <w:snapToGrid w:val="0"/>
              <w:ind w:firstLine="0" w:firstLineChars="0"/>
              <w:rPr>
                <w:kern w:val="0"/>
                <w:szCs w:val="21"/>
              </w:rPr>
            </w:pPr>
            <w:r>
              <w:rPr>
                <w:rFonts w:hint="eastAsia"/>
                <w:kern w:val="0"/>
                <w:szCs w:val="21"/>
              </w:rPr>
              <w:t>其他</w:t>
            </w:r>
          </w:p>
        </w:tc>
        <w:tc>
          <w:tcPr>
            <w:tcW w:w="7879" w:type="dxa"/>
            <w:vAlign w:val="center"/>
          </w:tcPr>
          <w:p w14:paraId="3C34D15E">
            <w:pPr>
              <w:pStyle w:val="71"/>
              <w:adjustRightInd w:val="0"/>
              <w:ind w:firstLine="496"/>
              <w:jc w:val="both"/>
              <w:rPr>
                <w:rFonts w:hint="eastAsia"/>
                <w:lang w:val="en-US"/>
              </w:rPr>
            </w:pPr>
            <w:r>
              <w:rPr>
                <w:rFonts w:hint="eastAsia"/>
                <w:lang w:val="en-US"/>
              </w:rPr>
              <w:t>无</w:t>
            </w:r>
          </w:p>
          <w:p w14:paraId="001957F6">
            <w:pPr>
              <w:pStyle w:val="71"/>
              <w:adjustRightInd w:val="0"/>
              <w:ind w:firstLine="496"/>
              <w:jc w:val="both"/>
              <w:rPr>
                <w:rFonts w:hint="eastAsia"/>
                <w:lang w:val="en-US"/>
              </w:rPr>
            </w:pPr>
          </w:p>
          <w:p w14:paraId="0638A6A6">
            <w:pPr>
              <w:pStyle w:val="71"/>
              <w:adjustRightInd w:val="0"/>
              <w:ind w:firstLine="496"/>
              <w:jc w:val="both"/>
              <w:rPr>
                <w:rFonts w:hint="eastAsia"/>
                <w:lang w:val="en-US"/>
              </w:rPr>
            </w:pPr>
          </w:p>
          <w:p w14:paraId="037DE9F8">
            <w:pPr>
              <w:pStyle w:val="71"/>
              <w:adjustRightInd w:val="0"/>
              <w:ind w:firstLine="496"/>
              <w:jc w:val="both"/>
              <w:rPr>
                <w:rFonts w:hint="eastAsia"/>
                <w:lang w:val="en-US"/>
              </w:rPr>
            </w:pPr>
          </w:p>
          <w:p w14:paraId="2B66D53B">
            <w:pPr>
              <w:pStyle w:val="71"/>
              <w:adjustRightInd w:val="0"/>
              <w:ind w:firstLine="496"/>
              <w:jc w:val="both"/>
              <w:rPr>
                <w:rFonts w:hint="eastAsia"/>
                <w:lang w:val="en-US"/>
              </w:rPr>
            </w:pPr>
          </w:p>
          <w:p w14:paraId="3346D959">
            <w:pPr>
              <w:pStyle w:val="71"/>
              <w:adjustRightInd w:val="0"/>
              <w:ind w:firstLine="496"/>
              <w:jc w:val="both"/>
              <w:rPr>
                <w:rFonts w:hint="eastAsia"/>
                <w:lang w:val="en-US"/>
              </w:rPr>
            </w:pPr>
          </w:p>
          <w:p w14:paraId="5FA4A82C">
            <w:pPr>
              <w:pStyle w:val="71"/>
              <w:adjustRightInd w:val="0"/>
              <w:ind w:firstLine="496"/>
              <w:jc w:val="both"/>
              <w:rPr>
                <w:rFonts w:hint="eastAsia"/>
                <w:lang w:val="en-US"/>
              </w:rPr>
            </w:pPr>
          </w:p>
          <w:p w14:paraId="13ADAFF4">
            <w:pPr>
              <w:pStyle w:val="71"/>
              <w:adjustRightInd w:val="0"/>
              <w:ind w:firstLine="496"/>
              <w:jc w:val="both"/>
              <w:rPr>
                <w:rFonts w:hint="eastAsia"/>
                <w:lang w:val="en-US"/>
              </w:rPr>
            </w:pPr>
          </w:p>
          <w:p w14:paraId="40DFF689">
            <w:pPr>
              <w:pStyle w:val="71"/>
              <w:adjustRightInd w:val="0"/>
              <w:ind w:firstLine="496"/>
              <w:jc w:val="both"/>
              <w:rPr>
                <w:rFonts w:hint="eastAsia"/>
                <w:lang w:val="en-US"/>
              </w:rPr>
            </w:pPr>
          </w:p>
          <w:p w14:paraId="175DB85E">
            <w:pPr>
              <w:pStyle w:val="71"/>
              <w:adjustRightInd w:val="0"/>
              <w:ind w:firstLine="496"/>
              <w:jc w:val="both"/>
              <w:rPr>
                <w:rFonts w:hint="eastAsia"/>
                <w:lang w:val="en-US"/>
              </w:rPr>
            </w:pPr>
          </w:p>
          <w:p w14:paraId="6356FA67">
            <w:pPr>
              <w:pStyle w:val="71"/>
              <w:adjustRightInd w:val="0"/>
              <w:ind w:firstLine="496"/>
              <w:jc w:val="both"/>
              <w:rPr>
                <w:rFonts w:hint="eastAsia"/>
                <w:lang w:val="en-US"/>
              </w:rPr>
            </w:pPr>
          </w:p>
          <w:p w14:paraId="08F1019A">
            <w:pPr>
              <w:pStyle w:val="71"/>
              <w:adjustRightInd w:val="0"/>
              <w:ind w:firstLine="496"/>
              <w:jc w:val="both"/>
              <w:rPr>
                <w:rFonts w:hint="eastAsia"/>
                <w:lang w:val="en-US"/>
              </w:rPr>
            </w:pPr>
          </w:p>
          <w:p w14:paraId="1F3D9388">
            <w:pPr>
              <w:pStyle w:val="71"/>
              <w:adjustRightInd w:val="0"/>
              <w:ind w:firstLine="496"/>
              <w:jc w:val="both"/>
              <w:rPr>
                <w:rFonts w:hint="eastAsia"/>
                <w:lang w:val="en-US"/>
              </w:rPr>
            </w:pPr>
          </w:p>
          <w:p w14:paraId="562EE482">
            <w:pPr>
              <w:pStyle w:val="71"/>
              <w:adjustRightInd w:val="0"/>
              <w:ind w:firstLine="496"/>
              <w:jc w:val="both"/>
              <w:rPr>
                <w:rFonts w:hint="eastAsia"/>
                <w:lang w:val="en-US"/>
              </w:rPr>
            </w:pPr>
          </w:p>
          <w:p w14:paraId="77BD9067">
            <w:pPr>
              <w:pStyle w:val="71"/>
              <w:adjustRightInd w:val="0"/>
              <w:ind w:firstLine="496"/>
              <w:jc w:val="both"/>
              <w:rPr>
                <w:rFonts w:hint="eastAsia"/>
                <w:lang w:val="en-US"/>
              </w:rPr>
            </w:pPr>
          </w:p>
          <w:p w14:paraId="2FA46E46">
            <w:pPr>
              <w:pStyle w:val="71"/>
              <w:adjustRightInd w:val="0"/>
              <w:ind w:firstLine="496"/>
              <w:jc w:val="both"/>
              <w:rPr>
                <w:rFonts w:hint="eastAsia"/>
                <w:lang w:val="en-US"/>
              </w:rPr>
            </w:pPr>
          </w:p>
          <w:p w14:paraId="29116358">
            <w:pPr>
              <w:pStyle w:val="71"/>
              <w:adjustRightInd w:val="0"/>
              <w:ind w:firstLine="496"/>
              <w:jc w:val="both"/>
              <w:rPr>
                <w:rFonts w:hint="eastAsia"/>
                <w:lang w:val="en-US"/>
              </w:rPr>
            </w:pPr>
          </w:p>
          <w:p w14:paraId="367B8C1D">
            <w:pPr>
              <w:pStyle w:val="71"/>
              <w:adjustRightInd w:val="0"/>
              <w:ind w:firstLine="496"/>
              <w:jc w:val="both"/>
              <w:rPr>
                <w:rFonts w:hint="eastAsia"/>
                <w:lang w:val="en-US"/>
              </w:rPr>
            </w:pPr>
          </w:p>
        </w:tc>
      </w:tr>
    </w:tbl>
    <w:p w14:paraId="57611A31">
      <w:pPr>
        <w:pStyle w:val="59"/>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219EE085">
      <w:pPr>
        <w:pStyle w:val="71"/>
        <w:adjustRightInd w:val="0"/>
        <w:ind w:firstLine="0" w:firstLineChars="0"/>
        <w:jc w:val="center"/>
        <w:outlineLvl w:val="0"/>
        <w:rPr>
          <w:snapToGrid w:val="0"/>
          <w:spacing w:val="0"/>
          <w:kern w:val="0"/>
          <w:sz w:val="30"/>
          <w:szCs w:val="30"/>
          <w:lang w:val="en-US"/>
        </w:rPr>
      </w:pPr>
      <w:bookmarkStart w:id="45" w:name="_Toc26209"/>
      <w:r>
        <w:rPr>
          <w:rFonts w:hint="eastAsia"/>
          <w:snapToGrid w:val="0"/>
          <w:spacing w:val="0"/>
          <w:kern w:val="0"/>
          <w:sz w:val="30"/>
          <w:szCs w:val="30"/>
          <w:lang w:val="en-US"/>
        </w:rPr>
        <w:t>四、生态环境影响分析</w:t>
      </w:r>
      <w:bookmarkEnd w:id="45"/>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74"/>
        <w:gridCol w:w="8048"/>
      </w:tblGrid>
      <w:tr w14:paraId="00C48E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76" w:hRule="atLeast"/>
        </w:trPr>
        <w:tc>
          <w:tcPr>
            <w:tcW w:w="474" w:type="dxa"/>
            <w:vAlign w:val="center"/>
          </w:tcPr>
          <w:p w14:paraId="2248017C">
            <w:pPr>
              <w:adjustRightInd w:val="0"/>
              <w:snapToGrid w:val="0"/>
              <w:spacing w:line="240" w:lineRule="auto"/>
              <w:ind w:firstLine="0" w:firstLineChars="0"/>
              <w:jc w:val="center"/>
              <w:rPr>
                <w:bCs/>
                <w:color w:val="000000" w:themeColor="text1"/>
                <w:spacing w:val="10"/>
                <w14:textFill>
                  <w14:solidFill>
                    <w14:schemeClr w14:val="tx1"/>
                  </w14:solidFill>
                </w14:textFill>
              </w:rPr>
            </w:pPr>
            <w:r>
              <w:rPr>
                <w:rFonts w:hint="eastAsia"/>
                <w:bCs/>
                <w:color w:val="000000" w:themeColor="text1"/>
                <w:spacing w:val="10"/>
                <w14:textFill>
                  <w14:solidFill>
                    <w14:schemeClr w14:val="tx1"/>
                  </w14:solidFill>
                </w14:textFill>
              </w:rPr>
              <w:t>施工期生态环境影响分析</w:t>
            </w:r>
          </w:p>
        </w:tc>
        <w:tc>
          <w:tcPr>
            <w:tcW w:w="8048" w:type="dxa"/>
          </w:tcPr>
          <w:p w14:paraId="546E55B7">
            <w:pPr>
              <w:adjustRightInd w:val="0"/>
              <w:snapToGrid w:val="0"/>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1、施工期工艺及产污节点</w:t>
            </w:r>
          </w:p>
          <w:p w14:paraId="0AD8E2D0">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矿坑回填及生态修复产污节点：</w:t>
            </w:r>
          </w:p>
          <w:p w14:paraId="6B20EB46">
            <w:pPr>
              <w:ind w:firstLine="0" w:firstLineChars="0"/>
              <w:jc w:val="center"/>
              <w:rPr>
                <w:b/>
                <w:color w:val="000000" w:themeColor="text1"/>
                <w:szCs w:val="21"/>
                <w14:textFill>
                  <w14:solidFill>
                    <w14:schemeClr w14:val="tx1"/>
                  </w14:solidFill>
                </w14:textFill>
              </w:rPr>
            </w:pPr>
            <w:r>
              <w:rPr>
                <w:rFonts w:hint="eastAsia"/>
                <w:b/>
                <w:color w:val="000000" w:themeColor="text1"/>
                <w:szCs w:val="21"/>
                <w14:textFill>
                  <w14:solidFill>
                    <w14:schemeClr w14:val="tx1"/>
                  </w14:solidFill>
                </w14:textFill>
              </w:rPr>
              <w:object>
                <v:shape id="_x0000_i1025" o:spt="75" type="#_x0000_t75" style="height:457.5pt;width:371.25pt;" o:ole="t" filled="f" o:preferrelative="t" stroked="f" coordsize="21600,21600">
                  <v:path/>
                  <v:fill on="f" focussize="0,0"/>
                  <v:stroke on="f" joinstyle="miter"/>
                  <v:imagedata r:id="rId14" o:title=""/>
                  <o:lock v:ext="edit" aspectratio="f"/>
                  <w10:wrap type="none"/>
                  <w10:anchorlock/>
                </v:shape>
                <o:OLEObject Type="Embed" ProgID="Visio.Drawing.11" ShapeID="_x0000_i1025" DrawAspect="Content" ObjectID="_1468075725" r:id="rId13">
                  <o:LockedField>false</o:LockedField>
                </o:OLEObject>
              </w:object>
            </w:r>
          </w:p>
          <w:p w14:paraId="7F466BC2">
            <w:pPr>
              <w:ind w:firstLine="0" w:firstLineChars="0"/>
              <w:jc w:val="center"/>
              <w:rPr>
                <w:b/>
                <w:bCs/>
                <w:color w:val="000000" w:themeColor="text1"/>
                <w:kern w:val="0"/>
                <w:sz w:val="24"/>
                <w:szCs w:val="24"/>
                <w:lang w:bidi="ar"/>
                <w14:textFill>
                  <w14:solidFill>
                    <w14:schemeClr w14:val="tx1"/>
                  </w14:solidFill>
                </w14:textFill>
              </w:rPr>
            </w:pPr>
            <w:r>
              <w:rPr>
                <w:rFonts w:hint="eastAsia"/>
                <w:b/>
                <w:bCs/>
                <w:color w:val="000000" w:themeColor="text1"/>
                <w:kern w:val="0"/>
                <w:sz w:val="24"/>
                <w:szCs w:val="24"/>
                <w:lang w:bidi="ar"/>
                <w14:textFill>
                  <w14:solidFill>
                    <w14:schemeClr w14:val="tx1"/>
                  </w14:solidFill>
                </w14:textFill>
              </w:rPr>
              <w:t xml:space="preserve">图4-1 </w:t>
            </w:r>
            <w:r>
              <w:rPr>
                <w:rFonts w:hint="eastAsia"/>
                <w:b/>
                <w:bCs/>
                <w:color w:val="000000" w:themeColor="text1"/>
                <w:kern w:val="0"/>
                <w:sz w:val="24"/>
                <w:szCs w:val="24"/>
                <w:lang w:val="en-US" w:eastAsia="zh-CN" w:bidi="ar"/>
                <w14:textFill>
                  <w14:solidFill>
                    <w14:schemeClr w14:val="tx1"/>
                  </w14:solidFill>
                </w14:textFill>
              </w:rPr>
              <w:t xml:space="preserve"> </w:t>
            </w:r>
            <w:r>
              <w:rPr>
                <w:rFonts w:hint="eastAsia"/>
                <w:b/>
                <w:bCs/>
                <w:color w:val="000000" w:themeColor="text1"/>
                <w:kern w:val="0"/>
                <w:sz w:val="24"/>
                <w:szCs w:val="24"/>
                <w:lang w:bidi="ar"/>
                <w14:textFill>
                  <w14:solidFill>
                    <w14:schemeClr w14:val="tx1"/>
                  </w14:solidFill>
                </w14:textFill>
              </w:rPr>
              <w:t>施工期工艺流程及产污节点图</w:t>
            </w:r>
          </w:p>
          <w:p w14:paraId="22664242">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对矿坑清基、边坡整治时，分台施工时可能会破坏部分植被，加重区域的水土流失情况，施工过程中会产生部分废气、废水、噪声以及固废。项目施工过程中产生的废气主要为场地平整、截排水沟开挖时的扬尘，运输车辆、施工机械产生的尾气；废水主要为矿坑回填时遇到下雨天产生的渗滤液、施工车辆清洗废水、施工人员洗手废水；噪声主要来源于施工现场的各类机械设备噪声、施工作业噪声以及物料运输造成的交通噪声；施工期固体废物主要为矿坑清基、防渗工程场地平整、渗滤液收集井开挖、截排水沟开挖等产生的土石方以及施工人员生活垃圾。</w:t>
            </w:r>
          </w:p>
          <w:p w14:paraId="257DDFF5">
            <w:pPr>
              <w:widowControl/>
              <w:ind w:firstLine="482"/>
              <w:jc w:val="left"/>
              <w:rPr>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2、大气环境影响分析</w:t>
            </w:r>
          </w:p>
          <w:p w14:paraId="5657A4B5">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（1）大气环境影响环节及因素</w:t>
            </w:r>
          </w:p>
          <w:p w14:paraId="14EE7C80">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本项目为废弃矿坑生态修复工程，施工期大气环境影响因素主要为场地清理平整、截排水沟开挖等工程施工地面扰动无组织扬尘和道路运输扬尘。</w:t>
            </w:r>
          </w:p>
          <w:p w14:paraId="7DB1E22C">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①地表扰动扬尘</w:t>
            </w:r>
          </w:p>
          <w:p w14:paraId="583776B5">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地表扰动扬尘主要来源于场地清理、截排水沟开挖、拆除</w:t>
            </w:r>
            <w:r>
              <w:rPr>
                <w:rFonts w:hint="eastAsia"/>
                <w:color w:val="000000" w:themeColor="text1"/>
                <w:kern w:val="0"/>
                <w:lang w:val="en-US" w:eastAsia="zh-CN" w:bidi="ar"/>
                <w14:textFill>
                  <w14:solidFill>
                    <w14:schemeClr w14:val="tx1"/>
                  </w14:solidFill>
                </w14:textFill>
              </w:rPr>
              <w:t>原矿山</w:t>
            </w:r>
            <w:r>
              <w:rPr>
                <w:rFonts w:hint="eastAsia"/>
                <w:color w:val="000000" w:themeColor="text1"/>
                <w:kern w:val="0"/>
                <w:lang w:bidi="ar"/>
                <w14:textFill>
                  <w14:solidFill>
                    <w14:schemeClr w14:val="tx1"/>
                  </w14:solidFill>
                </w14:textFill>
              </w:rPr>
              <w:t>遗留建筑物等。</w:t>
            </w:r>
          </w:p>
          <w:p w14:paraId="0E9A6533">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根据统计，此次修复工程拟扰动面积约</w:t>
            </w:r>
            <w:r>
              <w:rPr>
                <w:rFonts w:hint="eastAsia"/>
                <w:color w:val="000000" w:themeColor="text1"/>
                <w:kern w:val="0"/>
                <w:lang w:eastAsia="zh-CN" w:bidi="ar"/>
                <w14:textFill>
                  <w14:solidFill>
                    <w14:schemeClr w14:val="tx1"/>
                  </w14:solidFill>
                </w14:textFill>
              </w:rPr>
              <w:t>127097</w:t>
            </w:r>
            <w:r>
              <w:rPr>
                <w:rFonts w:hint="eastAsia"/>
                <w:color w:val="000000" w:themeColor="text1"/>
                <w:kern w:val="0"/>
                <w:lang w:val="en-US" w:eastAsia="zh-CN" w:bidi="ar"/>
                <w14:textFill>
                  <w14:solidFill>
                    <w14:schemeClr w14:val="tx1"/>
                  </w14:solidFill>
                </w14:textFill>
              </w:rPr>
              <w:t>m</w:t>
            </w:r>
            <w:r>
              <w:rPr>
                <w:rFonts w:hint="eastAsia"/>
                <w:color w:val="000000" w:themeColor="text1"/>
                <w:kern w:val="0"/>
                <w:vertAlign w:val="superscript"/>
                <w:lang w:val="en-US" w:eastAsia="zh-CN" w:bidi="ar"/>
                <w14:textFill>
                  <w14:solidFill>
                    <w14:schemeClr w14:val="tx1"/>
                  </w14:solidFill>
                </w14:textFill>
              </w:rPr>
              <w:t>2</w:t>
            </w:r>
            <w:r>
              <w:rPr>
                <w:rFonts w:hint="eastAsia"/>
                <w:color w:val="000000" w:themeColor="text1"/>
                <w:kern w:val="0"/>
                <w:lang w:bidi="ar"/>
                <w14:textFill>
                  <w14:solidFill>
                    <w14:schemeClr w14:val="tx1"/>
                  </w14:solidFill>
                </w14:textFill>
              </w:rPr>
              <w:t>，采用经验公式计算，计算公式如下：</w:t>
            </w:r>
          </w:p>
          <w:p w14:paraId="459987B9">
            <w:pPr>
              <w:widowControl/>
              <w:ind w:firstLine="0" w:firstLineChars="0"/>
              <w:jc w:val="center"/>
              <w:rPr>
                <w:color w:val="000000" w:themeColor="text1"/>
                <w:kern w:val="0"/>
                <w:lang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1424940" cy="274320"/>
                  <wp:effectExtent l="0" t="0" r="3810" b="11430"/>
                  <wp:docPr id="23" name="图片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123"/>
                          <pic:cNvPicPr>
                            <a:picLocks noChangeAspect="1"/>
                          </pic:cNvPicPr>
                        </pic:nvPicPr>
                        <pic:blipFill>
                          <a:blip r:embed="rId15"/>
                          <a:stretch>
                            <a:fillRect/>
                          </a:stretch>
                        </pic:blipFill>
                        <pic:spPr>
                          <a:xfrm>
                            <a:off x="0" y="0"/>
                            <a:ext cx="1424940" cy="274320"/>
                          </a:xfrm>
                          <a:prstGeom prst="rect">
                            <a:avLst/>
                          </a:prstGeom>
                          <a:noFill/>
                          <a:ln>
                            <a:noFill/>
                          </a:ln>
                        </pic:spPr>
                      </pic:pic>
                    </a:graphicData>
                  </a:graphic>
                </wp:inline>
              </w:drawing>
            </w:r>
          </w:p>
          <w:p w14:paraId="580F3D91">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其中：</w:t>
            </w:r>
            <w:r>
              <w:rPr>
                <w:color w:val="000000" w:themeColor="text1"/>
                <w:kern w:val="0"/>
                <w:lang w:bidi="ar"/>
                <w14:textFill>
                  <w14:solidFill>
                    <w14:schemeClr w14:val="tx1"/>
                  </w14:solidFill>
                </w14:textFill>
              </w:rPr>
              <w:t>Q——</w:t>
            </w:r>
            <w:r>
              <w:rPr>
                <w:rFonts w:hint="eastAsia"/>
                <w:color w:val="000000" w:themeColor="text1"/>
                <w:kern w:val="0"/>
                <w:lang w:bidi="ar"/>
                <w14:textFill>
                  <w14:solidFill>
                    <w14:schemeClr w14:val="tx1"/>
                  </w14:solidFill>
                </w14:textFill>
              </w:rPr>
              <w:t>扬尘量，</w:t>
            </w:r>
            <w:r>
              <w:rPr>
                <w:color w:val="000000" w:themeColor="text1"/>
                <w:kern w:val="0"/>
                <w:lang w:bidi="ar"/>
                <w14:textFill>
                  <w14:solidFill>
                    <w14:schemeClr w14:val="tx1"/>
                  </w14:solidFill>
                </w14:textFill>
              </w:rPr>
              <w:t>kg/a.m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w:t>
            </w:r>
          </w:p>
          <w:p w14:paraId="31E17AC3">
            <w:pPr>
              <w:widowControl/>
              <w:ind w:firstLine="1200" w:firstLineChars="50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U——</w:t>
            </w:r>
            <w:r>
              <w:rPr>
                <w:rFonts w:hint="eastAsia"/>
                <w:color w:val="000000" w:themeColor="text1"/>
                <w:kern w:val="0"/>
                <w:lang w:bidi="ar"/>
                <w14:textFill>
                  <w14:solidFill>
                    <w14:schemeClr w14:val="tx1"/>
                  </w14:solidFill>
                </w14:textFill>
              </w:rPr>
              <w:t>风速，</w:t>
            </w:r>
            <w:r>
              <w:rPr>
                <w:color w:val="000000" w:themeColor="text1"/>
                <w:kern w:val="0"/>
                <w:lang w:bidi="ar"/>
                <w14:textFill>
                  <w14:solidFill>
                    <w14:schemeClr w14:val="tx1"/>
                  </w14:solidFill>
                </w14:textFill>
              </w:rPr>
              <w:t>m/s</w:t>
            </w:r>
            <w:r>
              <w:rPr>
                <w:rFonts w:hint="eastAsia"/>
                <w:color w:val="000000" w:themeColor="text1"/>
                <w:kern w:val="0"/>
                <w:lang w:bidi="ar"/>
                <w14:textFill>
                  <w14:solidFill>
                    <w14:schemeClr w14:val="tx1"/>
                  </w14:solidFill>
                </w14:textFill>
              </w:rPr>
              <w:t>（本项目区年均风速1.3</w:t>
            </w:r>
            <w:r>
              <w:rPr>
                <w:color w:val="000000" w:themeColor="text1"/>
                <w:kern w:val="0"/>
                <w:lang w:bidi="ar"/>
                <w14:textFill>
                  <w14:solidFill>
                    <w14:schemeClr w14:val="tx1"/>
                  </w14:solidFill>
                </w14:textFill>
              </w:rPr>
              <w:t>m/s</w:t>
            </w:r>
            <w:r>
              <w:rPr>
                <w:rFonts w:hint="eastAsia"/>
                <w:color w:val="000000" w:themeColor="text1"/>
                <w:kern w:val="0"/>
                <w:lang w:bidi="ar"/>
                <w14:textFill>
                  <w14:solidFill>
                    <w14:schemeClr w14:val="tx1"/>
                  </w14:solidFill>
                </w14:textFill>
              </w:rPr>
              <w:t>）；</w:t>
            </w:r>
          </w:p>
          <w:p w14:paraId="1A02CB02">
            <w:pPr>
              <w:widowControl/>
              <w:ind w:firstLine="1200" w:firstLineChars="5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W</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含水率（15%）。</w:t>
            </w:r>
          </w:p>
          <w:p w14:paraId="1FB01360">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经计算，本项目地表扰动扬尘量为0.0243</w:t>
            </w:r>
            <w:r>
              <w:rPr>
                <w:color w:val="000000" w:themeColor="text1"/>
                <w:kern w:val="0"/>
                <w:lang w:bidi="ar"/>
                <w14:textFill>
                  <w14:solidFill>
                    <w14:schemeClr w14:val="tx1"/>
                  </w14:solidFill>
                </w14:textFill>
              </w:rPr>
              <w:t>kg/a.m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w:t>
            </w:r>
          </w:p>
          <w:p w14:paraId="453B55D5">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本项目采用改性磷石膏材料对露天采空区进行生态修复治理，项目场地清理、截排水沟开挖、拆除</w:t>
            </w:r>
            <w:r>
              <w:rPr>
                <w:rFonts w:hint="eastAsia"/>
                <w:color w:val="000000" w:themeColor="text1"/>
                <w:kern w:val="0"/>
                <w:lang w:val="en-US" w:eastAsia="zh-CN" w:bidi="ar"/>
                <w14:textFill>
                  <w14:solidFill>
                    <w14:schemeClr w14:val="tx1"/>
                  </w14:solidFill>
                </w14:textFill>
              </w:rPr>
              <w:t>原矿山</w:t>
            </w:r>
            <w:r>
              <w:rPr>
                <w:rFonts w:hint="eastAsia"/>
                <w:color w:val="000000" w:themeColor="text1"/>
                <w:kern w:val="0"/>
                <w:lang w:bidi="ar"/>
                <w14:textFill>
                  <w14:solidFill>
                    <w14:schemeClr w14:val="tx1"/>
                  </w14:solidFill>
                </w14:textFill>
              </w:rPr>
              <w:t>遗留建筑物等施工作业时间以每天8小时，项目场地清理、截排水沟开挖</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bidi="ar"/>
                <w14:textFill>
                  <w14:solidFill>
                    <w14:schemeClr w14:val="tx1"/>
                  </w14:solidFill>
                </w14:textFill>
              </w:rPr>
              <w:t>施工作业时间以90天计，项目修复面积为</w:t>
            </w:r>
            <w:r>
              <w:rPr>
                <w:rFonts w:hint="eastAsia"/>
                <w:color w:val="000000" w:themeColor="text1"/>
                <w:kern w:val="0"/>
                <w:lang w:eastAsia="zh-CN" w:bidi="ar"/>
                <w14:textFill>
                  <w14:solidFill>
                    <w14:schemeClr w14:val="tx1"/>
                  </w14:solidFill>
                </w14:textFill>
              </w:rPr>
              <w:t>127097</w:t>
            </w:r>
            <w:r>
              <w:rPr>
                <w:rFonts w:hint="eastAsia"/>
                <w:color w:val="000000" w:themeColor="text1"/>
                <w:kern w:val="0"/>
                <w:lang w:bidi="ar"/>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，则地表扰动扬尘量为</w:t>
            </w:r>
            <w:r>
              <w:rPr>
                <w:rFonts w:hint="eastAsia"/>
                <w:color w:val="000000" w:themeColor="text1"/>
                <w:kern w:val="0"/>
                <w:lang w:val="en-US" w:eastAsia="zh-CN" w:bidi="ar"/>
                <w14:textFill>
                  <w14:solidFill>
                    <w14:schemeClr w14:val="tx1"/>
                  </w14:solidFill>
                </w14:textFill>
              </w:rPr>
              <w:t>4.29</w:t>
            </w:r>
            <w:r>
              <w:rPr>
                <w:color w:val="000000" w:themeColor="text1"/>
                <w:kern w:val="0"/>
                <w:lang w:bidi="ar"/>
                <w14:textFill>
                  <w14:solidFill>
                    <w14:schemeClr w14:val="tx1"/>
                  </w14:solidFill>
                </w14:textFill>
              </w:rPr>
              <w:t>kg/</w:t>
            </w:r>
            <w:r>
              <w:rPr>
                <w:rFonts w:hint="eastAsia"/>
                <w:color w:val="000000" w:themeColor="text1"/>
                <w:kern w:val="0"/>
                <w:lang w:bidi="ar"/>
                <w14:textFill>
                  <w14:solidFill>
                    <w14:schemeClr w14:val="tx1"/>
                  </w14:solidFill>
                </w14:textFill>
              </w:rPr>
              <w:t>h。本项目采用洒水车洒水降尘，非雨天每天洒水两次，雨天不进行作业。根据《固体物料堆存颗粒物产排污核算系数手册》，在对道路进行洒水降尘后可减少约74%扬尘。计算得到项目施工期地表扰动扬尘排放量（</w:t>
            </w:r>
            <w:r>
              <w:rPr>
                <w:rFonts w:hint="eastAsia"/>
                <w:color w:val="000000" w:themeColor="text1"/>
                <w:kern w:val="0"/>
                <w:lang w:val="en-US" w:eastAsia="zh-CN" w:bidi="ar"/>
                <w14:textFill>
                  <w14:solidFill>
                    <w14:schemeClr w14:val="tx1"/>
                  </w14:solidFill>
                </w14:textFill>
              </w:rPr>
              <w:t>1.115</w:t>
            </w:r>
            <w:r>
              <w:rPr>
                <w:color w:val="000000" w:themeColor="text1"/>
                <w:kern w:val="0"/>
                <w:lang w:bidi="ar"/>
                <w14:textFill>
                  <w14:solidFill>
                    <w14:schemeClr w14:val="tx1"/>
                  </w14:solidFill>
                </w14:textFill>
              </w:rPr>
              <w:t>kg/h</w:t>
            </w:r>
            <w:r>
              <w:rPr>
                <w:rFonts w:hint="eastAsia"/>
                <w:color w:val="000000" w:themeColor="text1"/>
                <w:kern w:val="0"/>
                <w:lang w:bidi="ar"/>
                <w14:textFill>
                  <w14:solidFill>
                    <w14:schemeClr w14:val="tx1"/>
                  </w14:solidFill>
                </w14:textFill>
              </w:rPr>
              <w:t>、0.</w:t>
            </w:r>
            <w:r>
              <w:rPr>
                <w:rFonts w:hint="eastAsia"/>
                <w:color w:val="000000" w:themeColor="text1"/>
                <w:kern w:val="0"/>
                <w:lang w:val="en-US" w:eastAsia="zh-CN" w:bidi="ar"/>
                <w14:textFill>
                  <w14:solidFill>
                    <w14:schemeClr w14:val="tx1"/>
                  </w14:solidFill>
                </w14:textFill>
              </w:rPr>
              <w:t>803</w:t>
            </w:r>
            <w:r>
              <w:rPr>
                <w:color w:val="000000" w:themeColor="text1"/>
                <w:kern w:val="0"/>
                <w:lang w:bidi="ar"/>
                <w14:textFill>
                  <w14:solidFill>
                    <w14:schemeClr w14:val="tx1"/>
                  </w14:solidFill>
                </w14:textFill>
              </w:rPr>
              <w:t>t/a</w:t>
            </w:r>
            <w:r>
              <w:rPr>
                <w:rFonts w:hint="eastAsia"/>
                <w:color w:val="000000" w:themeColor="text1"/>
                <w:kern w:val="0"/>
                <w:lang w:bidi="ar"/>
                <w14:textFill>
                  <w14:solidFill>
                    <w14:schemeClr w14:val="tx1"/>
                  </w14:solidFill>
                </w14:textFill>
              </w:rPr>
              <w:t>），为无组织排放。</w:t>
            </w:r>
          </w:p>
          <w:p w14:paraId="6C16A247">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②回填作业、覆土绿化作业扬尘</w:t>
            </w:r>
          </w:p>
          <w:p w14:paraId="3135EB14">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本项目使用改性磷石膏材料进行回填修复，</w:t>
            </w:r>
            <w:r>
              <w:rPr>
                <w:rFonts w:hint="eastAsia" w:ascii="宋体" w:hAnsi="宋体" w:cs="宋体"/>
                <w:color w:val="000000" w:themeColor="text1"/>
                <w:kern w:val="0"/>
                <w:lang w:bidi="ar"/>
                <w14:textFill>
                  <w14:solidFill>
                    <w14:schemeClr w14:val="tx1"/>
                  </w14:solidFill>
                </w14:textFill>
              </w:rPr>
              <w:t>回填和覆土过程中，进行洒水抑尘，适当增加修复材料和绿化覆土的湿度，扬尘产生量很小，对环境影响不大。</w:t>
            </w:r>
          </w:p>
          <w:p w14:paraId="281DEEF4">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③运输扬尘</w:t>
            </w:r>
          </w:p>
          <w:p w14:paraId="22DBED58">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从</w:t>
            </w:r>
            <w:r>
              <w:rPr>
                <w:color w:val="000000" w:themeColor="text1"/>
                <w14:textFill>
                  <w14:solidFill>
                    <w14:schemeClr w14:val="tx1"/>
                  </w14:solidFill>
                </w14:textFill>
              </w:rPr>
              <w:t>云南常青树化工有限公司厂区</w:t>
            </w:r>
            <w:r>
              <w:rPr>
                <w:rFonts w:hint="eastAsia"/>
                <w:color w:val="000000" w:themeColor="text1"/>
                <w:kern w:val="0"/>
                <w:lang w:bidi="ar"/>
                <w14:textFill>
                  <w14:solidFill>
                    <w14:schemeClr w14:val="tx1"/>
                  </w14:solidFill>
                </w14:textFill>
              </w:rPr>
              <w:t>到</w:t>
            </w:r>
            <w:r>
              <w:rPr>
                <w:rFonts w:hint="eastAsia"/>
                <w:color w:val="000000" w:themeColor="text1"/>
                <w:szCs w:val="21"/>
                <w14:textFill>
                  <w14:solidFill>
                    <w14:schemeClr w14:val="tx1"/>
                  </w14:solidFill>
                </w14:textFill>
              </w:rPr>
              <w:t>大旋塘采石场</w:t>
            </w:r>
            <w:r>
              <w:rPr>
                <w:rFonts w:hint="eastAsia"/>
                <w:color w:val="000000" w:themeColor="text1"/>
                <w:kern w:val="0"/>
                <w:lang w:bidi="ar"/>
                <w14:textFill>
                  <w14:solidFill>
                    <w14:schemeClr w14:val="tx1"/>
                  </w14:solidFill>
                </w14:textFill>
              </w:rPr>
              <w:t>均为水泥路面，从新石桥村进矿区段运输道路为砂石路面，运输扬尘较大。本评价采用汽车道路扬尘经验公式进行计算，公式如下：</w:t>
            </w:r>
          </w:p>
          <w:p w14:paraId="2C05921F">
            <w:pPr>
              <w:widowControl/>
              <w:ind w:firstLine="0" w:firstLineChars="0"/>
              <w:jc w:val="center"/>
              <w:rPr>
                <w:color w:val="000000" w:themeColor="text1"/>
                <w14:textFill>
                  <w14:solidFill>
                    <w14:schemeClr w14:val="tx1"/>
                  </w14:solidFill>
                </w14:textFill>
              </w:rPr>
            </w:pPr>
            <w:r>
              <w:rPr>
                <w:color w:val="000000" w:themeColor="text1"/>
                <w:kern w:val="0"/>
                <w:lang w:bidi="ar"/>
                <w14:textFill>
                  <w14:solidFill>
                    <w14:schemeClr w14:val="tx1"/>
                  </w14:solidFill>
                </w14:textFill>
              </w:rPr>
              <w:t>Qi=0.0079VW</w:t>
            </w:r>
            <w:r>
              <w:rPr>
                <w:color w:val="000000" w:themeColor="text1"/>
                <w:kern w:val="0"/>
                <w:vertAlign w:val="superscript"/>
                <w:lang w:bidi="ar"/>
                <w14:textFill>
                  <w14:solidFill>
                    <w14:schemeClr w14:val="tx1"/>
                  </w14:solidFill>
                </w14:textFill>
              </w:rPr>
              <w:t>0.85</w:t>
            </w:r>
            <w:r>
              <w:rPr>
                <w:color w:val="000000" w:themeColor="text1"/>
                <w:kern w:val="0"/>
                <w:lang w:bidi="ar"/>
                <w14:textFill>
                  <w14:solidFill>
                    <w14:schemeClr w14:val="tx1"/>
                  </w14:solidFill>
                </w14:textFill>
              </w:rPr>
              <w:t>P</w:t>
            </w:r>
            <w:r>
              <w:rPr>
                <w:color w:val="000000" w:themeColor="text1"/>
                <w:kern w:val="0"/>
                <w:vertAlign w:val="superscript"/>
                <w:lang w:bidi="ar"/>
                <w14:textFill>
                  <w14:solidFill>
                    <w14:schemeClr w14:val="tx1"/>
                  </w14:solidFill>
                </w14:textFill>
              </w:rPr>
              <w:t>0.72</w:t>
            </w:r>
          </w:p>
          <w:p w14:paraId="6EDF1226">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式中：</w:t>
            </w:r>
            <w:r>
              <w:rPr>
                <w:color w:val="000000" w:themeColor="text1"/>
                <w:kern w:val="0"/>
                <w:lang w:bidi="ar"/>
                <w14:textFill>
                  <w14:solidFill>
                    <w14:schemeClr w14:val="tx1"/>
                  </w14:solidFill>
                </w14:textFill>
              </w:rPr>
              <w:t>Qi—</w:t>
            </w:r>
            <w:r>
              <w:rPr>
                <w:rFonts w:hint="eastAsia"/>
                <w:color w:val="000000" w:themeColor="text1"/>
                <w:kern w:val="0"/>
                <w:lang w:bidi="ar"/>
                <w14:textFill>
                  <w14:solidFill>
                    <w14:schemeClr w14:val="tx1"/>
                  </w14:solidFill>
                </w14:textFill>
              </w:rPr>
              <w:t>每辆汽车行驶扬尘量（</w:t>
            </w:r>
            <w:r>
              <w:rPr>
                <w:color w:val="000000" w:themeColor="text1"/>
                <w:kern w:val="0"/>
                <w:lang w:bidi="ar"/>
                <w14:textFill>
                  <w14:solidFill>
                    <w14:schemeClr w14:val="tx1"/>
                  </w14:solidFill>
                </w14:textFill>
              </w:rPr>
              <w:t>kg/km·</w:t>
            </w:r>
            <w:r>
              <w:rPr>
                <w:rFonts w:hint="eastAsia"/>
                <w:color w:val="000000" w:themeColor="text1"/>
                <w:kern w:val="0"/>
                <w:lang w:bidi="ar"/>
                <w14:textFill>
                  <w14:solidFill>
                    <w14:schemeClr w14:val="tx1"/>
                  </w14:solidFill>
                </w14:textFill>
              </w:rPr>
              <w:t>辆）；</w:t>
            </w:r>
          </w:p>
          <w:p w14:paraId="40FEAA51">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V—</w:t>
            </w:r>
            <w:r>
              <w:rPr>
                <w:rFonts w:hint="eastAsia"/>
                <w:color w:val="000000" w:themeColor="text1"/>
                <w:kern w:val="0"/>
                <w:lang w:bidi="ar"/>
                <w14:textFill>
                  <w14:solidFill>
                    <w14:schemeClr w14:val="tx1"/>
                  </w14:solidFill>
                </w14:textFill>
              </w:rPr>
              <w:t>汽车速度（</w:t>
            </w:r>
            <w:r>
              <w:rPr>
                <w:color w:val="000000" w:themeColor="text1"/>
                <w:kern w:val="0"/>
                <w:lang w:bidi="ar"/>
                <w14:textFill>
                  <w14:solidFill>
                    <w14:schemeClr w14:val="tx1"/>
                  </w14:solidFill>
                </w14:textFill>
              </w:rPr>
              <w:t>km/h</w:t>
            </w:r>
            <w:r>
              <w:rPr>
                <w:rFonts w:hint="eastAsia"/>
                <w:color w:val="000000" w:themeColor="text1"/>
                <w:kern w:val="0"/>
                <w:lang w:bidi="ar"/>
                <w14:textFill>
                  <w14:solidFill>
                    <w14:schemeClr w14:val="tx1"/>
                  </w14:solidFill>
                </w14:textFill>
              </w:rPr>
              <w:t>）；</w:t>
            </w:r>
          </w:p>
          <w:p w14:paraId="7D08F678">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W—</w:t>
            </w:r>
            <w:r>
              <w:rPr>
                <w:rFonts w:hint="eastAsia"/>
                <w:color w:val="000000" w:themeColor="text1"/>
                <w:kern w:val="0"/>
                <w:lang w:bidi="ar"/>
                <w14:textFill>
                  <w14:solidFill>
                    <w14:schemeClr w14:val="tx1"/>
                  </w14:solidFill>
                </w14:textFill>
              </w:rPr>
              <w:t>汽车重量（</w:t>
            </w:r>
            <w:r>
              <w:rPr>
                <w:color w:val="000000" w:themeColor="text1"/>
                <w:kern w:val="0"/>
                <w:lang w:bidi="ar"/>
                <w14:textFill>
                  <w14:solidFill>
                    <w14:schemeClr w14:val="tx1"/>
                  </w14:solidFill>
                </w14:textFill>
              </w:rPr>
              <w:t>t</w:t>
            </w:r>
            <w:r>
              <w:rPr>
                <w:rFonts w:hint="eastAsia"/>
                <w:color w:val="000000" w:themeColor="text1"/>
                <w:kern w:val="0"/>
                <w:lang w:bidi="ar"/>
                <w14:textFill>
                  <w14:solidFill>
                    <w14:schemeClr w14:val="tx1"/>
                  </w14:solidFill>
                </w14:textFill>
              </w:rPr>
              <w:t>）；</w:t>
            </w:r>
          </w:p>
          <w:p w14:paraId="40A08C8E">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P—</w:t>
            </w:r>
            <w:r>
              <w:rPr>
                <w:rFonts w:hint="eastAsia"/>
                <w:color w:val="000000" w:themeColor="text1"/>
                <w:kern w:val="0"/>
                <w:lang w:bidi="ar"/>
                <w14:textFill>
                  <w14:solidFill>
                    <w14:schemeClr w14:val="tx1"/>
                  </w14:solidFill>
                </w14:textFill>
              </w:rPr>
              <w:t>道路表面粉尘量（</w:t>
            </w:r>
            <w:r>
              <w:rPr>
                <w:color w:val="000000" w:themeColor="text1"/>
                <w:kern w:val="0"/>
                <w:lang w:bidi="ar"/>
                <w14:textFill>
                  <w14:solidFill>
                    <w14:schemeClr w14:val="tx1"/>
                  </w14:solidFill>
                </w14:textFill>
              </w:rPr>
              <w:t>kg/㎡</w:t>
            </w:r>
            <w:r>
              <w:rPr>
                <w:rFonts w:hint="eastAsia"/>
                <w:color w:val="000000" w:themeColor="text1"/>
                <w:kern w:val="0"/>
                <w:lang w:bidi="ar"/>
                <w14:textFill>
                  <w14:solidFill>
                    <w14:schemeClr w14:val="tx1"/>
                  </w14:solidFill>
                </w14:textFill>
              </w:rPr>
              <w:t>）。</w:t>
            </w:r>
          </w:p>
          <w:p w14:paraId="5F1F9868">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项目采用</w:t>
            </w:r>
            <w:r>
              <w:rPr>
                <w:rFonts w:hint="eastAsia"/>
                <w:color w:val="000000" w:themeColor="text1"/>
                <w:kern w:val="0"/>
                <w:lang w:val="en-US" w:eastAsia="zh-CN" w:bidi="ar"/>
                <w14:textFill>
                  <w14:solidFill>
                    <w14:schemeClr w14:val="tx1"/>
                  </w14:solidFill>
                </w14:textFill>
              </w:rPr>
              <w:t>30</w:t>
            </w:r>
            <w:r>
              <w:rPr>
                <w:color w:val="000000" w:themeColor="text1"/>
                <w:kern w:val="0"/>
                <w:lang w:bidi="ar"/>
                <w14:textFill>
                  <w14:solidFill>
                    <w14:schemeClr w14:val="tx1"/>
                  </w14:solidFill>
                </w14:textFill>
              </w:rPr>
              <w:t>t</w:t>
            </w:r>
            <w:r>
              <w:rPr>
                <w:rFonts w:hint="eastAsia"/>
                <w:color w:val="000000" w:themeColor="text1"/>
                <w:kern w:val="0"/>
                <w:lang w:bidi="ar"/>
                <w14:textFill>
                  <w14:solidFill>
                    <w14:schemeClr w14:val="tx1"/>
                  </w14:solidFill>
                </w14:textFill>
              </w:rPr>
              <w:t>自卸车对耕植土及修复材料进行运输，平均时速</w:t>
            </w:r>
            <w:r>
              <w:rPr>
                <w:color w:val="000000" w:themeColor="text1"/>
                <w:kern w:val="0"/>
                <w:lang w:bidi="ar"/>
                <w14:textFill>
                  <w14:solidFill>
                    <w14:schemeClr w14:val="tx1"/>
                  </w14:solidFill>
                </w14:textFill>
              </w:rPr>
              <w:t>10km/h</w:t>
            </w:r>
            <w:r>
              <w:rPr>
                <w:rFonts w:hint="eastAsia"/>
                <w:color w:val="000000" w:themeColor="text1"/>
                <w:kern w:val="0"/>
                <w:lang w:bidi="ar"/>
                <w14:textFill>
                  <w14:solidFill>
                    <w14:schemeClr w14:val="tx1"/>
                  </w14:solidFill>
                </w14:textFill>
              </w:rPr>
              <w:t>、道路表面粉尘量按</w:t>
            </w:r>
            <w:r>
              <w:rPr>
                <w:rFonts w:hint="eastAsia"/>
                <w:color w:val="000000" w:themeColor="text1"/>
                <w:kern w:val="0"/>
                <w:lang w:val="en-US" w:eastAsia="zh-CN" w:bidi="ar"/>
                <w14:textFill>
                  <w14:solidFill>
                    <w14:schemeClr w14:val="tx1"/>
                  </w14:solidFill>
                </w14:textFill>
              </w:rPr>
              <w:t>0.1</w:t>
            </w:r>
            <w:r>
              <w:rPr>
                <w:color w:val="000000" w:themeColor="text1"/>
                <w:kern w:val="0"/>
                <w:lang w:bidi="ar"/>
                <w14:textFill>
                  <w14:solidFill>
                    <w14:schemeClr w14:val="tx1"/>
                  </w14:solidFill>
                </w14:textFill>
              </w:rPr>
              <w:t>kg/</w:t>
            </w:r>
            <w:r>
              <w:rPr>
                <w:rFonts w:hint="eastAsia"/>
                <w:color w:val="000000" w:themeColor="text1"/>
                <w:kern w:val="0"/>
                <w:lang w:bidi="ar"/>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计算</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val="en-US" w:eastAsia="zh-CN" w:bidi="ar"/>
                <w14:textFill>
                  <w14:solidFill>
                    <w14:schemeClr w14:val="tx1"/>
                  </w14:solidFill>
                </w14:textFill>
              </w:rPr>
              <w:t>则每辆汽车行使扬尘量为0.27</w:t>
            </w:r>
            <w:r>
              <w:rPr>
                <w:color w:val="000000" w:themeColor="text1"/>
                <w:kern w:val="0"/>
                <w:lang w:bidi="ar"/>
                <w14:textFill>
                  <w14:solidFill>
                    <w14:schemeClr w14:val="tx1"/>
                  </w14:solidFill>
                </w14:textFill>
              </w:rPr>
              <w:t>kg/km·</w:t>
            </w:r>
            <w:r>
              <w:rPr>
                <w:rFonts w:hint="eastAsia"/>
                <w:color w:val="000000" w:themeColor="text1"/>
                <w:kern w:val="0"/>
                <w:lang w:bidi="ar"/>
                <w14:textFill>
                  <w14:solidFill>
                    <w14:schemeClr w14:val="tx1"/>
                  </w14:solidFill>
                </w14:textFill>
              </w:rPr>
              <w:t>辆</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bidi="ar"/>
                <w14:textFill>
                  <w14:solidFill>
                    <w14:schemeClr w14:val="tx1"/>
                  </w14:solidFill>
                </w14:textFill>
              </w:rPr>
              <w:t>土路运距</w:t>
            </w:r>
            <w:r>
              <w:rPr>
                <w:rFonts w:hint="eastAsia"/>
                <w:color w:val="000000" w:themeColor="text1"/>
                <w:kern w:val="0"/>
                <w:lang w:val="en-US" w:eastAsia="zh-CN" w:bidi="ar"/>
                <w14:textFill>
                  <w14:solidFill>
                    <w14:schemeClr w14:val="tx1"/>
                  </w14:solidFill>
                </w14:textFill>
              </w:rPr>
              <w:t>1</w:t>
            </w:r>
            <w:r>
              <w:rPr>
                <w:color w:val="000000" w:themeColor="text1"/>
                <w:kern w:val="0"/>
                <w:lang w:bidi="ar"/>
                <w14:textFill>
                  <w14:solidFill>
                    <w14:schemeClr w14:val="tx1"/>
                  </w14:solidFill>
                </w14:textFill>
              </w:rPr>
              <w:t>km</w:t>
            </w:r>
            <w:r>
              <w:rPr>
                <w:rFonts w:hint="eastAsia"/>
                <w:color w:val="000000" w:themeColor="text1"/>
                <w:kern w:val="0"/>
                <w:lang w:bidi="ar"/>
                <w14:textFill>
                  <w14:solidFill>
                    <w14:schemeClr w14:val="tx1"/>
                  </w14:solidFill>
                </w14:textFill>
              </w:rPr>
              <w:t>，运输期间每天约</w:t>
            </w:r>
            <w:r>
              <w:rPr>
                <w:rFonts w:hint="eastAsia"/>
                <w:color w:val="000000" w:themeColor="text1"/>
                <w:kern w:val="0"/>
                <w:lang w:val="en-US" w:eastAsia="zh-CN" w:bidi="ar"/>
                <w14:textFill>
                  <w14:solidFill>
                    <w14:schemeClr w14:val="tx1"/>
                  </w14:solidFill>
                </w14:textFill>
              </w:rPr>
              <w:t>197</w:t>
            </w:r>
            <w:r>
              <w:rPr>
                <w:rFonts w:hint="eastAsia"/>
                <w:color w:val="000000" w:themeColor="text1"/>
                <w:kern w:val="0"/>
                <w:lang w:bidi="ar"/>
                <w14:textFill>
                  <w14:solidFill>
                    <w14:schemeClr w14:val="tx1"/>
                  </w14:solidFill>
                </w14:textFill>
              </w:rPr>
              <w:t>车次，在不采取防治措施的情况下，汽车道路扬尘达</w:t>
            </w:r>
            <w:r>
              <w:rPr>
                <w:rFonts w:hint="eastAsia"/>
                <w:color w:val="000000" w:themeColor="text1"/>
                <w:kern w:val="0"/>
                <w:lang w:val="en-US" w:eastAsia="zh-CN" w:bidi="ar"/>
                <w14:textFill>
                  <w14:solidFill>
                    <w14:schemeClr w14:val="tx1"/>
                  </w14:solidFill>
                </w14:textFill>
              </w:rPr>
              <w:t>53.19</w:t>
            </w:r>
            <w:r>
              <w:rPr>
                <w:color w:val="000000" w:themeColor="text1"/>
                <w:kern w:val="0"/>
                <w:lang w:bidi="ar"/>
                <w14:textFill>
                  <w14:solidFill>
                    <w14:schemeClr w14:val="tx1"/>
                  </w14:solidFill>
                </w14:textFill>
              </w:rPr>
              <w:t>kg/d</w:t>
            </w:r>
            <w:r>
              <w:rPr>
                <w:rFonts w:hint="eastAsia"/>
                <w:color w:val="000000" w:themeColor="text1"/>
                <w:kern w:val="0"/>
                <w:lang w:bidi="ar"/>
                <w14:textFill>
                  <w14:solidFill>
                    <w14:schemeClr w14:val="tx1"/>
                  </w14:solidFill>
                </w14:textFill>
              </w:rPr>
              <w:t>，根据施工进度，项目区回填时间约</w:t>
            </w:r>
            <w:r>
              <w:rPr>
                <w:rFonts w:hint="eastAsia"/>
                <w:color w:val="000000" w:themeColor="text1"/>
                <w:kern w:val="0"/>
                <w:lang w:val="en-US" w:eastAsia="zh-CN" w:bidi="ar"/>
                <w14:textFill>
                  <w14:solidFill>
                    <w14:schemeClr w14:val="tx1"/>
                  </w14:solidFill>
                </w14:textFill>
              </w:rPr>
              <w:t>365</w:t>
            </w:r>
            <w:r>
              <w:rPr>
                <w:rFonts w:hint="eastAsia"/>
                <w:color w:val="000000" w:themeColor="text1"/>
                <w:kern w:val="0"/>
                <w:lang w:bidi="ar"/>
                <w14:textFill>
                  <w14:solidFill>
                    <w14:schemeClr w14:val="tx1"/>
                  </w14:solidFill>
                </w14:textFill>
              </w:rPr>
              <w:t>天，则施工期间非雨天运输扬尘产生量为</w:t>
            </w:r>
            <w:r>
              <w:rPr>
                <w:rFonts w:hint="eastAsia"/>
                <w:color w:val="000000" w:themeColor="text1"/>
                <w:kern w:val="0"/>
                <w:lang w:val="en-US" w:eastAsia="zh-CN" w:bidi="ar"/>
                <w14:textFill>
                  <w14:solidFill>
                    <w14:schemeClr w14:val="tx1"/>
                  </w14:solidFill>
                </w14:textFill>
              </w:rPr>
              <w:t>19.414</w:t>
            </w:r>
            <w:r>
              <w:rPr>
                <w:color w:val="000000" w:themeColor="text1"/>
                <w:kern w:val="0"/>
                <w:lang w:bidi="ar"/>
                <w14:textFill>
                  <w14:solidFill>
                    <w14:schemeClr w14:val="tx1"/>
                  </w14:solidFill>
                </w14:textFill>
              </w:rPr>
              <w:t>t/a</w:t>
            </w:r>
            <w:r>
              <w:rPr>
                <w:rFonts w:hint="eastAsia"/>
                <w:color w:val="000000" w:themeColor="text1"/>
                <w:kern w:val="0"/>
                <w:lang w:bidi="ar"/>
                <w14:textFill>
                  <w14:solidFill>
                    <w14:schemeClr w14:val="tx1"/>
                  </w14:solidFill>
                </w14:textFill>
              </w:rPr>
              <w:t>。</w:t>
            </w:r>
          </w:p>
          <w:p w14:paraId="05AFDC25">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根据《固体物料堆存颗粒物产排污核算系数手册》，在对道路进行洒水降尘措施后可减少约74%扬尘，则运输扬尘排放量下降至</w:t>
            </w:r>
            <w:r>
              <w:rPr>
                <w:rFonts w:hint="eastAsia"/>
                <w:color w:val="000000" w:themeColor="text1"/>
                <w:kern w:val="0"/>
                <w:lang w:val="en-US" w:eastAsia="zh-CN" w:bidi="ar"/>
                <w14:textFill>
                  <w14:solidFill>
                    <w14:schemeClr w14:val="tx1"/>
                  </w14:solidFill>
                </w14:textFill>
              </w:rPr>
              <w:t>13.83</w:t>
            </w:r>
            <w:r>
              <w:rPr>
                <w:rFonts w:hint="eastAsia"/>
                <w:color w:val="000000" w:themeColor="text1"/>
                <w:kern w:val="0"/>
                <w:lang w:bidi="ar"/>
                <w14:textFill>
                  <w14:solidFill>
                    <w14:schemeClr w14:val="tx1"/>
                  </w14:solidFill>
                </w14:textFill>
              </w:rPr>
              <w:t>kg/d，施工期运输扬尘排放量</w:t>
            </w:r>
            <w:r>
              <w:rPr>
                <w:rFonts w:hint="eastAsia"/>
                <w:color w:val="000000" w:themeColor="text1"/>
                <w:kern w:val="0"/>
                <w:lang w:val="en-US" w:eastAsia="zh-CN" w:bidi="ar"/>
                <w14:textFill>
                  <w14:solidFill>
                    <w14:schemeClr w14:val="tx1"/>
                  </w14:solidFill>
                </w14:textFill>
              </w:rPr>
              <w:t>5.05</w:t>
            </w:r>
            <w:r>
              <w:rPr>
                <w:rFonts w:hint="eastAsia"/>
                <w:color w:val="000000" w:themeColor="text1"/>
                <w:kern w:val="0"/>
                <w:lang w:bidi="ar"/>
                <w14:textFill>
                  <w14:solidFill>
                    <w14:schemeClr w14:val="tx1"/>
                  </w14:solidFill>
                </w14:textFill>
              </w:rPr>
              <w:t>t/a。</w:t>
            </w:r>
          </w:p>
          <w:p w14:paraId="3CD29886">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项目土路运距很短，在对道路进行洒水降尘措施后，运输扬尘排放量极小。</w:t>
            </w:r>
          </w:p>
          <w:p w14:paraId="253C5EFF">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通过洒水降尘、密闭运输、篷布遮盖等措施，可有效减少扬尘的影响范围其影响范围可控制在项目施工区域内。</w:t>
            </w:r>
          </w:p>
          <w:p w14:paraId="2D025FC6">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采取上述措施后，场界颗粒物浓度可达《大气污染物综合排放标准》（GB16297-1996）表2无组织排放限值要求，即：颗粒物浓度≤1.0mg/m</w:t>
            </w:r>
            <w:r>
              <w:rPr>
                <w:rFonts w:hint="eastAsia"/>
                <w:color w:val="000000" w:themeColor="text1"/>
                <w:kern w:val="0"/>
                <w:vertAlign w:val="superscript"/>
                <w:lang w:bidi="ar"/>
                <w14:textFill>
                  <w14:solidFill>
                    <w14:schemeClr w14:val="tx1"/>
                  </w14:solidFill>
                </w14:textFill>
              </w:rPr>
              <w:t>3</w:t>
            </w:r>
            <w:r>
              <w:rPr>
                <w:rFonts w:hint="eastAsia"/>
                <w:color w:val="000000" w:themeColor="text1"/>
                <w:kern w:val="0"/>
                <w:lang w:bidi="ar"/>
                <w14:textFill>
                  <w14:solidFill>
                    <w14:schemeClr w14:val="tx1"/>
                  </w14:solidFill>
                </w14:textFill>
              </w:rPr>
              <w:t>。</w:t>
            </w:r>
          </w:p>
          <w:p w14:paraId="1D952DD3">
            <w:pPr>
              <w:widowControl/>
              <w:ind w:firstLine="480"/>
              <w:jc w:val="left"/>
              <w:rPr>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④</w:t>
            </w:r>
            <w:r>
              <w:rPr>
                <w:rFonts w:hint="eastAsia"/>
                <w:color w:val="000000" w:themeColor="text1"/>
                <w:kern w:val="0"/>
                <w:lang w:bidi="ar"/>
                <w14:textFill>
                  <w14:solidFill>
                    <w14:schemeClr w14:val="tx1"/>
                  </w14:solidFill>
                </w14:textFill>
              </w:rPr>
              <w:t>运输车辆、施工机械尾气</w:t>
            </w:r>
          </w:p>
          <w:p w14:paraId="4A1B4009">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施工中运输车辆及施工机械运行产生的废气均是动力燃料柴油和汽油燃烧后所产生，主要成分是烃类、CO和NOx，属间歇性无组织排放，各类污染物产生量有限，量不大，且随着施工期的结束而消失。进出施工场地的车辆应尽量减速行驶，定期对车辆保养，防止带病作业，以减少汽车尾气对周围大气环境的污染。</w:t>
            </w:r>
          </w:p>
          <w:p w14:paraId="5AB3EFAC">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 xml:space="preserve">按照《建设项目环境影响报告表编制技术指南（生态影响类）（试行）》 </w:t>
            </w:r>
          </w:p>
          <w:p w14:paraId="16482315">
            <w:pPr>
              <w:widowControl/>
              <w:ind w:firstLine="0" w:firstLineChars="0"/>
              <w:jc w:val="left"/>
              <w:rPr>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（环办环评</w:t>
            </w:r>
            <w:r>
              <w:rPr>
                <w:color w:val="000000" w:themeColor="text1"/>
                <w:kern w:val="0"/>
                <w:lang w:bidi="ar"/>
                <w14:textFill>
                  <w14:solidFill>
                    <w14:schemeClr w14:val="tx1"/>
                  </w14:solidFill>
                </w14:textFill>
              </w:rPr>
              <w:t xml:space="preserve">[2020]33 </w:t>
            </w:r>
            <w:r>
              <w:rPr>
                <w:rFonts w:hint="eastAsia" w:ascii="宋体" w:hAnsi="宋体" w:cs="宋体"/>
                <w:color w:val="000000" w:themeColor="text1"/>
                <w:kern w:val="0"/>
                <w:lang w:bidi="ar"/>
                <w14:textFill>
                  <w14:solidFill>
                    <w14:schemeClr w14:val="tx1"/>
                  </w14:solidFill>
                </w14:textFill>
              </w:rPr>
              <w:t>号），本项目不设置大气专项评价，对大气环境影响进行定性分析。矿坑生态修复实施期间，在进行削坡造台、场地平整、矿坑回填、绿化覆土等施工都会产生扬尘，扬尘呈无组织排放，经对施工现场采取洒水抑尘措施，按照《环境影响评价技术导则</w:t>
            </w:r>
            <w:r>
              <w:rPr>
                <w:color w:val="000000" w:themeColor="text1"/>
                <w:kern w:val="0"/>
                <w:lang w:bidi="ar"/>
                <w14:textFill>
                  <w14:solidFill>
                    <w14:schemeClr w14:val="tx1"/>
                  </w14:solidFill>
                </w14:textFill>
              </w:rPr>
              <w:t>—</w:t>
            </w:r>
            <w:r>
              <w:rPr>
                <w:rFonts w:hint="eastAsia" w:ascii="宋体" w:hAnsi="宋体" w:cs="宋体"/>
                <w:color w:val="000000" w:themeColor="text1"/>
                <w:kern w:val="0"/>
                <w:lang w:bidi="ar"/>
                <w14:textFill>
                  <w14:solidFill>
                    <w14:schemeClr w14:val="tx1"/>
                  </w14:solidFill>
                </w14:textFill>
              </w:rPr>
              <w:t>大气环境》（</w:t>
            </w:r>
            <w:r>
              <w:rPr>
                <w:color w:val="000000" w:themeColor="text1"/>
                <w:kern w:val="0"/>
                <w:lang w:bidi="ar"/>
                <w14:textFill>
                  <w14:solidFill>
                    <w14:schemeClr w14:val="tx1"/>
                  </w14:solidFill>
                </w14:textFill>
              </w:rPr>
              <w:t>HJ2.2-2018</w:t>
            </w:r>
            <w:r>
              <w:rPr>
                <w:rFonts w:hint="eastAsia" w:ascii="宋体" w:hAnsi="宋体" w:cs="宋体"/>
                <w:color w:val="000000" w:themeColor="text1"/>
                <w:kern w:val="0"/>
                <w:lang w:bidi="ar"/>
                <w14:textFill>
                  <w14:solidFill>
                    <w14:schemeClr w14:val="tx1"/>
                  </w14:solidFill>
                </w14:textFill>
              </w:rPr>
              <w:t>）要求采用附录</w:t>
            </w:r>
            <w:r>
              <w:rPr>
                <w:color w:val="000000" w:themeColor="text1"/>
                <w:kern w:val="0"/>
                <w:lang w:bidi="ar"/>
                <w14:textFill>
                  <w14:solidFill>
                    <w14:schemeClr w14:val="tx1"/>
                  </w14:solidFill>
                </w14:textFill>
              </w:rPr>
              <w:t>A</w:t>
            </w:r>
            <w:r>
              <w:rPr>
                <w:rFonts w:hint="eastAsia" w:ascii="宋体" w:hAnsi="宋体" w:cs="宋体"/>
                <w:color w:val="000000" w:themeColor="text1"/>
                <w:kern w:val="0"/>
                <w:lang w:bidi="ar"/>
                <w14:textFill>
                  <w14:solidFill>
                    <w14:schemeClr w14:val="tx1"/>
                  </w14:solidFill>
                </w14:textFill>
              </w:rPr>
              <w:t>推荐模型中估算模型估算矿坑修复区无组织颗粒物对大气环境的最大影响，结果见表</w:t>
            </w:r>
            <w:r>
              <w:rPr>
                <w:rFonts w:hint="eastAsia"/>
                <w:color w:val="000000" w:themeColor="text1"/>
                <w:kern w:val="0"/>
                <w:lang w:bidi="ar"/>
                <w14:textFill>
                  <w14:solidFill>
                    <w14:schemeClr w14:val="tx1"/>
                  </w14:solidFill>
                </w14:textFill>
              </w:rPr>
              <w:t>3-15</w:t>
            </w:r>
            <w:r>
              <w:rPr>
                <w:rFonts w:hint="eastAsia" w:ascii="宋体" w:hAnsi="宋体" w:cs="宋体"/>
                <w:color w:val="000000" w:themeColor="text1"/>
                <w:kern w:val="0"/>
                <w:lang w:bidi="ar"/>
                <w14:textFill>
                  <w14:solidFill>
                    <w14:schemeClr w14:val="tx1"/>
                  </w14:solidFill>
                </w14:textFill>
              </w:rPr>
              <w:t>，矿坑修复区施工期厂界颗粒物最大落地浓度为</w:t>
            </w:r>
            <w:r>
              <w:rPr>
                <w:rFonts w:hint="eastAsia"/>
                <w:color w:val="000000" w:themeColor="text1"/>
                <w:kern w:val="0"/>
                <w:lang w:val="en-US" w:eastAsia="zh-CN" w:bidi="ar"/>
                <w14:textFill>
                  <w14:solidFill>
                    <w14:schemeClr w14:val="tx1"/>
                  </w14:solidFill>
                </w14:textFill>
              </w:rPr>
              <w:t>0.1512mg</w:t>
            </w:r>
            <w:r>
              <w:rPr>
                <w:color w:val="000000" w:themeColor="text1"/>
                <w:kern w:val="0"/>
                <w:lang w:bidi="ar"/>
                <w14:textFill>
                  <w14:solidFill>
                    <w14:schemeClr w14:val="tx1"/>
                  </w14:solidFill>
                </w14:textFill>
              </w:rPr>
              <w:t>/m</w:t>
            </w:r>
            <w:r>
              <w:rPr>
                <w:rFonts w:hint="eastAsia"/>
                <w:color w:val="000000" w:themeColor="text1"/>
                <w:kern w:val="0"/>
                <w:vertAlign w:val="superscript"/>
                <w:lang w:val="en-US" w:eastAsia="zh-CN" w:bidi="ar"/>
                <w14:textFill>
                  <w14:solidFill>
                    <w14:schemeClr w14:val="tx1"/>
                  </w14:solidFill>
                </w14:textFill>
              </w:rPr>
              <w:t>3</w:t>
            </w:r>
            <w:r>
              <w:rPr>
                <w:rFonts w:hint="eastAsia" w:ascii="宋体" w:hAnsi="宋体" w:cs="宋体"/>
                <w:color w:val="000000" w:themeColor="text1"/>
                <w:kern w:val="0"/>
                <w:lang w:bidi="ar"/>
                <w14:textFill>
                  <w14:solidFill>
                    <w14:schemeClr w14:val="tx1"/>
                  </w14:solidFill>
                </w14:textFill>
              </w:rPr>
              <w:t>，最大落地浓度占标率</w:t>
            </w:r>
            <w:r>
              <w:rPr>
                <w:rFonts w:hint="eastAsia"/>
                <w:color w:val="000000" w:themeColor="text1"/>
                <w:kern w:val="0"/>
                <w:lang w:val="en-US" w:eastAsia="zh-CN" w:bidi="ar"/>
                <w14:textFill>
                  <w14:solidFill>
                    <w14:schemeClr w14:val="tx1"/>
                  </w14:solidFill>
                </w14:textFill>
              </w:rPr>
              <w:t>16.79</w:t>
            </w:r>
            <w:r>
              <w:rPr>
                <w:color w:val="000000" w:themeColor="text1"/>
                <w:kern w:val="0"/>
                <w:lang w:bidi="ar"/>
                <w14:textFill>
                  <w14:solidFill>
                    <w14:schemeClr w14:val="tx1"/>
                  </w14:solidFill>
                </w14:textFill>
              </w:rPr>
              <w:t>%</w:t>
            </w:r>
            <w:r>
              <w:rPr>
                <w:rFonts w:hint="eastAsia" w:ascii="宋体" w:hAnsi="宋体" w:cs="宋体"/>
                <w:color w:val="000000" w:themeColor="text1"/>
                <w:kern w:val="0"/>
                <w:lang w:bidi="ar"/>
                <w14:textFill>
                  <w14:solidFill>
                    <w14:schemeClr w14:val="tx1"/>
                  </w14:solidFill>
                </w14:textFill>
              </w:rPr>
              <w:t>，满足《环境空气质量标准》（</w:t>
            </w:r>
            <w:r>
              <w:rPr>
                <w:color w:val="000000" w:themeColor="text1"/>
                <w:kern w:val="0"/>
                <w:lang w:bidi="ar"/>
                <w14:textFill>
                  <w14:solidFill>
                    <w14:schemeClr w14:val="tx1"/>
                  </w14:solidFill>
                </w14:textFill>
              </w:rPr>
              <w:t>GB3095-2012</w:t>
            </w:r>
            <w:r>
              <w:rPr>
                <w:rFonts w:hint="eastAsia" w:ascii="宋体" w:hAnsi="宋体" w:cs="宋体"/>
                <w:color w:val="000000" w:themeColor="text1"/>
                <w:kern w:val="0"/>
                <w:lang w:bidi="ar"/>
                <w14:textFill>
                  <w14:solidFill>
                    <w14:schemeClr w14:val="tx1"/>
                  </w14:solidFill>
                </w14:textFill>
              </w:rPr>
              <w:t>）二级标准。施工场界无组织颗粒物能满足《大气污染物综合排放标准》（</w:t>
            </w:r>
            <w:r>
              <w:rPr>
                <w:color w:val="000000" w:themeColor="text1"/>
                <w:kern w:val="0"/>
                <w:lang w:bidi="ar"/>
                <w14:textFill>
                  <w14:solidFill>
                    <w14:schemeClr w14:val="tx1"/>
                  </w14:solidFill>
                </w14:textFill>
              </w:rPr>
              <w:t>GB16297-1996</w:t>
            </w:r>
            <w:r>
              <w:rPr>
                <w:rFonts w:hint="eastAsia" w:ascii="宋体" w:hAnsi="宋体" w:cs="宋体"/>
                <w:color w:val="000000" w:themeColor="text1"/>
                <w:kern w:val="0"/>
                <w:lang w:bidi="ar"/>
                <w14:textFill>
                  <w14:solidFill>
                    <w14:schemeClr w14:val="tx1"/>
                  </w14:solidFill>
                </w14:textFill>
              </w:rPr>
              <w:t>）表</w:t>
            </w:r>
            <w:r>
              <w:rPr>
                <w:color w:val="000000" w:themeColor="text1"/>
                <w:kern w:val="0"/>
                <w:lang w:bidi="ar"/>
                <w14:textFill>
                  <w14:solidFill>
                    <w14:schemeClr w14:val="tx1"/>
                  </w14:solidFill>
                </w14:textFill>
              </w:rPr>
              <w:t>2</w:t>
            </w:r>
            <w:r>
              <w:rPr>
                <w:rFonts w:hint="eastAsia" w:ascii="宋体" w:hAnsi="宋体" w:cs="宋体"/>
                <w:color w:val="000000" w:themeColor="text1"/>
                <w:kern w:val="0"/>
                <w:lang w:bidi="ar"/>
                <w14:textFill>
                  <w14:solidFill>
                    <w14:schemeClr w14:val="tx1"/>
                  </w14:solidFill>
                </w14:textFill>
              </w:rPr>
              <w:t>中无组织排放限值</w:t>
            </w:r>
            <w:r>
              <w:rPr>
                <w:color w:val="000000" w:themeColor="text1"/>
                <w:kern w:val="0"/>
                <w:lang w:bidi="ar"/>
                <w14:textFill>
                  <w14:solidFill>
                    <w14:schemeClr w14:val="tx1"/>
                  </w14:solidFill>
                </w14:textFill>
              </w:rPr>
              <w:t>1.0mg/</w:t>
            </w:r>
            <w:r>
              <w:rPr>
                <w:rFonts w:hint="eastAsia"/>
                <w:color w:val="000000" w:themeColor="text1"/>
                <w:kern w:val="0"/>
                <w:lang w:bidi="ar"/>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3</w:t>
            </w:r>
            <w:r>
              <w:rPr>
                <w:rFonts w:hint="eastAsia" w:ascii="宋体" w:hAnsi="宋体" w:cs="宋体"/>
                <w:color w:val="000000" w:themeColor="text1"/>
                <w:kern w:val="0"/>
                <w:lang w:bidi="ar"/>
                <w14:textFill>
                  <w14:solidFill>
                    <w14:schemeClr w14:val="tx1"/>
                  </w14:solidFill>
                </w14:textFill>
              </w:rPr>
              <w:t>，对大气环境影响较小。</w:t>
            </w:r>
            <w:r>
              <w:rPr>
                <w:rFonts w:hint="eastAsia"/>
                <w:color w:val="000000" w:themeColor="text1"/>
                <w:kern w:val="0"/>
                <w:lang w:bidi="ar"/>
                <w14:textFill>
                  <w14:solidFill>
                    <w14:schemeClr w14:val="tx1"/>
                  </w14:solidFill>
                </w14:textFill>
              </w:rPr>
              <w:t>污染物均能达标排放，对环境的影响可以接受。</w:t>
            </w:r>
          </w:p>
          <w:p w14:paraId="099B2DAA">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综上，项目采取的污染防治措施可行。</w:t>
            </w:r>
          </w:p>
          <w:p w14:paraId="069F0626">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3、地表水环境影响</w:t>
            </w:r>
          </w:p>
          <w:p w14:paraId="0D15C0CE">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项目施工期废水主要为回填渗滤液、地表径流、施工废水、施工人员洗手废水。</w:t>
            </w:r>
          </w:p>
          <w:p w14:paraId="34746276">
            <w:pPr>
              <w:widowControl/>
              <w:ind w:firstLine="482"/>
              <w:jc w:val="left"/>
              <w:rPr>
                <w:b/>
                <w:bCs/>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1</w:t>
            </w:r>
            <w:r>
              <w:rPr>
                <w:rFonts w:hint="eastAsia"/>
                <w:b/>
                <w:bCs/>
                <w:color w:val="000000" w:themeColor="text1"/>
                <w:kern w:val="0"/>
                <w:lang w:bidi="ar"/>
                <w14:textFill>
                  <w14:solidFill>
                    <w14:schemeClr w14:val="tx1"/>
                  </w14:solidFill>
                </w14:textFill>
              </w:rPr>
              <w:t>）渗滤液产生量核算</w:t>
            </w:r>
          </w:p>
          <w:p w14:paraId="7A89E529">
            <w:pPr>
              <w:keepNext w:val="0"/>
              <w:keepLines w:val="0"/>
              <w:pageBreakBefore w:val="0"/>
              <w:widowControl/>
              <w:kinsoku/>
              <w:wordWrap/>
              <w:overflowPunct/>
              <w:topLinePunct w:val="0"/>
              <w:autoSpaceDE/>
              <w:autoSpaceDN/>
              <w:bidi w:val="0"/>
              <w:adjustRightInd w:val="0"/>
              <w:snapToGrid w:val="0"/>
              <w:ind w:firstLine="480"/>
              <w:jc w:val="left"/>
              <w:textAlignment w:val="auto"/>
              <w:rPr>
                <w:rFonts w:hint="eastAsia"/>
                <w:color w:val="000000" w:themeColor="text1"/>
                <w:highlight w:val="none"/>
                <w:lang w:eastAsia="zh-CN"/>
                <w14:textFill>
                  <w14:solidFill>
                    <w14:schemeClr w14:val="tx1"/>
                  </w14:solidFill>
                </w14:textFill>
              </w:rPr>
            </w:pPr>
            <w:r>
              <w:rPr>
                <w:rFonts w:hint="eastAsia"/>
                <w:color w:val="000000" w:themeColor="text1"/>
                <w:highlight w:val="none"/>
                <w14:textFill>
                  <w14:solidFill>
                    <w14:schemeClr w14:val="tx1"/>
                  </w14:solidFill>
                </w14:textFill>
              </w:rPr>
              <w:t>生态修复作业过程中，降雨时，雨水进入改性磷石膏基生态修复材料回填区会产生一定量的渗滤液。为降低改性磷石膏基生态修复材料堆填过程中渗滤液环境风险，本项目采用分层堆填方式开展改性磷石膏基生态修复材料堆填工作</w:t>
            </w:r>
            <w:r>
              <w:rPr>
                <w:rFonts w:hint="eastAsia"/>
                <w:color w:val="000000" w:themeColor="text1"/>
                <w:highlight w:val="none"/>
                <w:lang w:eastAsia="zh-CN"/>
                <w14:textFill>
                  <w14:solidFill>
                    <w14:schemeClr w14:val="tx1"/>
                  </w14:solidFill>
                </w14:textFill>
              </w:rPr>
              <w:t>。</w:t>
            </w:r>
          </w:p>
          <w:p w14:paraId="2A4864E2">
            <w:pPr>
              <w:keepNext w:val="0"/>
              <w:keepLines w:val="0"/>
              <w:pageBreakBefore w:val="0"/>
              <w:widowControl/>
              <w:kinsoku/>
              <w:wordWrap/>
              <w:overflowPunct/>
              <w:topLinePunct w:val="0"/>
              <w:autoSpaceDE/>
              <w:autoSpaceDN/>
              <w:bidi w:val="0"/>
              <w:adjustRightInd w:val="0"/>
              <w:snapToGrid w:val="0"/>
              <w:ind w:firstLine="480"/>
              <w:jc w:val="left"/>
              <w:textAlignment w:val="auto"/>
              <w:rPr>
                <w:rFonts w:hint="default" w:ascii="Times New Roman" w:hAnsi="Times New Roman" w:cs="Times New Roman"/>
                <w:color w:val="000000" w:themeColor="text1"/>
                <w:szCs w:val="28"/>
                <w:highlight w:val="none"/>
                <w14:textFill>
                  <w14:solidFill>
                    <w14:schemeClr w14:val="tx1"/>
                  </w14:solidFill>
                </w14:textFill>
              </w:rPr>
            </w:pPr>
            <w:r>
              <w:rPr>
                <w:rFonts w:hint="default" w:ascii="Times New Roman" w:hAnsi="Times New Roman" w:cs="Times New Roman"/>
                <w:color w:val="000000" w:themeColor="text1"/>
                <w:highlight w:val="none"/>
                <w:lang w:val="en-US" w:eastAsia="zh-CN"/>
                <w14:textFill>
                  <w14:solidFill>
                    <w14:schemeClr w14:val="tx1"/>
                  </w14:solidFill>
                </w14:textFill>
              </w:rPr>
              <w:t>北部</w:t>
            </w:r>
            <w:r>
              <w:rPr>
                <w:rFonts w:hint="default" w:ascii="Times New Roman" w:hAnsi="Times New Roman" w:cs="Times New Roman"/>
                <w:color w:val="000000" w:themeColor="text1"/>
                <w:sz w:val="24"/>
                <w:highlight w:val="none"/>
                <w14:textFill>
                  <w14:solidFill>
                    <w14:schemeClr w14:val="tx1"/>
                  </w14:solidFill>
                </w14:textFill>
              </w:rPr>
              <w:t>矿坑堆填区从整平后的坑底2091m标高堆填至2147m标高，根据改性磷石膏填料特性、矿坑地形条件及雨水排水条件等因数，设计改性磷石膏填料回填堆排顺序为先填平至1#拦挡坝坝顶标高2097m，再由拦挡坝坝顶按1:3.0的坡比放坡堆填，堆填体总外坡比控制缓于1:3.5。拦挡坝高度7m，拦挡坝以上堆填高度50m,最终堆填标高2147m。堆填每5m高，留设3m宽马道。按场地地形初步测算回填量共计70.81万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eastAsia" w:ascii="Times New Roman" w:hAnsi="Times New Roman" w:cs="Times New Roman"/>
                <w:color w:val="000000" w:themeColor="text1"/>
                <w:sz w:val="24"/>
                <w:highlight w:val="none"/>
                <w:vertAlign w:val="baseline"/>
                <w:lang w:eastAsia="zh-CN"/>
                <w14:textFill>
                  <w14:solidFill>
                    <w14:schemeClr w14:val="tx1"/>
                  </w14:solidFill>
                </w14:textFill>
              </w:rPr>
              <w:t>，</w:t>
            </w:r>
            <w: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t>即955935t</w:t>
            </w:r>
            <w:r>
              <w:rPr>
                <w:rFonts w:hint="default" w:ascii="Times New Roman" w:hAnsi="Times New Roman" w:cs="Times New Roman"/>
                <w:color w:val="000000" w:themeColor="text1"/>
                <w:sz w:val="24"/>
                <w:highlight w:val="none"/>
                <w14:textFill>
                  <w14:solidFill>
                    <w14:schemeClr w14:val="tx1"/>
                  </w14:solidFill>
                </w14:textFill>
              </w:rPr>
              <w:t>。</w:t>
            </w:r>
          </w:p>
          <w:p w14:paraId="7CBCC4A6">
            <w:pPr>
              <w:keepNext w:val="0"/>
              <w:keepLines w:val="0"/>
              <w:pageBreakBefore w:val="0"/>
              <w:widowControl/>
              <w:kinsoku/>
              <w:wordWrap/>
              <w:overflowPunct/>
              <w:topLinePunct w:val="0"/>
              <w:autoSpaceDE/>
              <w:autoSpaceDN/>
              <w:bidi w:val="0"/>
              <w:adjustRightInd w:val="0"/>
              <w:snapToGrid w:val="0"/>
              <w:ind w:firstLine="480"/>
              <w:jc w:val="left"/>
              <w:textAlignment w:val="auto"/>
              <w:rPr>
                <w:rFonts w:hint="default" w:ascii="Times New Roman" w:hAnsi="Times New Roman" w:cs="Times New Roman"/>
                <w:color w:val="000000" w:themeColor="text1"/>
                <w:szCs w:val="28"/>
                <w:highlight w:val="none"/>
                <w14:textFill>
                  <w14:solidFill>
                    <w14:schemeClr w14:val="tx1"/>
                  </w14:solidFill>
                </w14:textFill>
              </w:rPr>
            </w:pPr>
            <w:r>
              <w:rPr>
                <w:rFonts w:hint="default" w:ascii="Times New Roman" w:hAnsi="Times New Roman" w:cs="Times New Roman"/>
                <w:color w:val="000000" w:themeColor="text1"/>
                <w:sz w:val="24"/>
                <w:highlight w:val="none"/>
                <w:lang w:val="en-US" w:eastAsia="zh-CN"/>
                <w14:textFill>
                  <w14:solidFill>
                    <w14:schemeClr w14:val="tx1"/>
                  </w14:solidFill>
                </w14:textFill>
              </w:rPr>
              <w:t>南部</w:t>
            </w:r>
            <w:r>
              <w:rPr>
                <w:rFonts w:hint="default" w:ascii="Times New Roman" w:hAnsi="Times New Roman" w:cs="Times New Roman"/>
                <w:color w:val="000000" w:themeColor="text1"/>
                <w:sz w:val="24"/>
                <w:highlight w:val="none"/>
                <w14:textFill>
                  <w14:solidFill>
                    <w14:schemeClr w14:val="tx1"/>
                  </w14:solidFill>
                </w14:textFill>
              </w:rPr>
              <w:t>矿坑堆填区从整平后的坑底2080m标高堆填至2151m标高，根据改性磷石膏填料特性、矿坑地形条件及雨水排水条件等因数，设计改性磷石膏填料回填堆排顺序为先填平至2#拦挡坝坝顶标高2096m，再由拦挡坝坝顶按1:3.0的坡比放坡堆填，堆填体总外坡比控制缓于1:3.5。2#拦挡坝高度10m，拦挡坝以上堆填高度55m，最终堆填标高2151m。堆填每5m高，留设3m宽马道。按场地地形初步测算回填量共计88.91万m</w:t>
            </w:r>
            <w:r>
              <w:rPr>
                <w:rFonts w:hint="default" w:ascii="Times New Roman" w:hAnsi="Times New Roman" w:cs="Times New Roman"/>
                <w:color w:val="000000" w:themeColor="text1"/>
                <w:sz w:val="24"/>
                <w:highlight w:val="none"/>
                <w:vertAlign w:val="superscript"/>
                <w14:textFill>
                  <w14:solidFill>
                    <w14:schemeClr w14:val="tx1"/>
                  </w14:solidFill>
                </w14:textFill>
              </w:rPr>
              <w:t>3</w:t>
            </w:r>
            <w:r>
              <w:rPr>
                <w:rFonts w:hint="eastAsia" w:ascii="Times New Roman" w:hAnsi="Times New Roman" w:cs="Times New Roman"/>
                <w:color w:val="000000" w:themeColor="text1"/>
                <w:sz w:val="24"/>
                <w:highlight w:val="none"/>
                <w:vertAlign w:val="baseline"/>
                <w:lang w:eastAsia="zh-CN"/>
                <w14:textFill>
                  <w14:solidFill>
                    <w14:schemeClr w14:val="tx1"/>
                  </w14:solidFill>
                </w14:textFill>
              </w:rPr>
              <w:t>，</w:t>
            </w:r>
            <w:r>
              <w:rPr>
                <w:rFonts w:hint="eastAsia" w:ascii="Times New Roman" w:hAnsi="Times New Roman" w:cs="Times New Roman"/>
                <w:color w:val="000000" w:themeColor="text1"/>
                <w:sz w:val="24"/>
                <w:highlight w:val="none"/>
                <w:vertAlign w:val="baseline"/>
                <w:lang w:val="en-US" w:eastAsia="zh-CN"/>
                <w14:textFill>
                  <w14:solidFill>
                    <w14:schemeClr w14:val="tx1"/>
                  </w14:solidFill>
                </w14:textFill>
              </w:rPr>
              <w:t>即1200285t</w:t>
            </w:r>
            <w:r>
              <w:rPr>
                <w:rFonts w:hint="default" w:ascii="Times New Roman" w:hAnsi="Times New Roman" w:cs="Times New Roman"/>
                <w:color w:val="000000" w:themeColor="text1"/>
                <w:sz w:val="24"/>
                <w:highlight w:val="none"/>
                <w14:textFill>
                  <w14:solidFill>
                    <w14:schemeClr w14:val="tx1"/>
                  </w14:solidFill>
                </w14:textFill>
              </w:rPr>
              <w:t>。</w:t>
            </w:r>
          </w:p>
          <w:p w14:paraId="7A6E87FD">
            <w:pPr>
              <w:keepNext w:val="0"/>
              <w:keepLines w:val="0"/>
              <w:pageBreakBefore w:val="0"/>
              <w:kinsoku/>
              <w:wordWrap/>
              <w:overflowPunct/>
              <w:topLinePunct w:val="0"/>
              <w:autoSpaceDE/>
              <w:autoSpaceDN/>
              <w:bidi w:val="0"/>
              <w:adjustRightInd w:val="0"/>
              <w:snapToGrid w:val="0"/>
              <w:spacing w:line="360" w:lineRule="auto"/>
              <w:ind w:right="-1" w:firstLine="480" w:firstLineChars="200"/>
              <w:textAlignment w:val="auto"/>
              <w:rPr>
                <w:rFonts w:ascii="宋体" w:hAnsi="宋体"/>
                <w:color w:val="000000" w:themeColor="text1"/>
                <w:kern w:val="0"/>
                <w:sz w:val="24"/>
                <w:highlight w:val="none"/>
                <w14:textFill>
                  <w14:solidFill>
                    <w14:schemeClr w14:val="tx1"/>
                  </w14:solidFill>
                </w14:textFill>
              </w:rPr>
            </w:pPr>
            <w:r>
              <w:rPr>
                <w:rFonts w:hint="eastAsia"/>
                <w:color w:val="000000" w:themeColor="text1"/>
                <w:szCs w:val="28"/>
                <w:highlight w:val="none"/>
                <w14:textFill>
                  <w14:solidFill>
                    <w14:schemeClr w14:val="tx1"/>
                  </w14:solidFill>
                </w14:textFill>
              </w:rPr>
              <w:t>生态修复作业过程中，降雨时，雨水冲刷回填区会产生一定量的渗滤液。</w:t>
            </w:r>
            <w:r>
              <w:rPr>
                <w:rFonts w:hint="eastAsia" w:ascii="宋体" w:hAnsi="宋体" w:cs="宋体"/>
                <w:color w:val="000000" w:themeColor="text1"/>
                <w:kern w:val="0"/>
                <w:highlight w:val="none"/>
                <w:lang w:bidi="ar"/>
                <w14:textFill>
                  <w14:solidFill>
                    <w14:schemeClr w14:val="tx1"/>
                  </w14:solidFill>
                </w14:textFill>
              </w:rPr>
              <w:t>本项目考虑最不利条件计算，</w:t>
            </w:r>
            <w:r>
              <w:rPr>
                <w:rFonts w:hint="eastAsia" w:ascii="宋体" w:hAnsi="宋体" w:cs="宋体"/>
                <w:color w:val="000000" w:themeColor="text1"/>
                <w:kern w:val="0"/>
                <w:highlight w:val="none"/>
                <w:lang w:val="en-US" w:eastAsia="zh-CN" w:bidi="ar"/>
                <w14:textFill>
                  <w14:solidFill>
                    <w14:schemeClr w14:val="tx1"/>
                  </w14:solidFill>
                </w14:textFill>
              </w:rPr>
              <w:t>本项目</w:t>
            </w:r>
            <w:r>
              <w:rPr>
                <w:rFonts w:hint="eastAsia" w:ascii="宋体" w:hAnsi="宋体"/>
                <w:color w:val="000000" w:themeColor="text1"/>
                <w:kern w:val="0"/>
                <w:sz w:val="24"/>
                <w:highlight w:val="none"/>
                <w14:textFill>
                  <w14:solidFill>
                    <w14:schemeClr w14:val="tx1"/>
                  </w14:solidFill>
                </w14:textFill>
              </w:rPr>
              <w:t>大旋塘北部采石场生态修复区面</w:t>
            </w:r>
            <w:r>
              <w:rPr>
                <w:rFonts w:hint="default" w:ascii="Times New Roman" w:hAnsi="Times New Roman" w:cs="Times New Roman"/>
                <w:color w:val="000000" w:themeColor="text1"/>
                <w:kern w:val="0"/>
                <w:sz w:val="24"/>
                <w:highlight w:val="none"/>
                <w14:textFill>
                  <w14:solidFill>
                    <w14:schemeClr w14:val="tx1"/>
                  </w14:solidFill>
                </w14:textFill>
              </w:rPr>
              <w:t>积65614.33m</w:t>
            </w:r>
            <w:r>
              <w:rPr>
                <w:rFonts w:hint="default" w:ascii="Times New Roman" w:hAnsi="Times New Roman" w:cs="Times New Roman"/>
                <w:color w:val="000000" w:themeColor="text1"/>
                <w:kern w:val="0"/>
                <w:sz w:val="24"/>
                <w:highlight w:val="none"/>
                <w:vertAlign w:val="superscript"/>
                <w14:textFill>
                  <w14:solidFill>
                    <w14:schemeClr w14:val="tx1"/>
                  </w14:solidFill>
                </w14:textFill>
              </w:rPr>
              <w:t>2</w:t>
            </w:r>
            <w:r>
              <w:rPr>
                <w:rFonts w:hint="default" w:ascii="Times New Roman" w:hAnsi="Times New Roman" w:cs="Times New Roman"/>
                <w:color w:val="000000" w:themeColor="text1"/>
                <w:kern w:val="0"/>
                <w:sz w:val="24"/>
                <w:highlight w:val="none"/>
                <w14:textFill>
                  <w14:solidFill>
                    <w14:schemeClr w14:val="tx1"/>
                  </w14:solidFill>
                </w14:textFill>
              </w:rPr>
              <w:t>，约98.42亩</w:t>
            </w:r>
            <w:r>
              <w:rPr>
                <w:rFonts w:hint="eastAsia" w:ascii="Times New Roman" w:hAnsi="Times New Roman" w:cs="Times New Roman"/>
                <w:color w:val="000000" w:themeColor="text1"/>
                <w:kern w:val="0"/>
                <w:sz w:val="24"/>
                <w:highlight w:val="none"/>
                <w:lang w:eastAsia="zh-CN"/>
                <w14:textFill>
                  <w14:solidFill>
                    <w14:schemeClr w14:val="tx1"/>
                  </w14:solidFill>
                </w14:textFill>
              </w:rPr>
              <w:t>，</w:t>
            </w:r>
            <w:r>
              <w:rPr>
                <w:rFonts w:hint="default" w:ascii="Times New Roman" w:hAnsi="Times New Roman" w:cs="Times New Roman"/>
                <w:color w:val="000000" w:themeColor="text1"/>
                <w:kern w:val="0"/>
                <w:sz w:val="24"/>
                <w:highlight w:val="none"/>
                <w14:textFill>
                  <w14:solidFill>
                    <w14:schemeClr w14:val="tx1"/>
                  </w14:solidFill>
                </w14:textFill>
              </w:rPr>
              <w:t>大旋塘南部采石场生态修复区面积61482.29m</w:t>
            </w:r>
            <w:r>
              <w:rPr>
                <w:rFonts w:hint="default" w:ascii="Times New Roman" w:hAnsi="Times New Roman" w:cs="Times New Roman"/>
                <w:color w:val="000000" w:themeColor="text1"/>
                <w:kern w:val="0"/>
                <w:sz w:val="24"/>
                <w:highlight w:val="none"/>
                <w:vertAlign w:val="superscript"/>
                <w14:textFill>
                  <w14:solidFill>
                    <w14:schemeClr w14:val="tx1"/>
                  </w14:solidFill>
                </w14:textFill>
              </w:rPr>
              <w:t>2</w:t>
            </w:r>
            <w:r>
              <w:rPr>
                <w:rFonts w:hint="default" w:ascii="Times New Roman" w:hAnsi="Times New Roman" w:cs="Times New Roman"/>
                <w:color w:val="000000" w:themeColor="text1"/>
                <w:kern w:val="0"/>
                <w:sz w:val="24"/>
                <w:highlight w:val="none"/>
                <w14:textFill>
                  <w14:solidFill>
                    <w14:schemeClr w14:val="tx1"/>
                  </w14:solidFill>
                </w14:textFill>
              </w:rPr>
              <w:t>，约92.22亩。</w:t>
            </w:r>
          </w:p>
          <w:p w14:paraId="67151331">
            <w:pPr>
              <w:keepNext w:val="0"/>
              <w:keepLines w:val="0"/>
              <w:pageBreakBefore w:val="0"/>
              <w:widowControl/>
              <w:kinsoku/>
              <w:wordWrap/>
              <w:overflowPunct/>
              <w:topLinePunct w:val="0"/>
              <w:autoSpaceDE/>
              <w:autoSpaceDN/>
              <w:bidi w:val="0"/>
              <w:adjustRightInd w:val="0"/>
              <w:snapToGrid w:val="0"/>
              <w:ind w:firstLine="480"/>
              <w:jc w:val="left"/>
              <w:textAlignment w:val="auto"/>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kern w:val="0"/>
                <w:highlight w:val="none"/>
                <w:lang w:bidi="ar"/>
                <w14:textFill>
                  <w14:solidFill>
                    <w14:schemeClr w14:val="tx1"/>
                  </w14:solidFill>
                </w14:textFill>
              </w:rPr>
              <w:t>按照不利原则，</w:t>
            </w:r>
            <w:r>
              <w:rPr>
                <w:rFonts w:hint="default" w:ascii="Times New Roman" w:hAnsi="Times New Roman" w:cs="Times New Roman"/>
                <w:color w:val="000000" w:themeColor="text1"/>
                <w:sz w:val="24"/>
                <w:highlight w:val="none"/>
                <w14:textFill>
                  <w14:solidFill>
                    <w14:schemeClr w14:val="tx1"/>
                  </w14:solidFill>
                </w14:textFill>
              </w:rPr>
              <w:t>大旋塘南部采石场露天采场回填区汇水面积为</w:t>
            </w:r>
            <w:r>
              <w:rPr>
                <w:rFonts w:hint="eastAsia" w:cs="Times New Roman"/>
                <w:color w:val="000000" w:themeColor="text1"/>
                <w:kern w:val="0"/>
                <w:highlight w:val="none"/>
                <w:lang w:val="en-US" w:eastAsia="zh-CN" w:bidi="ar"/>
                <w14:textFill>
                  <w14:solidFill>
                    <w14:schemeClr w14:val="tx1"/>
                  </w14:solidFill>
                </w14:textFill>
              </w:rPr>
              <w:t>0.0656</w:t>
            </w:r>
            <w:r>
              <w:rPr>
                <w:rFonts w:hint="default" w:ascii="Times New Roman" w:hAnsi="Times New Roman" w:cs="Times New Roman"/>
                <w:color w:val="000000" w:themeColor="text1"/>
                <w:sz w:val="24"/>
                <w:highlight w:val="none"/>
                <w14:textFill>
                  <w14:solidFill>
                    <w14:schemeClr w14:val="tx1"/>
                  </w14:solidFill>
                </w14:textFill>
              </w:rPr>
              <w:t>km</w:t>
            </w:r>
            <w:r>
              <w:rPr>
                <w:rFonts w:hint="default" w:ascii="Times New Roman" w:hAnsi="Times New Roman" w:cs="Times New Roman"/>
                <w:color w:val="000000" w:themeColor="text1"/>
                <w:sz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kern w:val="0"/>
                <w:highlight w:val="none"/>
                <w:lang w:bidi="ar"/>
                <w14:textFill>
                  <w14:solidFill>
                    <w14:schemeClr w14:val="tx1"/>
                  </w14:solidFill>
                </w14:textFill>
              </w:rPr>
              <w:t>即蒸发面积取</w:t>
            </w:r>
            <w:r>
              <w:rPr>
                <w:rFonts w:hint="eastAsia" w:cs="Times New Roman"/>
                <w:color w:val="000000" w:themeColor="text1"/>
                <w:kern w:val="0"/>
                <w:highlight w:val="none"/>
                <w:lang w:val="en-US" w:eastAsia="zh-CN" w:bidi="ar"/>
                <w14:textFill>
                  <w14:solidFill>
                    <w14:schemeClr w14:val="tx1"/>
                  </w14:solidFill>
                </w14:textFill>
              </w:rPr>
              <w:t>0.0656</w:t>
            </w:r>
            <w:r>
              <w:rPr>
                <w:rFonts w:hint="default" w:ascii="Times New Roman" w:hAnsi="Times New Roman" w:cs="Times New Roman"/>
                <w:color w:val="000000" w:themeColor="text1"/>
                <w:kern w:val="0"/>
                <w:highlight w:val="none"/>
                <w:lang w:bidi="ar"/>
                <w14:textFill>
                  <w14:solidFill>
                    <w14:schemeClr w14:val="tx1"/>
                  </w14:solidFill>
                </w14:textFill>
              </w:rPr>
              <w:t>km</w:t>
            </w:r>
            <w:r>
              <w:rPr>
                <w:rFonts w:hint="default" w:ascii="Times New Roman" w:hAnsi="Times New Roman" w:cs="Times New Roman"/>
                <w:color w:val="000000" w:themeColor="text1"/>
                <w:kern w:val="0"/>
                <w:highlight w:val="none"/>
                <w:vertAlign w:val="superscript"/>
                <w:lang w:bidi="ar"/>
                <w14:textFill>
                  <w14:solidFill>
                    <w14:schemeClr w14:val="tx1"/>
                  </w14:solidFill>
                </w14:textFill>
              </w:rPr>
              <w:t>2</w:t>
            </w:r>
            <w:r>
              <w:rPr>
                <w:rFonts w:hint="default" w:ascii="Times New Roman" w:hAnsi="Times New Roman" w:cs="Times New Roman"/>
                <w:color w:val="000000" w:themeColor="text1"/>
                <w:kern w:val="0"/>
                <w:highlight w:val="none"/>
                <w:lang w:eastAsia="zh-CN" w:bidi="ar"/>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大旋塘北部采石场露天采场汇水面积为</w:t>
            </w:r>
            <w:r>
              <w:rPr>
                <w:rFonts w:hint="eastAsia" w:cs="Times New Roman"/>
                <w:color w:val="000000" w:themeColor="text1"/>
                <w:kern w:val="0"/>
                <w:highlight w:val="none"/>
                <w:lang w:val="en-US" w:eastAsia="zh-CN" w:bidi="ar"/>
                <w14:textFill>
                  <w14:solidFill>
                    <w14:schemeClr w14:val="tx1"/>
                  </w14:solidFill>
                </w14:textFill>
              </w:rPr>
              <w:t>0.06143</w:t>
            </w:r>
            <w:r>
              <w:rPr>
                <w:rFonts w:hint="default" w:ascii="Times New Roman" w:hAnsi="Times New Roman" w:cs="Times New Roman"/>
                <w:color w:val="000000" w:themeColor="text1"/>
                <w:sz w:val="24"/>
                <w:highlight w:val="none"/>
                <w14:textFill>
                  <w14:solidFill>
                    <w14:schemeClr w14:val="tx1"/>
                  </w14:solidFill>
                </w14:textFill>
              </w:rPr>
              <w:t>km</w:t>
            </w:r>
            <w:r>
              <w:rPr>
                <w:rFonts w:hint="default" w:ascii="Times New Roman" w:hAnsi="Times New Roman" w:cs="Times New Roman"/>
                <w:color w:val="000000" w:themeColor="text1"/>
                <w:sz w:val="24"/>
                <w:highlight w:val="none"/>
                <w:vertAlign w:val="superscript"/>
                <w14:textFill>
                  <w14:solidFill>
                    <w14:schemeClr w14:val="tx1"/>
                  </w14:solidFill>
                </w14:textFill>
              </w:rPr>
              <w:t>2</w:t>
            </w:r>
            <w:r>
              <w:rPr>
                <w:rFonts w:hint="default" w:ascii="Times New Roman" w:hAnsi="Times New Roman" w:cs="Times New Roman"/>
                <w:color w:val="000000" w:themeColor="text1"/>
                <w:sz w:val="24"/>
                <w:highlight w:val="none"/>
                <w14:textFill>
                  <w14:solidFill>
                    <w14:schemeClr w14:val="tx1"/>
                  </w14:solidFill>
                </w14:textFill>
              </w:rPr>
              <w:t>，</w:t>
            </w:r>
            <w:r>
              <w:rPr>
                <w:rFonts w:hint="default" w:ascii="Times New Roman" w:hAnsi="Times New Roman" w:cs="Times New Roman"/>
                <w:color w:val="000000" w:themeColor="text1"/>
                <w:kern w:val="0"/>
                <w:highlight w:val="none"/>
                <w:lang w:bidi="ar"/>
                <w14:textFill>
                  <w14:solidFill>
                    <w14:schemeClr w14:val="tx1"/>
                  </w14:solidFill>
                </w14:textFill>
              </w:rPr>
              <w:t>即蒸发面积取</w:t>
            </w:r>
            <w:r>
              <w:rPr>
                <w:rFonts w:hint="eastAsia" w:cs="Times New Roman"/>
                <w:color w:val="000000" w:themeColor="text1"/>
                <w:kern w:val="0"/>
                <w:highlight w:val="none"/>
                <w:lang w:val="en-US" w:eastAsia="zh-CN" w:bidi="ar"/>
                <w14:textFill>
                  <w14:solidFill>
                    <w14:schemeClr w14:val="tx1"/>
                  </w14:solidFill>
                </w14:textFill>
              </w:rPr>
              <w:t>0.06143</w:t>
            </w:r>
            <w:r>
              <w:rPr>
                <w:rFonts w:hint="default" w:ascii="Times New Roman" w:hAnsi="Times New Roman" w:cs="Times New Roman"/>
                <w:color w:val="000000" w:themeColor="text1"/>
                <w:kern w:val="0"/>
                <w:highlight w:val="none"/>
                <w:lang w:bidi="ar"/>
                <w14:textFill>
                  <w14:solidFill>
                    <w14:schemeClr w14:val="tx1"/>
                  </w14:solidFill>
                </w14:textFill>
              </w:rPr>
              <w:t>km</w:t>
            </w:r>
            <w:r>
              <w:rPr>
                <w:rFonts w:hint="default" w:ascii="Times New Roman" w:hAnsi="Times New Roman" w:cs="Times New Roman"/>
                <w:color w:val="000000" w:themeColor="text1"/>
                <w:kern w:val="0"/>
                <w:highlight w:val="none"/>
                <w:vertAlign w:val="superscript"/>
                <w:lang w:bidi="ar"/>
                <w14:textFill>
                  <w14:solidFill>
                    <w14:schemeClr w14:val="tx1"/>
                  </w14:solidFill>
                </w14:textFill>
              </w:rPr>
              <w:t>2</w:t>
            </w:r>
            <w:r>
              <w:rPr>
                <w:rFonts w:hint="default" w:ascii="Times New Roman" w:hAnsi="Times New Roman" w:cs="Times New Roman"/>
                <w:color w:val="000000" w:themeColor="text1"/>
                <w:kern w:val="0"/>
                <w:highlight w:val="none"/>
                <w:lang w:bidi="ar"/>
                <w14:textFill>
                  <w14:solidFill>
                    <w14:schemeClr w14:val="tx1"/>
                  </w14:solidFill>
                </w14:textFill>
              </w:rPr>
              <w:t>。</w:t>
            </w:r>
          </w:p>
          <w:p w14:paraId="1512ABD3">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渗滤液产生量</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降雨量</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地表径流量-蒸发量</w:t>
            </w:r>
            <w:r>
              <w:rPr>
                <w:rFonts w:hint="eastAsia" w:ascii="宋体" w:hAnsi="宋体" w:cs="宋体"/>
                <w:color w:val="000000" w:themeColor="text1"/>
                <w:kern w:val="0"/>
                <w:lang w:bidi="ar"/>
                <w14:textFill>
                  <w14:solidFill>
                    <w14:schemeClr w14:val="tx1"/>
                  </w14:solidFill>
                </w14:textFill>
              </w:rPr>
              <w:t>-回填料饱和吸水量</w:t>
            </w:r>
            <w:r>
              <w:rPr>
                <w:rFonts w:hint="eastAsia"/>
                <w:color w:val="000000" w:themeColor="text1"/>
                <w:kern w:val="0"/>
                <w:lang w:bidi="ar"/>
                <w14:textFill>
                  <w14:solidFill>
                    <w14:schemeClr w14:val="tx1"/>
                  </w14:solidFill>
                </w14:textFill>
              </w:rPr>
              <w:t>。</w:t>
            </w:r>
          </w:p>
          <w:p w14:paraId="21A7BBD9">
            <w:pPr>
              <w:widowControl/>
              <w:ind w:firstLine="480"/>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①降雨量</w:t>
            </w:r>
          </w:p>
          <w:p w14:paraId="5992B556">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降雨量按下式进行计算：</w:t>
            </w:r>
          </w:p>
          <w:p w14:paraId="4DF8B06A">
            <w:pPr>
              <w:widowControl/>
              <w:ind w:firstLine="0" w:firstLineChars="0"/>
              <w:jc w:val="center"/>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Q＝F×H×1000</w:t>
            </w:r>
          </w:p>
          <w:p w14:paraId="562C4955">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式中：</w:t>
            </w:r>
            <w:r>
              <w:rPr>
                <w:color w:val="000000" w:themeColor="text1"/>
                <w:kern w:val="0"/>
                <w:lang w:bidi="ar"/>
                <w14:textFill>
                  <w14:solidFill>
                    <w14:schemeClr w14:val="tx1"/>
                  </w14:solidFill>
                </w14:textFill>
              </w:rPr>
              <w:t>Q—</w:t>
            </w:r>
            <w:r>
              <w:rPr>
                <w:rFonts w:hint="eastAsia"/>
                <w:color w:val="000000" w:themeColor="text1"/>
                <w:kern w:val="0"/>
                <w:lang w:bidi="ar"/>
                <w14:textFill>
                  <w14:solidFill>
                    <w14:schemeClr w14:val="tx1"/>
                  </w14:solidFill>
                </w14:textFill>
              </w:rPr>
              <w:t>降水量，m³；</w:t>
            </w:r>
          </w:p>
          <w:p w14:paraId="4E233869">
            <w:pPr>
              <w:widowControl/>
              <w:ind w:firstLine="1200" w:firstLineChars="50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F—</w:t>
            </w:r>
            <w:r>
              <w:rPr>
                <w:rFonts w:hint="eastAsia"/>
                <w:color w:val="000000" w:themeColor="text1"/>
                <w:kern w:val="0"/>
                <w:lang w:bidi="ar"/>
                <w14:textFill>
                  <w14:solidFill>
                    <w14:schemeClr w14:val="tx1"/>
                  </w14:solidFill>
                </w14:textFill>
              </w:rPr>
              <w:t>汇水面积，</w:t>
            </w:r>
            <w:r>
              <w:rPr>
                <w:color w:val="000000" w:themeColor="text1"/>
                <w:kern w:val="0"/>
                <w:lang w:bidi="ar"/>
                <w14:textFill>
                  <w14:solidFill>
                    <w14:schemeClr w14:val="tx1"/>
                  </w14:solidFill>
                </w14:textFill>
              </w:rPr>
              <w:t>km</w:t>
            </w:r>
            <w:r>
              <w:rPr>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w:t>
            </w:r>
          </w:p>
          <w:p w14:paraId="1E0299CC">
            <w:pPr>
              <w:widowControl/>
              <w:ind w:firstLine="1200" w:firstLineChars="50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H—</w:t>
            </w:r>
            <w:r>
              <w:rPr>
                <w:rFonts w:hint="eastAsia"/>
                <w:color w:val="000000" w:themeColor="text1"/>
                <w:kern w:val="0"/>
                <w:lang w:bidi="ar"/>
                <w14:textFill>
                  <w14:solidFill>
                    <w14:schemeClr w14:val="tx1"/>
                  </w14:solidFill>
                </w14:textFill>
              </w:rPr>
              <w:t>降水量，</w:t>
            </w:r>
            <w:r>
              <w:rPr>
                <w:color w:val="000000" w:themeColor="text1"/>
                <w:kern w:val="0"/>
                <w:lang w:bidi="ar"/>
                <w14:textFill>
                  <w14:solidFill>
                    <w14:schemeClr w14:val="tx1"/>
                  </w14:solidFill>
                </w14:textFill>
              </w:rPr>
              <w:t>mm</w:t>
            </w:r>
            <w:r>
              <w:rPr>
                <w:rFonts w:hint="eastAsia"/>
                <w:color w:val="000000" w:themeColor="text1"/>
                <w:kern w:val="0"/>
                <w:lang w:bidi="ar"/>
                <w14:textFill>
                  <w14:solidFill>
                    <w14:schemeClr w14:val="tx1"/>
                  </w14:solidFill>
                </w14:textFill>
              </w:rPr>
              <w:t>；</w:t>
            </w:r>
          </w:p>
          <w:p w14:paraId="26308957">
            <w:pPr>
              <w:widowControl/>
              <w:ind w:firstLine="480"/>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②场地地表径流量</w:t>
            </w:r>
          </w:p>
          <w:p w14:paraId="1FBB73FE">
            <w:pPr>
              <w:widowControl/>
              <w:ind w:firstLine="0" w:firstLineChars="0"/>
              <w:jc w:val="center"/>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Qm＝C×H×F×1000</w:t>
            </w:r>
          </w:p>
          <w:p w14:paraId="4F2EE6D4">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式中：Qm</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径流量；</w:t>
            </w:r>
          </w:p>
          <w:p w14:paraId="175FD76F">
            <w:pPr>
              <w:widowControl/>
              <w:ind w:firstLine="1200" w:firstLineChars="50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C</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集水区径流系数取值0.15；</w:t>
            </w:r>
          </w:p>
          <w:p w14:paraId="077574DE">
            <w:pPr>
              <w:widowControl/>
              <w:ind w:firstLine="1200" w:firstLineChars="50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H</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降雨量，</w:t>
            </w:r>
            <w:r>
              <w:rPr>
                <w:color w:val="000000" w:themeColor="text1"/>
                <w:kern w:val="0"/>
                <w:lang w:bidi="ar"/>
                <w14:textFill>
                  <w14:solidFill>
                    <w14:schemeClr w14:val="tx1"/>
                  </w14:solidFill>
                </w14:textFill>
              </w:rPr>
              <w:t>mm</w:t>
            </w:r>
            <w:r>
              <w:rPr>
                <w:rFonts w:hint="eastAsia"/>
                <w:color w:val="000000" w:themeColor="text1"/>
                <w:kern w:val="0"/>
                <w:lang w:bidi="ar"/>
                <w14:textFill>
                  <w14:solidFill>
                    <w14:schemeClr w14:val="tx1"/>
                  </w14:solidFill>
                </w14:textFill>
              </w:rPr>
              <w:t>；</w:t>
            </w:r>
          </w:p>
          <w:p w14:paraId="65EBDEDB">
            <w:pPr>
              <w:widowControl/>
              <w:ind w:firstLine="1200" w:firstLineChars="50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F—汇水面积km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w:t>
            </w:r>
          </w:p>
          <w:p w14:paraId="3B285B40">
            <w:pPr>
              <w:widowControl/>
              <w:ind w:firstLine="480"/>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③蒸发量</w:t>
            </w:r>
          </w:p>
          <w:p w14:paraId="4EC2DE73">
            <w:pPr>
              <w:widowControl/>
              <w:ind w:firstLine="480"/>
              <w:jc w:val="left"/>
              <w:rPr>
                <w:color w:val="000000" w:themeColor="text1"/>
                <w:kern w:val="0"/>
                <w:lang w:bidi="ar"/>
                <w14:textFill>
                  <w14:solidFill>
                    <w14:schemeClr w14:val="tx1"/>
                  </w14:solidFill>
                </w14:textFill>
              </w:rPr>
            </w:pPr>
            <w:r>
              <w:rPr>
                <w:rFonts w:hint="eastAsia"/>
                <w:color w:val="000000" w:themeColor="text1"/>
                <w14:textFill>
                  <w14:solidFill>
                    <w14:schemeClr w14:val="tx1"/>
                  </w14:solidFill>
                </w14:textFill>
              </w:rPr>
              <w:t>根据相关数据可知，寻甸县2018—2022年降雨量最多的月份集中在7月、8月。7月最大</w:t>
            </w:r>
            <w:r>
              <w:rPr>
                <w:rFonts w:hint="eastAsia" w:ascii="宋体" w:hAnsi="宋体" w:cs="宋体"/>
                <w:color w:val="000000" w:themeColor="text1"/>
                <w:kern w:val="0"/>
                <w:lang w:bidi="ar"/>
                <w14:textFill>
                  <w14:solidFill>
                    <w14:schemeClr w14:val="tx1"/>
                  </w14:solidFill>
                </w14:textFill>
              </w:rPr>
              <w:t>降雨量为</w:t>
            </w:r>
            <w:r>
              <w:rPr>
                <w:rFonts w:hint="eastAsia"/>
                <w:color w:val="000000" w:themeColor="text1"/>
                <w:kern w:val="0"/>
                <w:lang w:bidi="ar"/>
                <w14:textFill>
                  <w14:solidFill>
                    <w14:schemeClr w14:val="tx1"/>
                  </w14:solidFill>
                </w14:textFill>
              </w:rPr>
              <w:t>205</w:t>
            </w:r>
            <w:r>
              <w:rPr>
                <w:color w:val="000000" w:themeColor="text1"/>
                <w:kern w:val="0"/>
                <w:lang w:bidi="ar"/>
                <w14:textFill>
                  <w14:solidFill>
                    <w14:schemeClr w14:val="tx1"/>
                  </w14:solidFill>
                </w14:textFill>
              </w:rPr>
              <w:t>mm</w:t>
            </w:r>
            <w:r>
              <w:rPr>
                <w:rFonts w:hint="eastAsia"/>
                <w:color w:val="000000" w:themeColor="text1"/>
                <w:kern w:val="0"/>
                <w:lang w:bidi="ar"/>
                <w14:textFill>
                  <w14:solidFill>
                    <w14:schemeClr w14:val="tx1"/>
                  </w14:solidFill>
                </w14:textFill>
              </w:rPr>
              <w:t>，8月最大降雨量197</w:t>
            </w:r>
            <w:r>
              <w:rPr>
                <w:color w:val="000000" w:themeColor="text1"/>
                <w:kern w:val="0"/>
                <w:lang w:bidi="ar"/>
                <w14:textFill>
                  <w14:solidFill>
                    <w14:schemeClr w14:val="tx1"/>
                  </w14:solidFill>
                </w14:textFill>
              </w:rPr>
              <w:t>mm</w:t>
            </w:r>
            <w:r>
              <w:rPr>
                <w:rFonts w:hint="eastAsia"/>
                <w:color w:val="000000" w:themeColor="text1"/>
                <w:kern w:val="0"/>
                <w:lang w:bidi="ar"/>
                <w14:textFill>
                  <w14:solidFill>
                    <w14:schemeClr w14:val="tx1"/>
                  </w14:solidFill>
                </w14:textFill>
              </w:rPr>
              <w:t>，7月蒸发量157.8mm，8月蒸发量153.9</w:t>
            </w:r>
            <w:r>
              <w:rPr>
                <w:color w:val="000000" w:themeColor="text1"/>
                <w:kern w:val="0"/>
                <w:lang w:bidi="ar"/>
                <w14:textFill>
                  <w14:solidFill>
                    <w14:schemeClr w14:val="tx1"/>
                  </w14:solidFill>
                </w14:textFill>
              </w:rPr>
              <w:t>mm</w:t>
            </w:r>
            <w:r>
              <w:rPr>
                <w:rFonts w:hint="eastAsia"/>
                <w:color w:val="000000" w:themeColor="text1"/>
                <w:kern w:val="0"/>
                <w:lang w:bidi="ar"/>
                <w14:textFill>
                  <w14:solidFill>
                    <w14:schemeClr w14:val="tx1"/>
                  </w14:solidFill>
                </w14:textFill>
              </w:rPr>
              <w:t>。</w:t>
            </w:r>
          </w:p>
          <w:p w14:paraId="38E73165">
            <w:pPr>
              <w:spacing w:line="240" w:lineRule="auto"/>
              <w:ind w:firstLine="0" w:firstLineChars="0"/>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表4-1  寻甸县2018-2022年降雨量数据  单位：mm</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76"/>
              <w:gridCol w:w="1418"/>
              <w:gridCol w:w="1404"/>
              <w:gridCol w:w="1400"/>
              <w:gridCol w:w="1508"/>
              <w:gridCol w:w="1413"/>
            </w:tblGrid>
            <w:tr w14:paraId="7581D9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03C92269">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月份</w:t>
                  </w:r>
                </w:p>
              </w:tc>
              <w:tc>
                <w:tcPr>
                  <w:tcW w:w="906" w:type="pct"/>
                  <w:vAlign w:val="center"/>
                </w:tcPr>
                <w:p w14:paraId="6846311F">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2018年</w:t>
                  </w:r>
                </w:p>
              </w:tc>
              <w:tc>
                <w:tcPr>
                  <w:tcW w:w="897" w:type="pct"/>
                  <w:vAlign w:val="center"/>
                </w:tcPr>
                <w:p w14:paraId="4B248B6E">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2019年</w:t>
                  </w:r>
                </w:p>
              </w:tc>
              <w:tc>
                <w:tcPr>
                  <w:tcW w:w="895" w:type="pct"/>
                  <w:vAlign w:val="center"/>
                </w:tcPr>
                <w:p w14:paraId="06C2FCA5">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2020年</w:t>
                  </w:r>
                </w:p>
              </w:tc>
              <w:tc>
                <w:tcPr>
                  <w:tcW w:w="964" w:type="pct"/>
                  <w:vAlign w:val="center"/>
                </w:tcPr>
                <w:p w14:paraId="0F74341A">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2021年</w:t>
                  </w:r>
                </w:p>
              </w:tc>
              <w:tc>
                <w:tcPr>
                  <w:tcW w:w="903" w:type="pct"/>
                  <w:vAlign w:val="center"/>
                </w:tcPr>
                <w:p w14:paraId="1358B99D">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ascii="Times New Roman"/>
                      <w:b/>
                      <w:bCs/>
                      <w:color w:val="000000" w:themeColor="text1"/>
                      <w:sz w:val="21"/>
                      <w14:textFill>
                        <w14:solidFill>
                          <w14:schemeClr w14:val="tx1"/>
                        </w14:solidFill>
                      </w14:textFill>
                    </w:rPr>
                    <w:t>2022年</w:t>
                  </w:r>
                </w:p>
              </w:tc>
            </w:tr>
            <w:tr w14:paraId="17E8E4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7C2B3F20">
                  <w:pPr>
                    <w:pStyle w:val="64"/>
                    <w:spacing w:beforeLines="0" w:afterLines="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7月</w:t>
                  </w:r>
                </w:p>
              </w:tc>
              <w:tc>
                <w:tcPr>
                  <w:tcW w:w="1423" w:type="dxa"/>
                  <w:vAlign w:val="center"/>
                </w:tcPr>
                <w:p w14:paraId="64B7B127">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153.5</w:t>
                  </w:r>
                </w:p>
              </w:tc>
              <w:tc>
                <w:tcPr>
                  <w:tcW w:w="1408" w:type="dxa"/>
                  <w:vAlign w:val="center"/>
                </w:tcPr>
                <w:p w14:paraId="7A79463E">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205</w:t>
                  </w:r>
                </w:p>
              </w:tc>
              <w:tc>
                <w:tcPr>
                  <w:tcW w:w="1405" w:type="dxa"/>
                  <w:vAlign w:val="center"/>
                </w:tcPr>
                <w:p w14:paraId="52335EE3">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66</w:t>
                  </w:r>
                </w:p>
              </w:tc>
              <w:tc>
                <w:tcPr>
                  <w:tcW w:w="1514" w:type="dxa"/>
                  <w:vAlign w:val="center"/>
                </w:tcPr>
                <w:p w14:paraId="3A19F917">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197</w:t>
                  </w:r>
                </w:p>
              </w:tc>
              <w:tc>
                <w:tcPr>
                  <w:tcW w:w="1418" w:type="dxa"/>
                  <w:vAlign w:val="center"/>
                </w:tcPr>
                <w:p w14:paraId="5F16145A">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107</w:t>
                  </w:r>
                </w:p>
              </w:tc>
            </w:tr>
            <w:tr w14:paraId="698DB3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2" w:type="pct"/>
                  <w:vAlign w:val="center"/>
                </w:tcPr>
                <w:p w14:paraId="368868D4">
                  <w:pPr>
                    <w:pStyle w:val="64"/>
                    <w:spacing w:beforeLines="0" w:afterLines="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8月</w:t>
                  </w:r>
                </w:p>
              </w:tc>
              <w:tc>
                <w:tcPr>
                  <w:tcW w:w="1423" w:type="dxa"/>
                  <w:vAlign w:val="center"/>
                </w:tcPr>
                <w:p w14:paraId="44B64095">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180.5</w:t>
                  </w:r>
                </w:p>
              </w:tc>
              <w:tc>
                <w:tcPr>
                  <w:tcW w:w="1408" w:type="dxa"/>
                  <w:vAlign w:val="center"/>
                </w:tcPr>
                <w:p w14:paraId="2CEFEC78">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165.5</w:t>
                  </w:r>
                </w:p>
              </w:tc>
              <w:tc>
                <w:tcPr>
                  <w:tcW w:w="1405" w:type="dxa"/>
                  <w:vAlign w:val="center"/>
                </w:tcPr>
                <w:p w14:paraId="55C926D6">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74.5</w:t>
                  </w:r>
                </w:p>
              </w:tc>
              <w:tc>
                <w:tcPr>
                  <w:tcW w:w="1514" w:type="dxa"/>
                  <w:vAlign w:val="center"/>
                </w:tcPr>
                <w:p w14:paraId="04814F06">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78.5</w:t>
                  </w:r>
                </w:p>
              </w:tc>
              <w:tc>
                <w:tcPr>
                  <w:tcW w:w="1418" w:type="dxa"/>
                  <w:vAlign w:val="center"/>
                </w:tcPr>
                <w:p w14:paraId="55C6192A">
                  <w:pPr>
                    <w:widowControl/>
                    <w:spacing w:line="240" w:lineRule="auto"/>
                    <w:ind w:firstLine="0" w:firstLineChars="0"/>
                    <w:jc w:val="center"/>
                    <w:textAlignment w:val="center"/>
                    <w:rPr>
                      <w:color w:val="000000" w:themeColor="text1"/>
                      <w:sz w:val="21"/>
                      <w:szCs w:val="21"/>
                      <w14:textFill>
                        <w14:solidFill>
                          <w14:schemeClr w14:val="tx1"/>
                        </w14:solidFill>
                      </w14:textFill>
                    </w:rPr>
                  </w:pPr>
                  <w:r>
                    <w:rPr>
                      <w:color w:val="000000" w:themeColor="text1"/>
                      <w:kern w:val="0"/>
                      <w:sz w:val="21"/>
                      <w:szCs w:val="21"/>
                      <w:lang w:bidi="ar"/>
                      <w14:textFill>
                        <w14:solidFill>
                          <w14:schemeClr w14:val="tx1"/>
                        </w14:solidFill>
                      </w14:textFill>
                    </w:rPr>
                    <w:t>197</w:t>
                  </w:r>
                </w:p>
              </w:tc>
            </w:tr>
          </w:tbl>
          <w:p w14:paraId="6A0AB635">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蒸发量按下式进行计算：</w:t>
            </w:r>
          </w:p>
          <w:p w14:paraId="600D7EEE">
            <w:pPr>
              <w:widowControl/>
              <w:ind w:firstLine="480"/>
              <w:jc w:val="center"/>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Q</w:t>
            </w:r>
            <w:r>
              <w:rPr>
                <w:rFonts w:hint="eastAsia"/>
                <w:color w:val="000000" w:themeColor="text1"/>
                <w:kern w:val="0"/>
                <w:vertAlign w:val="subscript"/>
                <w:lang w:bidi="ar"/>
                <w14:textFill>
                  <w14:solidFill>
                    <w14:schemeClr w14:val="tx1"/>
                  </w14:solidFill>
                </w14:textFill>
              </w:rPr>
              <w:t>y</w:t>
            </w:r>
            <w:r>
              <w:rPr>
                <w:rFonts w:hint="eastAsia"/>
                <w:color w:val="000000" w:themeColor="text1"/>
                <w:kern w:val="0"/>
                <w:lang w:bidi="ar"/>
                <w14:textFill>
                  <w14:solidFill>
                    <w14:schemeClr w14:val="tx1"/>
                  </w14:solidFill>
                </w14:textFill>
              </w:rPr>
              <w:t>＝F</w:t>
            </w:r>
            <w:r>
              <w:rPr>
                <w:rFonts w:hint="eastAsia"/>
                <w:color w:val="000000" w:themeColor="text1"/>
                <w:kern w:val="0"/>
                <w:vertAlign w:val="subscript"/>
                <w:lang w:bidi="ar"/>
                <w14:textFill>
                  <w14:solidFill>
                    <w14:schemeClr w14:val="tx1"/>
                  </w14:solidFill>
                </w14:textFill>
              </w:rPr>
              <w:t>y</w:t>
            </w:r>
            <w:r>
              <w:rPr>
                <w:rFonts w:hint="eastAsia"/>
                <w:color w:val="000000" w:themeColor="text1"/>
                <w:kern w:val="0"/>
                <w:lang w:bidi="ar"/>
                <w14:textFill>
                  <w14:solidFill>
                    <w14:schemeClr w14:val="tx1"/>
                  </w14:solidFill>
                </w14:textFill>
              </w:rPr>
              <w:t>×H</w:t>
            </w:r>
            <w:r>
              <w:rPr>
                <w:rFonts w:hint="eastAsia"/>
                <w:color w:val="000000" w:themeColor="text1"/>
                <w:kern w:val="0"/>
                <w:vertAlign w:val="subscript"/>
                <w:lang w:bidi="ar"/>
                <w14:textFill>
                  <w14:solidFill>
                    <w14:schemeClr w14:val="tx1"/>
                  </w14:solidFill>
                </w14:textFill>
              </w:rPr>
              <w:t>y</w:t>
            </w:r>
            <w:r>
              <w:rPr>
                <w:rFonts w:hint="eastAsia"/>
                <w:color w:val="000000" w:themeColor="text1"/>
                <w:kern w:val="0"/>
                <w:lang w:bidi="ar"/>
                <w14:textFill>
                  <w14:solidFill>
                    <w14:schemeClr w14:val="tx1"/>
                  </w14:solidFill>
                </w14:textFill>
              </w:rPr>
              <w:t>×y×1000</w:t>
            </w:r>
          </w:p>
          <w:p w14:paraId="1F8E2B92">
            <w:pPr>
              <w:widowControl/>
              <w:ind w:firstLine="480"/>
              <w:jc w:val="left"/>
              <w:rPr>
                <w:rFonts w:hint="default" w:ascii="Times New Roman" w:hAnsi="Times New Roman" w:cs="Times New Roman"/>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式中：Q</w:t>
            </w:r>
            <w:r>
              <w:rPr>
                <w:rFonts w:hint="eastAsia"/>
                <w:color w:val="000000" w:themeColor="text1"/>
                <w:kern w:val="0"/>
                <w:vertAlign w:val="subscript"/>
                <w:lang w:bidi="ar"/>
                <w14:textFill>
                  <w14:solidFill>
                    <w14:schemeClr w14:val="tx1"/>
                  </w14:solidFill>
                </w14:textFill>
              </w:rPr>
              <w:t>y</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蒸发量，</w:t>
            </w:r>
            <w:r>
              <w:rPr>
                <w:rFonts w:hint="default" w:ascii="Times New Roman" w:hAnsi="Times New Roman" w:cs="Times New Roman"/>
                <w:color w:val="000000" w:themeColor="text1"/>
                <w:kern w:val="0"/>
                <w:lang w:bidi="ar"/>
                <w14:textFill>
                  <w14:solidFill>
                    <w14:schemeClr w14:val="tx1"/>
                  </w14:solidFill>
                </w14:textFill>
              </w:rPr>
              <w:t>m</w:t>
            </w:r>
            <w:r>
              <w:rPr>
                <w:rFonts w:hint="eastAsia" w:ascii="Times New Roman" w:hAnsi="Times New Roman" w:cs="Times New Roman"/>
                <w:color w:val="000000" w:themeColor="text1"/>
                <w:kern w:val="0"/>
                <w:vertAlign w:val="superscript"/>
                <w:lang w:val="en-US" w:eastAsia="zh-CN" w:bidi="ar"/>
                <w14:textFill>
                  <w14:solidFill>
                    <w14:schemeClr w14:val="tx1"/>
                  </w14:solidFill>
                </w14:textFill>
              </w:rPr>
              <w:t>3</w:t>
            </w:r>
            <w:r>
              <w:rPr>
                <w:rFonts w:hint="default" w:ascii="Times New Roman" w:hAnsi="Times New Roman" w:cs="Times New Roman"/>
                <w:color w:val="000000" w:themeColor="text1"/>
                <w:kern w:val="0"/>
                <w:lang w:bidi="ar"/>
                <w14:textFill>
                  <w14:solidFill>
                    <w14:schemeClr w14:val="tx1"/>
                  </w14:solidFill>
                </w14:textFill>
              </w:rPr>
              <w:t>；</w:t>
            </w:r>
          </w:p>
          <w:p w14:paraId="3D57ED28">
            <w:pPr>
              <w:widowControl/>
              <w:ind w:firstLine="1200" w:firstLineChars="500"/>
              <w:jc w:val="left"/>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cs="Times New Roman"/>
                <w:color w:val="000000" w:themeColor="text1"/>
                <w:kern w:val="0"/>
                <w:lang w:bidi="ar"/>
                <w14:textFill>
                  <w14:solidFill>
                    <w14:schemeClr w14:val="tx1"/>
                  </w14:solidFill>
                </w14:textFill>
              </w:rPr>
              <w:t>F</w:t>
            </w:r>
            <w:r>
              <w:rPr>
                <w:rFonts w:hint="default" w:ascii="Times New Roman" w:hAnsi="Times New Roman" w:cs="Times New Roman"/>
                <w:color w:val="000000" w:themeColor="text1"/>
                <w:kern w:val="0"/>
                <w:vertAlign w:val="subscript"/>
                <w:lang w:bidi="ar"/>
                <w14:textFill>
                  <w14:solidFill>
                    <w14:schemeClr w14:val="tx1"/>
                  </w14:solidFill>
                </w14:textFill>
              </w:rPr>
              <w:t>y</w:t>
            </w:r>
            <w:r>
              <w:rPr>
                <w:rFonts w:hint="default" w:ascii="Times New Roman" w:hAnsi="Times New Roman" w:cs="Times New Roman"/>
                <w:color w:val="000000" w:themeColor="text1"/>
                <w:kern w:val="0"/>
                <w:lang w:bidi="ar"/>
                <w14:textFill>
                  <w14:solidFill>
                    <w14:schemeClr w14:val="tx1"/>
                  </w14:solidFill>
                </w14:textFill>
              </w:rPr>
              <w:t>—蒸发面积，km</w:t>
            </w:r>
            <w:r>
              <w:rPr>
                <w:rFonts w:hint="default" w:ascii="Times New Roman" w:hAnsi="Times New Roman" w:cs="Times New Roman"/>
                <w:color w:val="000000" w:themeColor="text1"/>
                <w:kern w:val="0"/>
                <w:vertAlign w:val="superscript"/>
                <w:lang w:bidi="ar"/>
                <w14:textFill>
                  <w14:solidFill>
                    <w14:schemeClr w14:val="tx1"/>
                  </w14:solidFill>
                </w14:textFill>
              </w:rPr>
              <w:t>2</w:t>
            </w:r>
            <w:r>
              <w:rPr>
                <w:rFonts w:hint="default" w:ascii="Times New Roman" w:hAnsi="Times New Roman" w:cs="Times New Roman"/>
                <w:color w:val="000000" w:themeColor="text1"/>
                <w:kern w:val="0"/>
                <w:lang w:bidi="ar"/>
                <w14:textFill>
                  <w14:solidFill>
                    <w14:schemeClr w14:val="tx1"/>
                  </w14:solidFill>
                </w14:textFill>
              </w:rPr>
              <w:t>；</w:t>
            </w:r>
          </w:p>
          <w:p w14:paraId="72254770">
            <w:pPr>
              <w:widowControl/>
              <w:ind w:firstLine="1200" w:firstLineChars="50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H</w:t>
            </w:r>
            <w:r>
              <w:rPr>
                <w:rFonts w:hint="eastAsia"/>
                <w:color w:val="000000" w:themeColor="text1"/>
                <w:kern w:val="0"/>
                <w:vertAlign w:val="subscript"/>
                <w:lang w:bidi="ar"/>
                <w14:textFill>
                  <w14:solidFill>
                    <w14:schemeClr w14:val="tx1"/>
                  </w14:solidFill>
                </w14:textFill>
              </w:rPr>
              <w:t>y</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蒸发量，</w:t>
            </w:r>
            <w:r>
              <w:rPr>
                <w:color w:val="000000" w:themeColor="text1"/>
                <w:kern w:val="0"/>
                <w:lang w:bidi="ar"/>
                <w14:textFill>
                  <w14:solidFill>
                    <w14:schemeClr w14:val="tx1"/>
                  </w14:solidFill>
                </w14:textFill>
              </w:rPr>
              <w:t>mm</w:t>
            </w:r>
            <w:r>
              <w:rPr>
                <w:rFonts w:hint="eastAsia"/>
                <w:color w:val="000000" w:themeColor="text1"/>
                <w:kern w:val="0"/>
                <w:lang w:bidi="ar"/>
                <w14:textFill>
                  <w14:solidFill>
                    <w14:schemeClr w14:val="tx1"/>
                  </w14:solidFill>
                </w14:textFill>
              </w:rPr>
              <w:t>；</w:t>
            </w:r>
          </w:p>
          <w:p w14:paraId="694B0180">
            <w:pPr>
              <w:widowControl/>
              <w:ind w:firstLine="1200" w:firstLineChars="50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y</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陆地蒸发系数，0.85；</w:t>
            </w:r>
          </w:p>
          <w:p w14:paraId="23B7EAB1">
            <w:pPr>
              <w:widowControl/>
              <w:ind w:firstLine="480"/>
              <w:jc w:val="left"/>
              <w:rPr>
                <w:color w:val="000000" w:themeColor="text1"/>
                <w:kern w:val="0"/>
                <w:highlight w:val="none"/>
                <w:lang w:bidi="ar"/>
                <w14:textFill>
                  <w14:solidFill>
                    <w14:schemeClr w14:val="tx1"/>
                  </w14:solidFill>
                </w14:textFill>
              </w:rPr>
            </w:pPr>
            <w:r>
              <w:rPr>
                <w:rFonts w:hint="eastAsia"/>
                <w:color w:val="000000" w:themeColor="text1"/>
                <w:kern w:val="0"/>
                <w:highlight w:val="none"/>
                <w:lang w:bidi="ar"/>
                <w14:textFill>
                  <w14:solidFill>
                    <w14:schemeClr w14:val="tx1"/>
                  </w14:solidFill>
                </w14:textFill>
              </w:rPr>
              <w:t>根据计算可知，</w:t>
            </w:r>
            <w:r>
              <w:rPr>
                <w:rFonts w:hint="default" w:ascii="Times New Roman" w:hAnsi="Times New Roman" w:cs="Times New Roman"/>
                <w:color w:val="000000" w:themeColor="text1"/>
                <w:sz w:val="24"/>
                <w:highlight w:val="none"/>
                <w14:textFill>
                  <w14:solidFill>
                    <w14:schemeClr w14:val="tx1"/>
                  </w14:solidFill>
                </w14:textFill>
              </w:rPr>
              <w:t>大旋塘南部采石场露天采场回填区</w:t>
            </w:r>
            <w:r>
              <w:rPr>
                <w:rFonts w:hint="eastAsia"/>
                <w:color w:val="000000" w:themeColor="text1"/>
                <w:kern w:val="0"/>
                <w:highlight w:val="none"/>
                <w:lang w:bidi="ar"/>
                <w14:textFill>
                  <w14:solidFill>
                    <w14:schemeClr w14:val="tx1"/>
                  </w14:solidFill>
                </w14:textFill>
              </w:rPr>
              <w:t>7、8月份降雨量分别为</w:t>
            </w:r>
            <w:r>
              <w:rPr>
                <w:rFonts w:hint="eastAsia"/>
                <w:color w:val="000000" w:themeColor="text1"/>
                <w:kern w:val="0"/>
                <w:highlight w:val="none"/>
                <w:lang w:val="en-US" w:eastAsia="zh-CN" w:bidi="ar"/>
                <w14:textFill>
                  <w14:solidFill>
                    <w14:schemeClr w14:val="tx1"/>
                  </w14:solidFill>
                </w14:textFill>
              </w:rPr>
              <w:t>12593.15</w:t>
            </w:r>
            <w:r>
              <w:rPr>
                <w:rFonts w:hint="eastAsia"/>
                <w:color w:val="000000" w:themeColor="text1"/>
                <w:kern w:val="0"/>
                <w:highlight w:val="none"/>
                <w:lang w:bidi="ar"/>
                <w14:textFill>
                  <w14:solidFill>
                    <w14:schemeClr w14:val="tx1"/>
                  </w14:solidFill>
                </w14:textFill>
              </w:rPr>
              <w:t>m</w:t>
            </w:r>
            <w:r>
              <w:rPr>
                <w:rFonts w:hint="eastAsia"/>
                <w:color w:val="000000" w:themeColor="text1"/>
                <w:kern w:val="0"/>
                <w:highlight w:val="none"/>
                <w:vertAlign w:val="superscript"/>
                <w:lang w:bidi="ar"/>
                <w14:textFill>
                  <w14:solidFill>
                    <w14:schemeClr w14:val="tx1"/>
                  </w14:solidFill>
                </w14:textFill>
              </w:rPr>
              <w:t>3</w:t>
            </w:r>
            <w:r>
              <w:rPr>
                <w:rFonts w:hint="eastAsia"/>
                <w:color w:val="000000" w:themeColor="text1"/>
                <w:kern w:val="0"/>
                <w:highlight w:val="none"/>
                <w:lang w:bidi="ar"/>
                <w14:textFill>
                  <w14:solidFill>
                    <w14:schemeClr w14:val="tx1"/>
                  </w14:solidFill>
                </w14:textFill>
              </w:rPr>
              <w:t>、</w:t>
            </w:r>
            <w:r>
              <w:rPr>
                <w:rFonts w:hint="eastAsia"/>
                <w:color w:val="000000" w:themeColor="text1"/>
                <w:kern w:val="0"/>
                <w:highlight w:val="none"/>
                <w:lang w:val="en-US" w:eastAsia="zh-CN" w:bidi="ar"/>
                <w14:textFill>
                  <w14:solidFill>
                    <w14:schemeClr w14:val="tx1"/>
                  </w14:solidFill>
                </w14:textFill>
              </w:rPr>
              <w:t>12101.71</w:t>
            </w:r>
            <w:r>
              <w:rPr>
                <w:rFonts w:hint="eastAsia"/>
                <w:color w:val="000000" w:themeColor="text1"/>
                <w:kern w:val="0"/>
                <w:highlight w:val="none"/>
                <w:lang w:bidi="ar"/>
                <w14:textFill>
                  <w14:solidFill>
                    <w14:schemeClr w14:val="tx1"/>
                  </w14:solidFill>
                </w14:textFill>
              </w:rPr>
              <w:t>m</w:t>
            </w:r>
            <w:r>
              <w:rPr>
                <w:rFonts w:hint="eastAsia"/>
                <w:color w:val="000000" w:themeColor="text1"/>
                <w:kern w:val="0"/>
                <w:highlight w:val="none"/>
                <w:vertAlign w:val="superscript"/>
                <w:lang w:bidi="ar"/>
                <w14:textFill>
                  <w14:solidFill>
                    <w14:schemeClr w14:val="tx1"/>
                  </w14:solidFill>
                </w14:textFill>
              </w:rPr>
              <w:t>3</w:t>
            </w:r>
            <w:r>
              <w:rPr>
                <w:rFonts w:hint="eastAsia"/>
                <w:color w:val="000000" w:themeColor="text1"/>
                <w:kern w:val="0"/>
                <w:highlight w:val="none"/>
                <w:lang w:bidi="ar"/>
                <w14:textFill>
                  <w14:solidFill>
                    <w14:schemeClr w14:val="tx1"/>
                  </w14:solidFill>
                </w14:textFill>
              </w:rPr>
              <w:t>，减去降雨产生的地表径流量7月份为</w:t>
            </w:r>
            <w:r>
              <w:rPr>
                <w:rFonts w:hint="eastAsia"/>
                <w:color w:val="000000" w:themeColor="text1"/>
                <w:kern w:val="0"/>
                <w:highlight w:val="none"/>
                <w:lang w:val="en-US" w:eastAsia="zh-CN" w:bidi="ar"/>
                <w14:textFill>
                  <w14:solidFill>
                    <w14:schemeClr w14:val="tx1"/>
                  </w14:solidFill>
                </w14:textFill>
              </w:rPr>
              <w:t>1888.9725</w:t>
            </w:r>
            <w:r>
              <w:rPr>
                <w:rFonts w:hint="eastAsia"/>
                <w:color w:val="000000" w:themeColor="text1"/>
                <w:kern w:val="0"/>
                <w:highlight w:val="none"/>
                <w:lang w:bidi="ar"/>
                <w14:textFill>
                  <w14:solidFill>
                    <w14:schemeClr w14:val="tx1"/>
                  </w14:solidFill>
                </w14:textFill>
              </w:rPr>
              <w:t>m</w:t>
            </w:r>
            <w:r>
              <w:rPr>
                <w:rFonts w:hint="eastAsia"/>
                <w:color w:val="000000" w:themeColor="text1"/>
                <w:kern w:val="0"/>
                <w:highlight w:val="none"/>
                <w:vertAlign w:val="superscript"/>
                <w:lang w:bidi="ar"/>
                <w14:textFill>
                  <w14:solidFill>
                    <w14:schemeClr w14:val="tx1"/>
                  </w14:solidFill>
                </w14:textFill>
              </w:rPr>
              <w:t>3</w:t>
            </w:r>
            <w:r>
              <w:rPr>
                <w:rFonts w:hint="eastAsia"/>
                <w:color w:val="000000" w:themeColor="text1"/>
                <w:kern w:val="0"/>
                <w:highlight w:val="none"/>
                <w:lang w:bidi="ar"/>
                <w14:textFill>
                  <w14:solidFill>
                    <w14:schemeClr w14:val="tx1"/>
                  </w14:solidFill>
                </w14:textFill>
              </w:rPr>
              <w:t>、8月份为</w:t>
            </w:r>
            <w:r>
              <w:rPr>
                <w:rFonts w:hint="eastAsia"/>
                <w:color w:val="000000" w:themeColor="text1"/>
                <w:kern w:val="0"/>
                <w:highlight w:val="none"/>
                <w:lang w:val="en-US" w:eastAsia="zh-CN" w:bidi="ar"/>
                <w14:textFill>
                  <w14:solidFill>
                    <w14:schemeClr w14:val="tx1"/>
                  </w14:solidFill>
                </w14:textFill>
              </w:rPr>
              <w:t>1815.2565</w:t>
            </w:r>
            <w:r>
              <w:rPr>
                <w:rFonts w:hint="eastAsia"/>
                <w:color w:val="000000" w:themeColor="text1"/>
                <w:kern w:val="0"/>
                <w:highlight w:val="none"/>
                <w:lang w:bidi="ar"/>
                <w14:textFill>
                  <w14:solidFill>
                    <w14:schemeClr w14:val="tx1"/>
                  </w14:solidFill>
                </w14:textFill>
              </w:rPr>
              <w:t>m</w:t>
            </w:r>
            <w:r>
              <w:rPr>
                <w:rFonts w:hint="eastAsia"/>
                <w:color w:val="000000" w:themeColor="text1"/>
                <w:kern w:val="0"/>
                <w:highlight w:val="none"/>
                <w:vertAlign w:val="superscript"/>
                <w:lang w:bidi="ar"/>
                <w14:textFill>
                  <w14:solidFill>
                    <w14:schemeClr w14:val="tx1"/>
                  </w14:solidFill>
                </w14:textFill>
              </w:rPr>
              <w:t>3</w:t>
            </w:r>
            <w:r>
              <w:rPr>
                <w:rFonts w:hint="eastAsia"/>
                <w:color w:val="000000" w:themeColor="text1"/>
                <w:kern w:val="0"/>
                <w:highlight w:val="none"/>
                <w:lang w:bidi="ar"/>
                <w14:textFill>
                  <w14:solidFill>
                    <w14:schemeClr w14:val="tx1"/>
                  </w14:solidFill>
                </w14:textFill>
              </w:rPr>
              <w:t>，渗到回填区水量的蒸发量为7月份</w:t>
            </w:r>
            <w:r>
              <w:rPr>
                <w:rFonts w:hint="eastAsia"/>
                <w:color w:val="000000" w:themeColor="text1"/>
                <w:kern w:val="0"/>
                <w:highlight w:val="none"/>
                <w:lang w:val="en-US" w:eastAsia="zh-CN" w:bidi="ar"/>
                <w14:textFill>
                  <w14:solidFill>
                    <w14:schemeClr w14:val="tx1"/>
                  </w14:solidFill>
                </w14:textFill>
              </w:rPr>
              <w:t>8239.6059</w:t>
            </w:r>
            <w:r>
              <w:rPr>
                <w:rFonts w:hint="eastAsia"/>
                <w:color w:val="000000" w:themeColor="text1"/>
                <w:kern w:val="0"/>
                <w:highlight w:val="none"/>
                <w:lang w:bidi="ar"/>
                <w14:textFill>
                  <w14:solidFill>
                    <w14:schemeClr w14:val="tx1"/>
                  </w14:solidFill>
                </w14:textFill>
              </w:rPr>
              <w:t>m</w:t>
            </w:r>
            <w:r>
              <w:rPr>
                <w:rFonts w:hint="eastAsia"/>
                <w:color w:val="000000" w:themeColor="text1"/>
                <w:kern w:val="0"/>
                <w:highlight w:val="none"/>
                <w:vertAlign w:val="superscript"/>
                <w:lang w:bidi="ar"/>
                <w14:textFill>
                  <w14:solidFill>
                    <w14:schemeClr w14:val="tx1"/>
                  </w14:solidFill>
                </w14:textFill>
              </w:rPr>
              <w:t>3</w:t>
            </w:r>
            <w:r>
              <w:rPr>
                <w:rFonts w:hint="eastAsia"/>
                <w:color w:val="000000" w:themeColor="text1"/>
                <w:kern w:val="0"/>
                <w:highlight w:val="none"/>
                <w:lang w:bidi="ar"/>
                <w14:textFill>
                  <w14:solidFill>
                    <w14:schemeClr w14:val="tx1"/>
                  </w14:solidFill>
                </w14:textFill>
              </w:rPr>
              <w:t>，8月份为</w:t>
            </w:r>
            <w:r>
              <w:rPr>
                <w:rFonts w:hint="eastAsia"/>
                <w:color w:val="000000" w:themeColor="text1"/>
                <w:kern w:val="0"/>
                <w:highlight w:val="none"/>
                <w:lang w:val="en-US" w:eastAsia="zh-CN" w:bidi="ar"/>
                <w14:textFill>
                  <w14:solidFill>
                    <w14:schemeClr w14:val="tx1"/>
                  </w14:solidFill>
                </w14:textFill>
              </w:rPr>
              <w:t>8035.97</w:t>
            </w:r>
            <w:r>
              <w:rPr>
                <w:rFonts w:hint="eastAsia"/>
                <w:color w:val="000000" w:themeColor="text1"/>
                <w:kern w:val="0"/>
                <w:highlight w:val="none"/>
                <w:lang w:bidi="ar"/>
                <w14:textFill>
                  <w14:solidFill>
                    <w14:schemeClr w14:val="tx1"/>
                  </w14:solidFill>
                </w14:textFill>
              </w:rPr>
              <w:t>m</w:t>
            </w:r>
            <w:r>
              <w:rPr>
                <w:rFonts w:hint="eastAsia"/>
                <w:color w:val="000000" w:themeColor="text1"/>
                <w:kern w:val="0"/>
                <w:highlight w:val="none"/>
                <w:vertAlign w:val="superscript"/>
                <w:lang w:bidi="ar"/>
                <w14:textFill>
                  <w14:solidFill>
                    <w14:schemeClr w14:val="tx1"/>
                  </w14:solidFill>
                </w14:textFill>
              </w:rPr>
              <w:t>3</w:t>
            </w:r>
            <w:r>
              <w:rPr>
                <w:rFonts w:hint="eastAsia"/>
                <w:color w:val="000000" w:themeColor="text1"/>
                <w:kern w:val="0"/>
                <w:highlight w:val="none"/>
                <w:lang w:eastAsia="zh-CN" w:bidi="ar"/>
                <w14:textFill>
                  <w14:solidFill>
                    <w14:schemeClr w14:val="tx1"/>
                  </w14:solidFill>
                </w14:textFill>
              </w:rPr>
              <w:t>；</w:t>
            </w:r>
            <w:r>
              <w:rPr>
                <w:rFonts w:hint="default" w:ascii="Times New Roman" w:hAnsi="Times New Roman" w:cs="Times New Roman"/>
                <w:color w:val="000000" w:themeColor="text1"/>
                <w:sz w:val="24"/>
                <w:highlight w:val="none"/>
                <w14:textFill>
                  <w14:solidFill>
                    <w14:schemeClr w14:val="tx1"/>
                  </w14:solidFill>
                </w14:textFill>
              </w:rPr>
              <w:t>大旋塘</w:t>
            </w:r>
            <w:r>
              <w:rPr>
                <w:rFonts w:hint="eastAsia" w:ascii="Times New Roman" w:hAnsi="Times New Roman" w:cs="Times New Roman"/>
                <w:color w:val="000000" w:themeColor="text1"/>
                <w:sz w:val="24"/>
                <w:highlight w:val="none"/>
                <w:lang w:val="en-US" w:eastAsia="zh-CN"/>
                <w14:textFill>
                  <w14:solidFill>
                    <w14:schemeClr w14:val="tx1"/>
                  </w14:solidFill>
                </w14:textFill>
              </w:rPr>
              <w:t>北</w:t>
            </w:r>
            <w:r>
              <w:rPr>
                <w:rFonts w:hint="default" w:ascii="Times New Roman" w:hAnsi="Times New Roman" w:cs="Times New Roman"/>
                <w:color w:val="000000" w:themeColor="text1"/>
                <w:sz w:val="24"/>
                <w:highlight w:val="none"/>
                <w14:textFill>
                  <w14:solidFill>
                    <w14:schemeClr w14:val="tx1"/>
                  </w14:solidFill>
                </w14:textFill>
              </w:rPr>
              <w:t>部采石场露天采场回填区</w:t>
            </w:r>
            <w:r>
              <w:rPr>
                <w:rFonts w:hint="eastAsia"/>
                <w:color w:val="000000" w:themeColor="text1"/>
                <w:kern w:val="0"/>
                <w:highlight w:val="none"/>
                <w:lang w:bidi="ar"/>
                <w14:textFill>
                  <w14:solidFill>
                    <w14:schemeClr w14:val="tx1"/>
                  </w14:solidFill>
                </w14:textFill>
              </w:rPr>
              <w:t>7、8月份降雨量分别为</w:t>
            </w:r>
            <w:r>
              <w:rPr>
                <w:rFonts w:hint="eastAsia"/>
                <w:color w:val="000000" w:themeColor="text1"/>
                <w:kern w:val="0"/>
                <w:highlight w:val="none"/>
                <w:lang w:val="en-US" w:eastAsia="zh-CN" w:bidi="ar"/>
                <w14:textFill>
                  <w14:solidFill>
                    <w14:schemeClr w14:val="tx1"/>
                  </w14:solidFill>
                </w14:textFill>
              </w:rPr>
              <w:t>13448</w:t>
            </w:r>
            <w:r>
              <w:rPr>
                <w:rFonts w:hint="eastAsia"/>
                <w:color w:val="000000" w:themeColor="text1"/>
                <w:kern w:val="0"/>
                <w:highlight w:val="none"/>
                <w:lang w:bidi="ar"/>
                <w14:textFill>
                  <w14:solidFill>
                    <w14:schemeClr w14:val="tx1"/>
                  </w14:solidFill>
                </w14:textFill>
              </w:rPr>
              <w:t>m</w:t>
            </w:r>
            <w:r>
              <w:rPr>
                <w:rFonts w:hint="eastAsia"/>
                <w:color w:val="000000" w:themeColor="text1"/>
                <w:kern w:val="0"/>
                <w:highlight w:val="none"/>
                <w:vertAlign w:val="superscript"/>
                <w:lang w:bidi="ar"/>
                <w14:textFill>
                  <w14:solidFill>
                    <w14:schemeClr w14:val="tx1"/>
                  </w14:solidFill>
                </w14:textFill>
              </w:rPr>
              <w:t>3</w:t>
            </w:r>
            <w:r>
              <w:rPr>
                <w:rFonts w:hint="eastAsia"/>
                <w:color w:val="000000" w:themeColor="text1"/>
                <w:kern w:val="0"/>
                <w:highlight w:val="none"/>
                <w:lang w:bidi="ar"/>
                <w14:textFill>
                  <w14:solidFill>
                    <w14:schemeClr w14:val="tx1"/>
                  </w14:solidFill>
                </w14:textFill>
              </w:rPr>
              <w:t>、</w:t>
            </w:r>
            <w:r>
              <w:rPr>
                <w:rFonts w:hint="eastAsia"/>
                <w:color w:val="000000" w:themeColor="text1"/>
                <w:kern w:val="0"/>
                <w:highlight w:val="none"/>
                <w:lang w:val="en-US" w:eastAsia="zh-CN" w:bidi="ar"/>
                <w14:textFill>
                  <w14:solidFill>
                    <w14:schemeClr w14:val="tx1"/>
                  </w14:solidFill>
                </w14:textFill>
              </w:rPr>
              <w:t>12923.2</w:t>
            </w:r>
            <w:r>
              <w:rPr>
                <w:rFonts w:hint="eastAsia"/>
                <w:color w:val="000000" w:themeColor="text1"/>
                <w:kern w:val="0"/>
                <w:highlight w:val="none"/>
                <w:lang w:bidi="ar"/>
                <w14:textFill>
                  <w14:solidFill>
                    <w14:schemeClr w14:val="tx1"/>
                  </w14:solidFill>
                </w14:textFill>
              </w:rPr>
              <w:t>m</w:t>
            </w:r>
            <w:r>
              <w:rPr>
                <w:rFonts w:hint="eastAsia"/>
                <w:color w:val="000000" w:themeColor="text1"/>
                <w:kern w:val="0"/>
                <w:highlight w:val="none"/>
                <w:vertAlign w:val="superscript"/>
                <w:lang w:bidi="ar"/>
                <w14:textFill>
                  <w14:solidFill>
                    <w14:schemeClr w14:val="tx1"/>
                  </w14:solidFill>
                </w14:textFill>
              </w:rPr>
              <w:t>3</w:t>
            </w:r>
            <w:r>
              <w:rPr>
                <w:rFonts w:hint="eastAsia"/>
                <w:color w:val="000000" w:themeColor="text1"/>
                <w:kern w:val="0"/>
                <w:highlight w:val="none"/>
                <w:lang w:bidi="ar"/>
                <w14:textFill>
                  <w14:solidFill>
                    <w14:schemeClr w14:val="tx1"/>
                  </w14:solidFill>
                </w14:textFill>
              </w:rPr>
              <w:t>，减去降雨产生的地表径流量7月份为</w:t>
            </w:r>
            <w:r>
              <w:rPr>
                <w:rFonts w:hint="eastAsia"/>
                <w:color w:val="000000" w:themeColor="text1"/>
                <w:kern w:val="0"/>
                <w:highlight w:val="none"/>
                <w:lang w:val="en-US" w:eastAsia="zh-CN" w:bidi="ar"/>
                <w14:textFill>
                  <w14:solidFill>
                    <w14:schemeClr w14:val="tx1"/>
                  </w14:solidFill>
                </w14:textFill>
              </w:rPr>
              <w:t>2017.2</w:t>
            </w:r>
            <w:r>
              <w:rPr>
                <w:rFonts w:hint="eastAsia"/>
                <w:color w:val="000000" w:themeColor="text1"/>
                <w:kern w:val="0"/>
                <w:highlight w:val="none"/>
                <w:lang w:bidi="ar"/>
                <w14:textFill>
                  <w14:solidFill>
                    <w14:schemeClr w14:val="tx1"/>
                  </w14:solidFill>
                </w14:textFill>
              </w:rPr>
              <w:t>m</w:t>
            </w:r>
            <w:r>
              <w:rPr>
                <w:rFonts w:hint="eastAsia"/>
                <w:color w:val="000000" w:themeColor="text1"/>
                <w:kern w:val="0"/>
                <w:highlight w:val="none"/>
                <w:vertAlign w:val="superscript"/>
                <w:lang w:bidi="ar"/>
                <w14:textFill>
                  <w14:solidFill>
                    <w14:schemeClr w14:val="tx1"/>
                  </w14:solidFill>
                </w14:textFill>
              </w:rPr>
              <w:t>3</w:t>
            </w:r>
            <w:r>
              <w:rPr>
                <w:rFonts w:hint="eastAsia"/>
                <w:color w:val="000000" w:themeColor="text1"/>
                <w:kern w:val="0"/>
                <w:highlight w:val="none"/>
                <w:lang w:bidi="ar"/>
                <w14:textFill>
                  <w14:solidFill>
                    <w14:schemeClr w14:val="tx1"/>
                  </w14:solidFill>
                </w14:textFill>
              </w:rPr>
              <w:t>、8月份为</w:t>
            </w:r>
            <w:r>
              <w:rPr>
                <w:rFonts w:hint="eastAsia"/>
                <w:color w:val="000000" w:themeColor="text1"/>
                <w:kern w:val="0"/>
                <w:highlight w:val="none"/>
                <w:lang w:val="en-US" w:eastAsia="zh-CN" w:bidi="ar"/>
                <w14:textFill>
                  <w14:solidFill>
                    <w14:schemeClr w14:val="tx1"/>
                  </w14:solidFill>
                </w14:textFill>
              </w:rPr>
              <w:t>1938.48</w:t>
            </w:r>
            <w:r>
              <w:rPr>
                <w:rFonts w:hint="eastAsia"/>
                <w:color w:val="000000" w:themeColor="text1"/>
                <w:kern w:val="0"/>
                <w:highlight w:val="none"/>
                <w:lang w:bidi="ar"/>
                <w14:textFill>
                  <w14:solidFill>
                    <w14:schemeClr w14:val="tx1"/>
                  </w14:solidFill>
                </w14:textFill>
              </w:rPr>
              <w:t>m</w:t>
            </w:r>
            <w:r>
              <w:rPr>
                <w:rFonts w:hint="eastAsia"/>
                <w:color w:val="000000" w:themeColor="text1"/>
                <w:kern w:val="0"/>
                <w:highlight w:val="none"/>
                <w:vertAlign w:val="superscript"/>
                <w:lang w:bidi="ar"/>
                <w14:textFill>
                  <w14:solidFill>
                    <w14:schemeClr w14:val="tx1"/>
                  </w14:solidFill>
                </w14:textFill>
              </w:rPr>
              <w:t>3</w:t>
            </w:r>
            <w:r>
              <w:rPr>
                <w:rFonts w:hint="eastAsia"/>
                <w:color w:val="000000" w:themeColor="text1"/>
                <w:kern w:val="0"/>
                <w:highlight w:val="none"/>
                <w:lang w:bidi="ar"/>
                <w14:textFill>
                  <w14:solidFill>
                    <w14:schemeClr w14:val="tx1"/>
                  </w14:solidFill>
                </w14:textFill>
              </w:rPr>
              <w:t>，渗到回填区水量的蒸发量为7月份</w:t>
            </w:r>
            <w:r>
              <w:rPr>
                <w:rFonts w:hint="eastAsia"/>
                <w:color w:val="000000" w:themeColor="text1"/>
                <w:kern w:val="0"/>
                <w:highlight w:val="none"/>
                <w:lang w:val="en-US" w:eastAsia="zh-CN" w:bidi="ar"/>
                <w14:textFill>
                  <w14:solidFill>
                    <w14:schemeClr w14:val="tx1"/>
                  </w14:solidFill>
                </w14:textFill>
              </w:rPr>
              <w:t>8798.928</w:t>
            </w:r>
            <w:r>
              <w:rPr>
                <w:rFonts w:hint="eastAsia"/>
                <w:color w:val="000000" w:themeColor="text1"/>
                <w:kern w:val="0"/>
                <w:highlight w:val="none"/>
                <w:lang w:bidi="ar"/>
                <w14:textFill>
                  <w14:solidFill>
                    <w14:schemeClr w14:val="tx1"/>
                  </w14:solidFill>
                </w14:textFill>
              </w:rPr>
              <w:t>m</w:t>
            </w:r>
            <w:r>
              <w:rPr>
                <w:rFonts w:hint="eastAsia"/>
                <w:color w:val="000000" w:themeColor="text1"/>
                <w:kern w:val="0"/>
                <w:highlight w:val="none"/>
                <w:vertAlign w:val="superscript"/>
                <w:lang w:bidi="ar"/>
                <w14:textFill>
                  <w14:solidFill>
                    <w14:schemeClr w14:val="tx1"/>
                  </w14:solidFill>
                </w14:textFill>
              </w:rPr>
              <w:t>3</w:t>
            </w:r>
            <w:r>
              <w:rPr>
                <w:rFonts w:hint="eastAsia"/>
                <w:color w:val="000000" w:themeColor="text1"/>
                <w:kern w:val="0"/>
                <w:highlight w:val="none"/>
                <w:lang w:bidi="ar"/>
                <w14:textFill>
                  <w14:solidFill>
                    <w14:schemeClr w14:val="tx1"/>
                  </w14:solidFill>
                </w14:textFill>
              </w:rPr>
              <w:t>，8月份为</w:t>
            </w:r>
            <w:r>
              <w:rPr>
                <w:rFonts w:hint="eastAsia"/>
                <w:color w:val="000000" w:themeColor="text1"/>
                <w:kern w:val="0"/>
                <w:highlight w:val="none"/>
                <w:lang w:val="en-US" w:eastAsia="zh-CN" w:bidi="ar"/>
                <w14:textFill>
                  <w14:solidFill>
                    <w14:schemeClr w14:val="tx1"/>
                  </w14:solidFill>
                </w14:textFill>
              </w:rPr>
              <w:t>8581.464</w:t>
            </w:r>
            <w:r>
              <w:rPr>
                <w:rFonts w:hint="eastAsia"/>
                <w:color w:val="000000" w:themeColor="text1"/>
                <w:kern w:val="0"/>
                <w:highlight w:val="none"/>
                <w:lang w:bidi="ar"/>
                <w14:textFill>
                  <w14:solidFill>
                    <w14:schemeClr w14:val="tx1"/>
                  </w14:solidFill>
                </w14:textFill>
              </w:rPr>
              <w:t>m</w:t>
            </w:r>
            <w:r>
              <w:rPr>
                <w:rFonts w:hint="eastAsia"/>
                <w:color w:val="000000" w:themeColor="text1"/>
                <w:kern w:val="0"/>
                <w:highlight w:val="none"/>
                <w:vertAlign w:val="superscript"/>
                <w:lang w:bidi="ar"/>
                <w14:textFill>
                  <w14:solidFill>
                    <w14:schemeClr w14:val="tx1"/>
                  </w14:solidFill>
                </w14:textFill>
              </w:rPr>
              <w:t>3</w:t>
            </w:r>
            <w:r>
              <w:rPr>
                <w:rFonts w:hint="eastAsia"/>
                <w:color w:val="000000" w:themeColor="text1"/>
                <w:kern w:val="0"/>
                <w:highlight w:val="none"/>
                <w:lang w:bidi="ar"/>
                <w14:textFill>
                  <w14:solidFill>
                    <w14:schemeClr w14:val="tx1"/>
                  </w14:solidFill>
                </w14:textFill>
              </w:rPr>
              <w:t>。</w:t>
            </w:r>
          </w:p>
          <w:p w14:paraId="14B4557F">
            <w:pPr>
              <w:widowControl/>
              <w:ind w:firstLine="480"/>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④回填料饱和吸水量</w:t>
            </w:r>
          </w:p>
          <w:p w14:paraId="47A3B54D">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本项目以改性磷石膏作为回填料，改性磷石膏经压滤并在暂存场熟化后的含水率可控制在20</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以下，入场改性磷石膏基生态修复材料的含水率要求不大于20</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，改性磷石膏基生态修复材料饱和含水率在25-30%左右。项目回填材料的含水率按20%，容重按</w:t>
            </w:r>
            <w:r>
              <w:rPr>
                <w:rFonts w:hint="eastAsia"/>
                <w:color w:val="000000" w:themeColor="text1"/>
                <w:highlight w:val="none"/>
                <w14:textFill>
                  <w14:solidFill>
                    <w14:schemeClr w14:val="tx1"/>
                  </w14:solidFill>
                </w14:textFill>
              </w:rPr>
              <w:t>850</w:t>
            </w:r>
            <w:r>
              <w:rPr>
                <w:color w:val="000000" w:themeColor="text1"/>
                <w:highlight w:val="none"/>
                <w14:textFill>
                  <w14:solidFill>
                    <w14:schemeClr w14:val="tx1"/>
                  </w14:solidFill>
                </w14:textFill>
              </w:rPr>
              <w:t>kg/</w:t>
            </w:r>
            <w:r>
              <w:rPr>
                <w:rFonts w:hint="eastAsia"/>
                <w:color w:val="000000" w:themeColor="text1"/>
                <w:highlight w:val="none"/>
                <w14:textFill>
                  <w14:solidFill>
                    <w14:schemeClr w14:val="tx1"/>
                  </w14:solidFill>
                </w14:textFill>
              </w:rPr>
              <w:t>m³</w:t>
            </w:r>
            <w:r>
              <w:rPr>
                <w:rFonts w:hint="eastAsia"/>
                <w:color w:val="000000" w:themeColor="text1"/>
                <w:kern w:val="0"/>
                <w:lang w:bidi="ar"/>
                <w14:textFill>
                  <w14:solidFill>
                    <w14:schemeClr w14:val="tx1"/>
                  </w14:solidFill>
                </w14:textFill>
              </w:rPr>
              <w:t>，饱和含水率按25%作为渗滤液计算条件，则回填料饱和吸水量=回填量×（饱和含水率-入场含水率）。</w:t>
            </w:r>
          </w:p>
          <w:p w14:paraId="6CF10C99">
            <w:pPr>
              <w:ind w:firstLine="480"/>
              <w:rPr>
                <w:rFonts w:hint="eastAsia" w:eastAsia="宋体"/>
                <w:color w:val="000000" w:themeColor="text1"/>
                <w:highlight w:val="none"/>
                <w:lang w:eastAsia="zh-CN"/>
                <w14:textFill>
                  <w14:solidFill>
                    <w14:schemeClr w14:val="tx1"/>
                  </w14:solidFill>
                </w14:textFill>
              </w:rPr>
            </w:pPr>
            <w:r>
              <w:rPr>
                <w:rFonts w:hint="eastAsia"/>
                <w:color w:val="000000" w:themeColor="text1"/>
                <w:kern w:val="0"/>
                <w:lang w:bidi="ar"/>
                <w14:textFill>
                  <w14:solidFill>
                    <w14:schemeClr w14:val="tx1"/>
                  </w14:solidFill>
                </w14:textFill>
              </w:rPr>
              <w:t>本次评估以生态修复区底部完全铺满改性磷石膏基生态修复材料，且改性磷石膏基生态修复材料回填厚度</w:t>
            </w:r>
            <w:r>
              <w:rPr>
                <w:color w:val="000000" w:themeColor="text1"/>
                <w:kern w:val="0"/>
                <w:lang w:bidi="ar"/>
                <w14:textFill>
                  <w14:solidFill>
                    <w14:schemeClr w14:val="tx1"/>
                  </w14:solidFill>
                </w14:textFill>
              </w:rPr>
              <w:t>1m</w:t>
            </w:r>
            <w:r>
              <w:rPr>
                <w:rFonts w:hint="eastAsia"/>
                <w:color w:val="000000" w:themeColor="text1"/>
                <w:kern w:val="0"/>
                <w:lang w:bidi="ar"/>
                <w14:textFill>
                  <w14:solidFill>
                    <w14:schemeClr w14:val="tx1"/>
                  </w14:solidFill>
                </w14:textFill>
              </w:rPr>
              <w:t>时，作为计算渗滤液产生量条件。此时，无害化处理后改性磷石膏基生态修复材料回填量约</w:t>
            </w:r>
            <w:r>
              <w:rPr>
                <w:rFonts w:hint="eastAsia"/>
                <w:color w:val="000000" w:themeColor="text1"/>
                <w:highlight w:val="none"/>
                <w:lang w:val="en-US" w:eastAsia="zh-CN"/>
                <w14:textFill>
                  <w14:solidFill>
                    <w14:schemeClr w14:val="tx1"/>
                  </w14:solidFill>
                </w14:textFill>
              </w:rPr>
              <w:t>65614.33</w:t>
            </w:r>
            <w:r>
              <w:rPr>
                <w:rFonts w:hint="eastAsia"/>
                <w:color w:val="000000" w:themeColor="text1"/>
                <w:highlight w:val="none"/>
                <w14:textFill>
                  <w14:solidFill>
                    <w14:schemeClr w14:val="tx1"/>
                  </w14:solidFill>
                </w14:textFill>
              </w:rPr>
              <w:t>m³</w:t>
            </w:r>
            <w:r>
              <w:rPr>
                <w:rFonts w:hint="eastAsia"/>
                <w:color w:val="000000" w:themeColor="text1"/>
                <w:kern w:val="0"/>
                <w:lang w:bidi="ar"/>
                <w14:textFill>
                  <w14:solidFill>
                    <w14:schemeClr w14:val="tx1"/>
                  </w14:solidFill>
                </w14:textFill>
              </w:rPr>
              <w:t>，</w:t>
            </w:r>
            <w:r>
              <w:rPr>
                <w:rFonts w:hint="eastAsia"/>
                <w:color w:val="000000" w:themeColor="text1"/>
                <w:highlight w:val="none"/>
                <w14:textFill>
                  <w14:solidFill>
                    <w14:schemeClr w14:val="tx1"/>
                  </w14:solidFill>
                </w14:textFill>
              </w:rPr>
              <w:t>约</w:t>
            </w:r>
            <w:r>
              <w:rPr>
                <w:rFonts w:hint="eastAsia"/>
                <w:color w:val="000000" w:themeColor="text1"/>
                <w:highlight w:val="none"/>
                <w:lang w:val="en-US" w:eastAsia="zh-CN"/>
                <w14:textFill>
                  <w14:solidFill>
                    <w14:schemeClr w14:val="tx1"/>
                  </w14:solidFill>
                </w14:textFill>
              </w:rPr>
              <w:t>55772.1805</w:t>
            </w:r>
            <w:r>
              <w:rPr>
                <w:color w:val="000000" w:themeColor="text1"/>
                <w:highlight w:val="none"/>
                <w14:textFill>
                  <w14:solidFill>
                    <w14:schemeClr w14:val="tx1"/>
                  </w14:solidFill>
                </w14:textFill>
              </w:rPr>
              <w:t>t</w:t>
            </w:r>
            <w:r>
              <w:rPr>
                <w:rFonts w:hint="eastAsia"/>
                <w:color w:val="000000" w:themeColor="text1"/>
                <w:highlight w:val="none"/>
                <w14:textFill>
                  <w14:solidFill>
                    <w14:schemeClr w14:val="tx1"/>
                  </w14:solidFill>
                </w14:textFill>
              </w:rPr>
              <w:t>，则改性磷石膏基生态修复材料饱和吸水量为</w:t>
            </w:r>
            <w:r>
              <w:rPr>
                <w:rFonts w:hint="eastAsia"/>
                <w:color w:val="000000" w:themeColor="text1"/>
                <w:highlight w:val="none"/>
                <w:lang w:val="en-US" w:eastAsia="zh-CN"/>
                <w14:textFill>
                  <w14:solidFill>
                    <w14:schemeClr w14:val="tx1"/>
                  </w14:solidFill>
                </w14:textFill>
              </w:rPr>
              <w:t>2788.61</w:t>
            </w:r>
            <w:r>
              <w:rPr>
                <w:rFonts w:hint="eastAsia"/>
                <w:color w:val="000000" w:themeColor="text1"/>
                <w:highlight w:val="none"/>
                <w14:textFill>
                  <w14:solidFill>
                    <w14:schemeClr w14:val="tx1"/>
                  </w14:solidFill>
                </w14:textFill>
              </w:rPr>
              <w:t>m³</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北部回填修复区</w:t>
            </w:r>
            <w:r>
              <w:rPr>
                <w:rFonts w:hint="eastAsia"/>
                <w:color w:val="000000" w:themeColor="text1"/>
                <w:highlight w:val="none"/>
                <w14:textFill>
                  <w14:solidFill>
                    <w14:schemeClr w14:val="tx1"/>
                  </w14:solidFill>
                </w14:textFill>
              </w:rPr>
              <w:t>无害化处理后改性磷石膏基生态修复材料回填量约</w:t>
            </w:r>
            <w:r>
              <w:rPr>
                <w:rFonts w:hint="eastAsia"/>
                <w:color w:val="000000" w:themeColor="text1"/>
                <w:highlight w:val="none"/>
                <w:lang w:val="en-US" w:eastAsia="zh-CN"/>
                <w14:textFill>
                  <w14:solidFill>
                    <w14:schemeClr w14:val="tx1"/>
                  </w14:solidFill>
                </w14:textFill>
              </w:rPr>
              <w:t>61482.29</w:t>
            </w:r>
            <w:r>
              <w:rPr>
                <w:rFonts w:hint="eastAsia"/>
                <w:color w:val="000000" w:themeColor="text1"/>
                <w:highlight w:val="none"/>
                <w14:textFill>
                  <w14:solidFill>
                    <w14:schemeClr w14:val="tx1"/>
                  </w14:solidFill>
                </w14:textFill>
              </w:rPr>
              <w:t>m³（容重850</w:t>
            </w:r>
            <w:r>
              <w:rPr>
                <w:color w:val="000000" w:themeColor="text1"/>
                <w:highlight w:val="none"/>
                <w14:textFill>
                  <w14:solidFill>
                    <w14:schemeClr w14:val="tx1"/>
                  </w14:solidFill>
                </w14:textFill>
              </w:rPr>
              <w:t>kg/</w:t>
            </w:r>
            <w:r>
              <w:rPr>
                <w:rFonts w:hint="eastAsia"/>
                <w:color w:val="000000" w:themeColor="text1"/>
                <w:highlight w:val="none"/>
                <w14:textFill>
                  <w14:solidFill>
                    <w14:schemeClr w14:val="tx1"/>
                  </w14:solidFill>
                </w14:textFill>
              </w:rPr>
              <w:t>m³），约27598.65</w:t>
            </w:r>
            <w:r>
              <w:rPr>
                <w:color w:val="000000" w:themeColor="text1"/>
                <w:highlight w:val="none"/>
                <w14:textFill>
                  <w14:solidFill>
                    <w14:schemeClr w14:val="tx1"/>
                  </w14:solidFill>
                </w14:textFill>
              </w:rPr>
              <w:t>t</w:t>
            </w:r>
            <w:r>
              <w:rPr>
                <w:rFonts w:hint="eastAsia"/>
                <w:color w:val="000000" w:themeColor="text1"/>
                <w:highlight w:val="none"/>
                <w14:textFill>
                  <w14:solidFill>
                    <w14:schemeClr w14:val="tx1"/>
                  </w14:solidFill>
                </w14:textFill>
              </w:rPr>
              <w:t>，则改性磷石膏基生态修复材料饱和吸水量为</w:t>
            </w:r>
            <w:r>
              <w:rPr>
                <w:rFonts w:hint="eastAsia"/>
                <w:color w:val="000000" w:themeColor="text1"/>
                <w:highlight w:val="none"/>
                <w:lang w:val="en-US" w:eastAsia="zh-CN"/>
                <w14:textFill>
                  <w14:solidFill>
                    <w14:schemeClr w14:val="tx1"/>
                  </w14:solidFill>
                </w14:textFill>
              </w:rPr>
              <w:t>2612.997</w:t>
            </w:r>
            <w:r>
              <w:rPr>
                <w:rFonts w:hint="eastAsia"/>
                <w:color w:val="000000" w:themeColor="text1"/>
                <w:highlight w:val="none"/>
                <w14:textFill>
                  <w14:solidFill>
                    <w14:schemeClr w14:val="tx1"/>
                  </w14:solidFill>
                </w14:textFill>
              </w:rPr>
              <w:t>m³</w:t>
            </w:r>
            <w:r>
              <w:rPr>
                <w:rFonts w:hint="eastAsia"/>
                <w:color w:val="000000" w:themeColor="text1"/>
                <w:highlight w:val="none"/>
                <w:lang w:eastAsia="zh-CN"/>
                <w14:textFill>
                  <w14:solidFill>
                    <w14:schemeClr w14:val="tx1"/>
                  </w14:solidFill>
                </w14:textFill>
              </w:rPr>
              <w:t>。</w:t>
            </w:r>
          </w:p>
          <w:p w14:paraId="2621B4A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渗滤液量按</w:t>
            </w:r>
            <w:r>
              <w:rPr>
                <w:color w:val="000000" w:themeColor="text1"/>
                <w14:textFill>
                  <w14:solidFill>
                    <w14:schemeClr w14:val="tx1"/>
                  </w14:solidFill>
                </w14:textFill>
              </w:rPr>
              <w:t>7</w:t>
            </w:r>
            <w:r>
              <w:rPr>
                <w:rFonts w:hint="eastAsia"/>
                <w:color w:val="000000" w:themeColor="text1"/>
                <w14:textFill>
                  <w14:solidFill>
                    <w14:schemeClr w14:val="tx1"/>
                  </w14:solidFill>
                </w14:textFill>
              </w:rPr>
              <w:t>月、8月渗滤液量计算，近几年</w:t>
            </w:r>
            <w:r>
              <w:rPr>
                <w:color w:val="000000" w:themeColor="text1"/>
                <w:kern w:val="0"/>
                <w:lang w:bidi="ar"/>
                <w14:textFill>
                  <w14:solidFill>
                    <w14:schemeClr w14:val="tx1"/>
                  </w14:solidFill>
                </w14:textFill>
              </w:rPr>
              <w:t>7</w:t>
            </w:r>
            <w:r>
              <w:rPr>
                <w:rFonts w:hint="eastAsia"/>
                <w:color w:val="000000" w:themeColor="text1"/>
                <w:kern w:val="0"/>
                <w:lang w:bidi="ar"/>
                <w14:textFill>
                  <w14:solidFill>
                    <w14:schemeClr w14:val="tx1"/>
                  </w14:solidFill>
                </w14:textFill>
              </w:rPr>
              <w:t>月降雨天数约为19天、8月份降雨天数约为23天，7、8月份降雨天数约为42天。</w:t>
            </w:r>
            <w:r>
              <w:rPr>
                <w:rFonts w:hint="eastAsia"/>
                <w:color w:val="000000" w:themeColor="text1"/>
                <w14:textFill>
                  <w14:solidFill>
                    <w14:schemeClr w14:val="tx1"/>
                  </w14:solidFill>
                </w14:textFill>
              </w:rPr>
              <w:t>则回填修复区产生渗滤液量见下表。</w:t>
            </w:r>
          </w:p>
          <w:p w14:paraId="6D09FE56">
            <w:pPr>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表4-2</w:t>
            </w:r>
            <w:r>
              <w:rPr>
                <w:rFonts w:hint="eastAsia"/>
                <w:b/>
                <w:bCs/>
                <w:color w:val="000000" w:themeColor="text1"/>
                <w:sz w:val="24"/>
                <w:szCs w:val="24"/>
                <w:lang w:val="en-US" w:eastAsia="zh-CN"/>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 xml:space="preserve"> 矿坑回填渗滤液计算结果</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18"/>
              <w:gridCol w:w="655"/>
              <w:gridCol w:w="1004"/>
              <w:gridCol w:w="1094"/>
              <w:gridCol w:w="1091"/>
              <w:gridCol w:w="1176"/>
              <w:gridCol w:w="1176"/>
              <w:gridCol w:w="1102"/>
            </w:tblGrid>
            <w:tr w14:paraId="61D239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334" w:type="pct"/>
                  <w:vAlign w:val="center"/>
                </w:tcPr>
                <w:p w14:paraId="7F337A42">
                  <w:pPr>
                    <w:pStyle w:val="64"/>
                    <w:spacing w:beforeLines="0" w:afterLines="0" w:line="240" w:lineRule="auto"/>
                    <w:ind w:firstLine="0" w:firstLineChars="0"/>
                    <w:rPr>
                      <w:rFonts w:hint="eastAsia" w:ascii="Times New Roman" w:eastAsia="宋体"/>
                      <w:b/>
                      <w:bCs/>
                      <w:color w:val="000000" w:themeColor="text1"/>
                      <w:sz w:val="21"/>
                      <w:lang w:val="en-US" w:eastAsia="zh-CN"/>
                      <w14:textFill>
                        <w14:solidFill>
                          <w14:schemeClr w14:val="tx1"/>
                        </w14:solidFill>
                      </w14:textFill>
                    </w:rPr>
                  </w:pPr>
                  <w:r>
                    <w:rPr>
                      <w:rFonts w:hint="eastAsia" w:ascii="Times New Roman"/>
                      <w:b/>
                      <w:bCs/>
                      <w:color w:val="000000" w:themeColor="text1"/>
                      <w:sz w:val="21"/>
                      <w:lang w:val="en-US" w:eastAsia="zh-CN"/>
                      <w14:textFill>
                        <w14:solidFill>
                          <w14:schemeClr w14:val="tx1"/>
                        </w14:solidFill>
                      </w14:textFill>
                    </w:rPr>
                    <w:t>区域</w:t>
                  </w:r>
                </w:p>
              </w:tc>
              <w:tc>
                <w:tcPr>
                  <w:tcW w:w="422" w:type="pct"/>
                  <w:vAlign w:val="center"/>
                </w:tcPr>
                <w:p w14:paraId="6E1D0CA2">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月份</w:t>
                  </w:r>
                </w:p>
              </w:tc>
              <w:tc>
                <w:tcPr>
                  <w:tcW w:w="622" w:type="pct"/>
                  <w:vAlign w:val="center"/>
                </w:tcPr>
                <w:p w14:paraId="36474996">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修复区内降雨量（m</w:t>
                  </w:r>
                  <w:r>
                    <w:rPr>
                      <w:rFonts w:hint="eastAsia" w:ascii="Times New Roman"/>
                      <w:b/>
                      <w:bCs/>
                      <w:color w:val="000000" w:themeColor="text1"/>
                      <w:sz w:val="21"/>
                      <w:vertAlign w:val="superscript"/>
                      <w14:textFill>
                        <w14:solidFill>
                          <w14:schemeClr w14:val="tx1"/>
                        </w14:solidFill>
                      </w14:textFill>
                    </w:rPr>
                    <w:t>3</w:t>
                  </w:r>
                  <w:r>
                    <w:rPr>
                      <w:rFonts w:hint="eastAsia" w:ascii="Times New Roman"/>
                      <w:b/>
                      <w:bCs/>
                      <w:color w:val="000000" w:themeColor="text1"/>
                      <w:sz w:val="21"/>
                      <w14:textFill>
                        <w14:solidFill>
                          <w14:schemeClr w14:val="tx1"/>
                        </w14:solidFill>
                      </w14:textFill>
                    </w:rPr>
                    <w:t>）</w:t>
                  </w:r>
                </w:p>
              </w:tc>
              <w:tc>
                <w:tcPr>
                  <w:tcW w:w="702" w:type="pct"/>
                  <w:vAlign w:val="center"/>
                </w:tcPr>
                <w:p w14:paraId="28A3B5B0">
                  <w:pPr>
                    <w:pStyle w:val="64"/>
                    <w:spacing w:before="24" w:after="24" w:line="240" w:lineRule="auto"/>
                    <w:ind w:firstLine="0" w:firstLineChars="0"/>
                    <w:jc w:val="both"/>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修复区地表径流（m</w:t>
                  </w:r>
                  <w:r>
                    <w:rPr>
                      <w:rFonts w:hint="eastAsia" w:ascii="Times New Roman"/>
                      <w:b/>
                      <w:bCs/>
                      <w:color w:val="000000" w:themeColor="text1"/>
                      <w:sz w:val="21"/>
                      <w:vertAlign w:val="superscript"/>
                      <w14:textFill>
                        <w14:solidFill>
                          <w14:schemeClr w14:val="tx1"/>
                        </w14:solidFill>
                      </w14:textFill>
                    </w:rPr>
                    <w:t>3</w:t>
                  </w:r>
                  <w:r>
                    <w:rPr>
                      <w:rFonts w:hint="eastAsia" w:ascii="Times New Roman"/>
                      <w:b/>
                      <w:bCs/>
                      <w:color w:val="000000" w:themeColor="text1"/>
                      <w:sz w:val="21"/>
                      <w14:textFill>
                        <w14:solidFill>
                          <w14:schemeClr w14:val="tx1"/>
                        </w14:solidFill>
                      </w14:textFill>
                    </w:rPr>
                    <w:t>）</w:t>
                  </w:r>
                </w:p>
              </w:tc>
              <w:tc>
                <w:tcPr>
                  <w:tcW w:w="700" w:type="pct"/>
                  <w:vAlign w:val="center"/>
                </w:tcPr>
                <w:p w14:paraId="460DE178">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修复区蒸发量（m³）</w:t>
                  </w:r>
                </w:p>
              </w:tc>
              <w:tc>
                <w:tcPr>
                  <w:tcW w:w="754" w:type="pct"/>
                  <w:vAlign w:val="center"/>
                </w:tcPr>
                <w:p w14:paraId="5303ADA8">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回填料饱和吸水量（m³）</w:t>
                  </w:r>
                </w:p>
              </w:tc>
              <w:tc>
                <w:tcPr>
                  <w:tcW w:w="754" w:type="pct"/>
                  <w:vAlign w:val="center"/>
                </w:tcPr>
                <w:p w14:paraId="3457FE1F">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渗滤液产生量（m³/a）</w:t>
                  </w:r>
                </w:p>
              </w:tc>
              <w:tc>
                <w:tcPr>
                  <w:tcW w:w="707" w:type="pct"/>
                  <w:vAlign w:val="center"/>
                </w:tcPr>
                <w:p w14:paraId="3DFFF718">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渗滤液日均产生量（m³/d）</w:t>
                  </w:r>
                </w:p>
              </w:tc>
            </w:tr>
            <w:tr w14:paraId="004F91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restart"/>
                  <w:vAlign w:val="center"/>
                </w:tcPr>
                <w:p w14:paraId="58145A62">
                  <w:pPr>
                    <w:pStyle w:val="64"/>
                    <w:spacing w:beforeLines="0" w:afterLines="0" w:line="240" w:lineRule="auto"/>
                    <w:ind w:firstLine="0" w:firstLineChars="0"/>
                    <w:rPr>
                      <w:rFonts w:hint="eastAsia"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南部</w:t>
                  </w:r>
                </w:p>
              </w:tc>
              <w:tc>
                <w:tcPr>
                  <w:tcW w:w="422" w:type="pct"/>
                  <w:vAlign w:val="center"/>
                </w:tcPr>
                <w:p w14:paraId="7FD5894D">
                  <w:pPr>
                    <w:pStyle w:val="64"/>
                    <w:spacing w:beforeLines="0" w:afterLines="0" w:line="240" w:lineRule="auto"/>
                    <w:ind w:firstLine="0" w:firstLineChars="0"/>
                    <w:rPr>
                      <w:rFonts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7月</w:t>
                  </w:r>
                </w:p>
              </w:tc>
              <w:tc>
                <w:tcPr>
                  <w:tcW w:w="973" w:type="dxa"/>
                  <w:vAlign w:val="center"/>
                </w:tcPr>
                <w:p w14:paraId="0693E26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12593.15</w:t>
                  </w:r>
                </w:p>
              </w:tc>
              <w:tc>
                <w:tcPr>
                  <w:tcW w:w="1098" w:type="dxa"/>
                  <w:vAlign w:val="center"/>
                </w:tcPr>
                <w:p w14:paraId="6DC1BD8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1888.973</w:t>
                  </w:r>
                </w:p>
              </w:tc>
              <w:tc>
                <w:tcPr>
                  <w:tcW w:w="1095" w:type="dxa"/>
                  <w:vAlign w:val="center"/>
                </w:tcPr>
                <w:p w14:paraId="3364AE5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8239.606</w:t>
                  </w:r>
                </w:p>
              </w:tc>
              <w:tc>
                <w:tcPr>
                  <w:tcW w:w="1182" w:type="dxa"/>
                  <w:vMerge w:val="restart"/>
                  <w:vAlign w:val="center"/>
                </w:tcPr>
                <w:p w14:paraId="0B231233">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2188.61</w:t>
                  </w:r>
                </w:p>
              </w:tc>
              <w:tc>
                <w:tcPr>
                  <w:tcW w:w="1182" w:type="dxa"/>
                  <w:vMerge w:val="restart"/>
                  <w:vAlign w:val="center"/>
                </w:tcPr>
                <w:p w14:paraId="6734A54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2526.45</w:t>
                  </w:r>
                </w:p>
              </w:tc>
              <w:tc>
                <w:tcPr>
                  <w:tcW w:w="1107" w:type="dxa"/>
                  <w:vMerge w:val="restart"/>
                  <w:vAlign w:val="center"/>
                </w:tcPr>
                <w:p w14:paraId="083C6E2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60.15</w:t>
                  </w:r>
                </w:p>
              </w:tc>
            </w:tr>
            <w:tr w14:paraId="43475D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continue"/>
                  <w:vAlign w:val="center"/>
                </w:tcPr>
                <w:p w14:paraId="78E152EE">
                  <w:pPr>
                    <w:pStyle w:val="64"/>
                    <w:spacing w:beforeLines="0" w:afterLines="0" w:line="240" w:lineRule="auto"/>
                    <w:ind w:firstLine="0" w:firstLineChars="0"/>
                    <w:rPr>
                      <w:rFonts w:hint="eastAsia" w:ascii="Times New Roman"/>
                      <w:color w:val="000000" w:themeColor="text1"/>
                      <w:sz w:val="21"/>
                      <w14:textFill>
                        <w14:solidFill>
                          <w14:schemeClr w14:val="tx1"/>
                        </w14:solidFill>
                      </w14:textFill>
                    </w:rPr>
                  </w:pPr>
                </w:p>
              </w:tc>
              <w:tc>
                <w:tcPr>
                  <w:tcW w:w="422" w:type="pct"/>
                  <w:vAlign w:val="center"/>
                </w:tcPr>
                <w:p w14:paraId="011FE6E6">
                  <w:pPr>
                    <w:pStyle w:val="64"/>
                    <w:spacing w:beforeLines="0" w:afterLines="0" w:line="240" w:lineRule="auto"/>
                    <w:ind w:firstLine="0" w:firstLineChars="0"/>
                    <w:rPr>
                      <w:rFonts w:ascii="Times New Roman"/>
                      <w:color w:val="000000" w:themeColor="text1"/>
                      <w:sz w:val="21"/>
                      <w14:textFill>
                        <w14:solidFill>
                          <w14:schemeClr w14:val="tx1"/>
                        </w14:solidFill>
                      </w14:textFill>
                    </w:rPr>
                  </w:pPr>
                  <w:r>
                    <w:rPr>
                      <w:rFonts w:hint="eastAsia" w:ascii="Times New Roman"/>
                      <w:color w:val="000000" w:themeColor="text1"/>
                      <w:sz w:val="21"/>
                      <w14:textFill>
                        <w14:solidFill>
                          <w14:schemeClr w14:val="tx1"/>
                        </w14:solidFill>
                      </w14:textFill>
                    </w:rPr>
                    <w:t>8月</w:t>
                  </w:r>
                </w:p>
              </w:tc>
              <w:tc>
                <w:tcPr>
                  <w:tcW w:w="973" w:type="dxa"/>
                  <w:vAlign w:val="center"/>
                </w:tcPr>
                <w:p w14:paraId="458BDBA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12101.71</w:t>
                  </w:r>
                </w:p>
              </w:tc>
              <w:tc>
                <w:tcPr>
                  <w:tcW w:w="1098" w:type="dxa"/>
                  <w:vAlign w:val="center"/>
                </w:tcPr>
                <w:p w14:paraId="4CCDDBA7">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1815.257</w:t>
                  </w:r>
                </w:p>
              </w:tc>
              <w:tc>
                <w:tcPr>
                  <w:tcW w:w="1095" w:type="dxa"/>
                  <w:vAlign w:val="center"/>
                </w:tcPr>
                <w:p w14:paraId="26DE845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8035.965</w:t>
                  </w:r>
                </w:p>
              </w:tc>
              <w:tc>
                <w:tcPr>
                  <w:tcW w:w="754" w:type="pct"/>
                  <w:vMerge w:val="continue"/>
                  <w:vAlign w:val="center"/>
                </w:tcPr>
                <w:p w14:paraId="6CDAEE5F">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54" w:type="pct"/>
                  <w:vMerge w:val="continue"/>
                  <w:vAlign w:val="center"/>
                </w:tcPr>
                <w:p w14:paraId="5D0F359D">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c>
                <w:tcPr>
                  <w:tcW w:w="707" w:type="pct"/>
                  <w:vMerge w:val="continue"/>
                  <w:vAlign w:val="center"/>
                </w:tcPr>
                <w:p w14:paraId="7928AD7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p>
              </w:tc>
            </w:tr>
            <w:tr w14:paraId="095FE0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restart"/>
                  <w:vAlign w:val="center"/>
                </w:tcPr>
                <w:p w14:paraId="2F104E0B">
                  <w:pPr>
                    <w:pStyle w:val="64"/>
                    <w:spacing w:beforeLines="0" w:afterLines="0" w:line="240" w:lineRule="auto"/>
                    <w:ind w:firstLine="0" w:firstLineChars="0"/>
                    <w:rPr>
                      <w:rFonts w:hint="eastAsia"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北部</w:t>
                  </w:r>
                </w:p>
              </w:tc>
              <w:tc>
                <w:tcPr>
                  <w:tcW w:w="422" w:type="pct"/>
                  <w:vAlign w:val="center"/>
                </w:tcPr>
                <w:p w14:paraId="3A1282D9">
                  <w:pPr>
                    <w:pStyle w:val="64"/>
                    <w:spacing w:beforeLines="0" w:afterLines="0" w:line="240" w:lineRule="auto"/>
                    <w:ind w:firstLine="0" w:firstLineChars="0"/>
                    <w:rPr>
                      <w:rFonts w:hint="eastAsia" w:ascii="Times New Roman"/>
                      <w:color w:val="000000" w:themeColor="text1"/>
                      <w:sz w:val="21"/>
                      <w14:textFill>
                        <w14:solidFill>
                          <w14:schemeClr w14:val="tx1"/>
                        </w14:solidFill>
                      </w14:textFill>
                    </w:rPr>
                  </w:pPr>
                  <w:r>
                    <w:rPr>
                      <w:rFonts w:ascii="Times New Roman"/>
                      <w:color w:val="000000" w:themeColor="text1"/>
                      <w:sz w:val="21"/>
                      <w14:textFill>
                        <w14:solidFill>
                          <w14:schemeClr w14:val="tx1"/>
                        </w14:solidFill>
                      </w14:textFill>
                    </w:rPr>
                    <w:t>7月</w:t>
                  </w:r>
                </w:p>
              </w:tc>
              <w:tc>
                <w:tcPr>
                  <w:tcW w:w="973" w:type="dxa"/>
                  <w:vAlign w:val="center"/>
                </w:tcPr>
                <w:p w14:paraId="259C8D2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13448</w:t>
                  </w:r>
                </w:p>
              </w:tc>
              <w:tc>
                <w:tcPr>
                  <w:tcW w:w="1098" w:type="dxa"/>
                  <w:vAlign w:val="center"/>
                </w:tcPr>
                <w:p w14:paraId="57BCA17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2017.2</w:t>
                  </w:r>
                </w:p>
              </w:tc>
              <w:tc>
                <w:tcPr>
                  <w:tcW w:w="1095" w:type="dxa"/>
                  <w:vAlign w:val="center"/>
                </w:tcPr>
                <w:p w14:paraId="135F2F86">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8798.928</w:t>
                  </w:r>
                </w:p>
              </w:tc>
              <w:tc>
                <w:tcPr>
                  <w:tcW w:w="1182" w:type="dxa"/>
                  <w:vMerge w:val="restart"/>
                  <w:vAlign w:val="center"/>
                </w:tcPr>
                <w:p w14:paraId="12667920">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2612.997</w:t>
                  </w:r>
                </w:p>
              </w:tc>
              <w:tc>
                <w:tcPr>
                  <w:tcW w:w="1182" w:type="dxa"/>
                  <w:vMerge w:val="restart"/>
                  <w:vAlign w:val="center"/>
                </w:tcPr>
                <w:p w14:paraId="4160B235">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eastAsia"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2422.13</w:t>
                  </w:r>
                </w:p>
              </w:tc>
              <w:tc>
                <w:tcPr>
                  <w:tcW w:w="1107" w:type="dxa"/>
                  <w:vMerge w:val="restart"/>
                  <w:vAlign w:val="center"/>
                </w:tcPr>
                <w:p w14:paraId="37ED6644">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57.67</w:t>
                  </w:r>
                </w:p>
              </w:tc>
            </w:tr>
            <w:tr w14:paraId="0300A4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34" w:type="pct"/>
                  <w:vMerge w:val="continue"/>
                  <w:vAlign w:val="center"/>
                </w:tcPr>
                <w:p w14:paraId="5F2AD710">
                  <w:pPr>
                    <w:pStyle w:val="64"/>
                    <w:spacing w:beforeLines="0" w:afterLines="0" w:line="240" w:lineRule="auto"/>
                    <w:ind w:firstLine="0" w:firstLineChars="0"/>
                    <w:rPr>
                      <w:rFonts w:hint="eastAsia" w:ascii="Times New Roman"/>
                      <w:color w:val="000000" w:themeColor="text1"/>
                      <w:sz w:val="21"/>
                      <w14:textFill>
                        <w14:solidFill>
                          <w14:schemeClr w14:val="tx1"/>
                        </w14:solidFill>
                      </w14:textFill>
                    </w:rPr>
                  </w:pPr>
                </w:p>
              </w:tc>
              <w:tc>
                <w:tcPr>
                  <w:tcW w:w="422" w:type="pct"/>
                  <w:vAlign w:val="center"/>
                </w:tcPr>
                <w:p w14:paraId="64EA577A">
                  <w:pPr>
                    <w:pStyle w:val="64"/>
                    <w:spacing w:beforeLines="0" w:afterLines="0" w:line="240" w:lineRule="auto"/>
                    <w:ind w:firstLine="0" w:firstLineChars="0"/>
                    <w:rPr>
                      <w:rFonts w:hint="eastAsia" w:ascii="Times New Roman"/>
                      <w:color w:val="000000" w:themeColor="text1"/>
                      <w:sz w:val="21"/>
                      <w14:textFill>
                        <w14:solidFill>
                          <w14:schemeClr w14:val="tx1"/>
                        </w14:solidFill>
                      </w14:textFill>
                    </w:rPr>
                  </w:pPr>
                  <w:r>
                    <w:rPr>
                      <w:rFonts w:hint="eastAsia" w:ascii="Times New Roman"/>
                      <w:color w:val="000000" w:themeColor="text1"/>
                      <w:sz w:val="21"/>
                      <w14:textFill>
                        <w14:solidFill>
                          <w14:schemeClr w14:val="tx1"/>
                        </w14:solidFill>
                      </w14:textFill>
                    </w:rPr>
                    <w:t>8月</w:t>
                  </w:r>
                </w:p>
              </w:tc>
              <w:tc>
                <w:tcPr>
                  <w:tcW w:w="973" w:type="dxa"/>
                  <w:vAlign w:val="center"/>
                </w:tcPr>
                <w:p w14:paraId="1BE3E97A">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12923.2</w:t>
                  </w:r>
                </w:p>
              </w:tc>
              <w:tc>
                <w:tcPr>
                  <w:tcW w:w="1098" w:type="dxa"/>
                  <w:vAlign w:val="center"/>
                </w:tcPr>
                <w:p w14:paraId="7C1DFAA8">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1938.48</w:t>
                  </w:r>
                </w:p>
              </w:tc>
              <w:tc>
                <w:tcPr>
                  <w:tcW w:w="1095" w:type="dxa"/>
                  <w:vAlign w:val="center"/>
                </w:tcPr>
                <w:p w14:paraId="62113F4E">
                  <w:pPr>
                    <w:keepNext w:val="0"/>
                    <w:keepLines w:val="0"/>
                    <w:pageBreakBefore w:val="0"/>
                    <w:widowControl/>
                    <w:suppressLineNumbers w:val="0"/>
                    <w:kinsoku/>
                    <w:wordWrap/>
                    <w:overflowPunct/>
                    <w:topLinePunct w:val="0"/>
                    <w:autoSpaceDE/>
                    <w:autoSpaceDN/>
                    <w:bidi w:val="0"/>
                    <w:adjustRightInd w:val="0"/>
                    <w:snapToGrid w:val="0"/>
                    <w:spacing w:line="240" w:lineRule="auto"/>
                    <w:ind w:left="0" w:leftChars="0" w:firstLine="0" w:firstLineChars="0"/>
                    <w:jc w:val="center"/>
                    <w:textAlignment w:val="cente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pPr>
                  <w:r>
                    <w:rPr>
                      <w:rFonts w:hint="default" w:ascii="Times New Roman" w:hAnsi="Times New Roman" w:eastAsia="宋体" w:cs="Times New Roman"/>
                      <w:i w:val="0"/>
                      <w:iCs w:val="0"/>
                      <w:color w:val="000000" w:themeColor="text1"/>
                      <w:kern w:val="0"/>
                      <w:sz w:val="21"/>
                      <w:szCs w:val="21"/>
                      <w:highlight w:val="none"/>
                      <w:u w:val="none"/>
                      <w:lang w:val="en-US" w:eastAsia="zh-CN" w:bidi="ar"/>
                      <w14:textFill>
                        <w14:solidFill>
                          <w14:schemeClr w14:val="tx1"/>
                        </w14:solidFill>
                      </w14:textFill>
                    </w:rPr>
                    <w:t>8581.464</w:t>
                  </w:r>
                </w:p>
              </w:tc>
              <w:tc>
                <w:tcPr>
                  <w:tcW w:w="754" w:type="pct"/>
                  <w:vMerge w:val="continue"/>
                  <w:vAlign w:val="center"/>
                </w:tcPr>
                <w:p w14:paraId="4E2DCA82">
                  <w:pPr>
                    <w:pStyle w:val="64"/>
                    <w:spacing w:beforeLines="0" w:afterLines="0" w:line="240" w:lineRule="auto"/>
                    <w:ind w:firstLine="0" w:firstLineChars="0"/>
                    <w:rPr>
                      <w:rFonts w:ascii="Times New Roman"/>
                      <w:color w:val="000000" w:themeColor="text1"/>
                      <w:sz w:val="21"/>
                      <w14:textFill>
                        <w14:solidFill>
                          <w14:schemeClr w14:val="tx1"/>
                        </w14:solidFill>
                      </w14:textFill>
                    </w:rPr>
                  </w:pPr>
                </w:p>
              </w:tc>
              <w:tc>
                <w:tcPr>
                  <w:tcW w:w="754" w:type="pct"/>
                  <w:vMerge w:val="continue"/>
                  <w:vAlign w:val="center"/>
                </w:tcPr>
                <w:p w14:paraId="3A657966">
                  <w:pPr>
                    <w:pStyle w:val="64"/>
                    <w:spacing w:beforeLines="0" w:afterLines="0" w:line="240" w:lineRule="auto"/>
                    <w:ind w:firstLine="0" w:firstLineChars="0"/>
                    <w:rPr>
                      <w:rFonts w:ascii="Times New Roman"/>
                      <w:color w:val="000000" w:themeColor="text1"/>
                      <w:sz w:val="21"/>
                      <w14:textFill>
                        <w14:solidFill>
                          <w14:schemeClr w14:val="tx1"/>
                        </w14:solidFill>
                      </w14:textFill>
                    </w:rPr>
                  </w:pPr>
                </w:p>
              </w:tc>
              <w:tc>
                <w:tcPr>
                  <w:tcW w:w="707" w:type="pct"/>
                  <w:vMerge w:val="continue"/>
                  <w:vAlign w:val="center"/>
                </w:tcPr>
                <w:p w14:paraId="6F9E236F">
                  <w:pPr>
                    <w:pStyle w:val="64"/>
                    <w:spacing w:beforeLines="0" w:afterLines="0" w:line="240" w:lineRule="auto"/>
                    <w:ind w:firstLine="0" w:firstLineChars="0"/>
                    <w:rPr>
                      <w:rFonts w:ascii="Times New Roman"/>
                      <w:color w:val="000000" w:themeColor="text1"/>
                      <w:sz w:val="21"/>
                      <w14:textFill>
                        <w14:solidFill>
                          <w14:schemeClr w14:val="tx1"/>
                        </w14:solidFill>
                      </w14:textFill>
                    </w:rPr>
                  </w:pPr>
                </w:p>
              </w:tc>
            </w:tr>
          </w:tbl>
          <w:p w14:paraId="2D05EB15">
            <w:pPr>
              <w:ind w:firstLine="480"/>
              <w:rPr>
                <w:rFonts w:hint="eastAsia" w:ascii="Times New Roman" w:hAnsi="Times New Roman" w:eastAsia="宋体"/>
                <w:color w:val="000000" w:themeColor="text1"/>
                <w:sz w:val="24"/>
                <w:szCs w:val="24"/>
                <w:lang w:eastAsia="zh-CN"/>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在南北两个改性磷石膏堆填区的拦挡坝后建设地下水收集池和渗滤液收集池</w:t>
            </w:r>
            <w:r>
              <w:rPr>
                <w:rFonts w:hint="eastAsia" w:ascii="Times New Roman" w:hAnsi="Times New Roman"/>
                <w:color w:val="000000" w:themeColor="text1"/>
                <w:sz w:val="24"/>
                <w:szCs w:val="24"/>
                <w:lang w:eastAsia="zh-CN"/>
                <w14:textFill>
                  <w14:solidFill>
                    <w14:schemeClr w14:val="tx1"/>
                  </w14:solidFill>
                </w14:textFill>
              </w:rPr>
              <w:t>，</w:t>
            </w:r>
            <w:r>
              <w:rPr>
                <w:rFonts w:ascii="Times New Roman" w:hAnsi="Times New Roman"/>
                <w:color w:val="000000" w:themeColor="text1"/>
                <w:sz w:val="24"/>
                <w:szCs w:val="24"/>
                <w14:textFill>
                  <w14:solidFill>
                    <w14:schemeClr w14:val="tx1"/>
                  </w14:solidFill>
                </w14:textFill>
              </w:rPr>
              <w:t>渗滤液收集池、地下水收集池均采用钢筋混凝土矩形水池</w:t>
            </w:r>
            <w:r>
              <w:rPr>
                <w:rFonts w:hint="eastAsia" w:ascii="Times New Roman" w:hAnsi="Times New Roman"/>
                <w:color w:val="000000" w:themeColor="text1"/>
                <w:sz w:val="24"/>
                <w:szCs w:val="24"/>
                <w:lang w:eastAsia="zh-CN"/>
                <w14:textFill>
                  <w14:solidFill>
                    <w14:schemeClr w14:val="tx1"/>
                  </w14:solidFill>
                </w14:textFill>
              </w:rPr>
              <w:t>。</w:t>
            </w:r>
          </w:p>
          <w:p w14:paraId="791F910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w:t>
            </w:r>
            <w:r>
              <w:rPr>
                <w:rFonts w:hint="eastAsia"/>
                <w:color w:val="000000" w:themeColor="text1"/>
                <w:lang w:val="en-US" w:eastAsia="zh-CN"/>
                <w14:textFill>
                  <w14:solidFill>
                    <w14:schemeClr w14:val="tx1"/>
                  </w14:solidFill>
                </w14:textFill>
              </w:rPr>
              <w:t>南部回填区</w:t>
            </w:r>
            <w:r>
              <w:rPr>
                <w:rFonts w:hint="eastAsia"/>
                <w:color w:val="000000" w:themeColor="text1"/>
                <w14:textFill>
                  <w14:solidFill>
                    <w14:schemeClr w14:val="tx1"/>
                  </w14:solidFill>
                </w14:textFill>
              </w:rPr>
              <w:t>设置一个</w:t>
            </w:r>
            <w:r>
              <w:rPr>
                <w:rFonts w:hint="eastAsia"/>
                <w:color w:val="000000" w:themeColor="text1"/>
                <w:lang w:val="en-US" w:eastAsia="zh-CN"/>
                <w14:textFill>
                  <w14:solidFill>
                    <w14:schemeClr w14:val="tx1"/>
                  </w14:solidFill>
                </w14:textFill>
              </w:rPr>
              <w:t>425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w:t>
            </w:r>
            <w:r>
              <w:rPr>
                <w:rFonts w:hint="eastAsia"/>
                <w:color w:val="000000" w:themeColor="text1"/>
                <w:lang w:val="en-US" w:eastAsia="zh-CN"/>
                <w14:textFill>
                  <w14:solidFill>
                    <w14:schemeClr w14:val="tx1"/>
                  </w14:solidFill>
                </w14:textFill>
              </w:rPr>
              <w:t>渗滤液收集池</w:t>
            </w:r>
            <w:r>
              <w:rPr>
                <w:rFonts w:hint="eastAsia"/>
                <w:color w:val="000000" w:themeColor="text1"/>
                <w14:textFill>
                  <w14:solidFill>
                    <w14:schemeClr w14:val="tx1"/>
                  </w14:solidFill>
                </w14:textFill>
              </w:rPr>
              <w:t>，</w:t>
            </w:r>
            <w:r>
              <w:rPr>
                <w:rFonts w:hint="eastAsia"/>
                <w:color w:val="000000" w:themeColor="text1"/>
                <w:lang w:val="en-US" w:eastAsia="zh-CN"/>
                <w14:textFill>
                  <w14:solidFill>
                    <w14:schemeClr w14:val="tx1"/>
                  </w14:solidFill>
                </w14:textFill>
              </w:rPr>
              <w:t>2个50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lang w:val="en-US" w:eastAsia="zh-CN"/>
                <w14:textFill>
                  <w14:solidFill>
                    <w14:schemeClr w14:val="tx1"/>
                  </w14:solidFill>
                </w14:textFill>
              </w:rPr>
              <w:t>雨水收集池</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在</w:t>
            </w:r>
            <w:r>
              <w:rPr>
                <w:rFonts w:hint="eastAsia"/>
                <w:color w:val="000000" w:themeColor="text1"/>
                <w:lang w:val="en-US" w:eastAsia="zh-CN"/>
                <w14:textFill>
                  <w14:solidFill>
                    <w14:schemeClr w14:val="tx1"/>
                  </w14:solidFill>
                </w14:textFill>
              </w:rPr>
              <w:t>北部回填区</w:t>
            </w:r>
            <w:r>
              <w:rPr>
                <w:rFonts w:hint="eastAsia"/>
                <w:color w:val="000000" w:themeColor="text1"/>
                <w14:textFill>
                  <w14:solidFill>
                    <w14:schemeClr w14:val="tx1"/>
                  </w14:solidFill>
                </w14:textFill>
              </w:rPr>
              <w:t>设置一个</w:t>
            </w:r>
            <w:r>
              <w:rPr>
                <w:rFonts w:hint="eastAsia"/>
                <w:color w:val="000000" w:themeColor="text1"/>
                <w:lang w:val="en-US" w:eastAsia="zh-CN"/>
                <w14:textFill>
                  <w14:solidFill>
                    <w14:schemeClr w14:val="tx1"/>
                  </w14:solidFill>
                </w14:textFill>
              </w:rPr>
              <w:t>410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的回用水池，</w:t>
            </w:r>
            <w:r>
              <w:rPr>
                <w:rFonts w:hint="eastAsia"/>
                <w:color w:val="000000" w:themeColor="text1"/>
                <w:lang w:val="en-US" w:eastAsia="zh-CN"/>
                <w14:textFill>
                  <w14:solidFill>
                    <w14:schemeClr w14:val="tx1"/>
                  </w14:solidFill>
                </w14:textFill>
              </w:rPr>
              <w:t>2个60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lang w:val="en-US" w:eastAsia="zh-CN"/>
                <w14:textFill>
                  <w14:solidFill>
                    <w14:schemeClr w14:val="tx1"/>
                  </w14:solidFill>
                </w14:textFill>
              </w:rPr>
              <w:t>雨水收集池</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用来收集降雨天地表径流和渗滤液收集井容纳不完的渗滤液，根据核算项目</w:t>
            </w:r>
            <w:r>
              <w:rPr>
                <w:rFonts w:hint="eastAsia"/>
                <w:color w:val="000000" w:themeColor="text1"/>
                <w:lang w:val="en-US" w:eastAsia="zh-CN"/>
                <w14:textFill>
                  <w14:solidFill>
                    <w14:schemeClr w14:val="tx1"/>
                  </w14:solidFill>
                </w14:textFill>
              </w:rPr>
              <w:t>南部回填区</w:t>
            </w:r>
            <w:r>
              <w:rPr>
                <w:rFonts w:hint="eastAsia"/>
                <w:color w:val="000000" w:themeColor="text1"/>
                <w14:textFill>
                  <w14:solidFill>
                    <w14:schemeClr w14:val="tx1"/>
                  </w14:solidFill>
                </w14:textFill>
              </w:rPr>
              <w:t>地表径流量为</w:t>
            </w:r>
            <w:r>
              <w:rPr>
                <w:rFonts w:hint="eastAsia"/>
                <w:color w:val="000000" w:themeColor="text1"/>
                <w:lang w:val="en-US" w:eastAsia="zh-CN"/>
                <w14:textFill>
                  <w14:solidFill>
                    <w14:schemeClr w14:val="tx1"/>
                  </w14:solidFill>
                </w14:textFill>
              </w:rPr>
              <w:t>99.42</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w:t>
            </w:r>
            <w:r>
              <w:rPr>
                <w:rFonts w:hint="eastAsia"/>
                <w:color w:val="000000" w:themeColor="text1"/>
                <w:lang w:val="en-US" w:eastAsia="zh-CN"/>
                <w14:textFill>
                  <w14:solidFill>
                    <w14:schemeClr w14:val="tx1"/>
                  </w14:solidFill>
                </w14:textFill>
              </w:rPr>
              <w:t>北部回填区</w:t>
            </w:r>
            <w:r>
              <w:rPr>
                <w:rFonts w:hint="eastAsia"/>
                <w:color w:val="000000" w:themeColor="text1"/>
                <w14:textFill>
                  <w14:solidFill>
                    <w14:schemeClr w14:val="tx1"/>
                  </w14:solidFill>
                </w14:textFill>
              </w:rPr>
              <w:t>地表径流量为</w:t>
            </w:r>
            <w:r>
              <w:rPr>
                <w:rFonts w:hint="eastAsia"/>
                <w:color w:val="000000" w:themeColor="text1"/>
                <w:lang w:val="en-US" w:eastAsia="zh-CN"/>
                <w14:textFill>
                  <w14:solidFill>
                    <w14:schemeClr w14:val="tx1"/>
                  </w14:solidFill>
                </w14:textFill>
              </w:rPr>
              <w:t>106.59</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/d，渗滤液收集池容积可以容纳连续降雨7天产生的渗滤液</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地表径流在雨水收集池暂存后，后期雨水延排水沟外排。</w:t>
            </w:r>
          </w:p>
          <w:p w14:paraId="476E0BDA">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本项目渗滤液水质类比《宣威市落水镇白路采砂场历史遗留矿山生态修复治理项目环境影响报告表》中渗滤液水质，“宣威市落水镇白路采砂场历史遗留矿山生态修复治理项目”采用改性磷石膏对</w:t>
            </w:r>
            <w:r>
              <w:rPr>
                <w:rFonts w:hint="eastAsia" w:ascii="宋体" w:hAnsi="宋体" w:cs="宋体"/>
                <w:color w:val="000000" w:themeColor="text1"/>
                <w:kern w:val="0"/>
                <w:lang w:bidi="ar"/>
                <w14:textFill>
                  <w14:solidFill>
                    <w14:schemeClr w14:val="tx1"/>
                  </w14:solidFill>
                </w14:textFill>
              </w:rPr>
              <w:t>宣威市落水镇白路采砂厂历史遗留矿山进行回填修复，</w:t>
            </w:r>
            <w:r>
              <w:rPr>
                <w:rFonts w:hint="eastAsia"/>
                <w:color w:val="000000" w:themeColor="text1"/>
                <w14:textFill>
                  <w14:solidFill>
                    <w14:schemeClr w14:val="tx1"/>
                  </w14:solidFill>
                </w14:textFill>
              </w:rPr>
              <w:t>回填量约33.39万m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；本项目采用改性磷石膏修复材料对大旋塘采石场废弃矿坑进行修复，回填量</w:t>
            </w:r>
            <w:r>
              <w:rPr>
                <w:rFonts w:hint="eastAsia"/>
                <w:color w:val="000000" w:themeColor="text1"/>
                <w:lang w:val="en-US" w:eastAsia="zh-CN"/>
                <w14:textFill>
                  <w14:solidFill>
                    <w14:schemeClr w14:val="tx1"/>
                  </w14:solidFill>
                </w14:textFill>
              </w:rPr>
              <w:t>253.673</w:t>
            </w:r>
            <w:r>
              <w:rPr>
                <w:rFonts w:hint="eastAsia"/>
                <w:color w:val="000000" w:themeColor="text1"/>
                <w14:textFill>
                  <w14:solidFill>
                    <w14:schemeClr w14:val="tx1"/>
                  </w14:solidFill>
                </w14:textFill>
              </w:rPr>
              <w:t>万m</w:t>
            </w:r>
            <w:r>
              <w:rPr>
                <w:rFonts w:hint="eastAsia"/>
                <w:color w:val="000000" w:themeColor="text1"/>
                <w:vertAlign w:val="superscript"/>
                <w14:textFill>
                  <w14:solidFill>
                    <w14:schemeClr w14:val="tx1"/>
                  </w14:solidFill>
                </w14:textFill>
              </w:rPr>
              <w:t>3</w:t>
            </w:r>
            <w:r>
              <w:rPr>
                <w:rFonts w:hint="eastAsia"/>
                <w:color w:val="000000" w:themeColor="text1"/>
                <w:kern w:val="0"/>
                <w:lang w:bidi="ar"/>
                <w14:textFill>
                  <w14:solidFill>
                    <w14:schemeClr w14:val="tx1"/>
                  </w14:solidFill>
                </w14:textFill>
              </w:rPr>
              <w:t>（</w:t>
            </w:r>
            <w:r>
              <w:rPr>
                <w:rFonts w:hint="eastAsia"/>
                <w:color w:val="000000" w:themeColor="text1"/>
                <w:kern w:val="0"/>
                <w:lang w:val="en-US" w:eastAsia="zh-CN" w:bidi="ar"/>
                <w14:textFill>
                  <w14:solidFill>
                    <w14:schemeClr w14:val="tx1"/>
                  </w14:solidFill>
                </w14:textFill>
              </w:rPr>
              <w:t>215.622</w:t>
            </w:r>
            <w:r>
              <w:rPr>
                <w:rFonts w:hint="eastAsia"/>
                <w:color w:val="000000" w:themeColor="text1"/>
                <w:kern w:val="0"/>
                <w:lang w:bidi="ar"/>
                <w14:textFill>
                  <w14:solidFill>
                    <w14:schemeClr w14:val="tx1"/>
                  </w14:solidFill>
                </w14:textFill>
              </w:rPr>
              <w:t>万吨）</w:t>
            </w:r>
            <w:r>
              <w:rPr>
                <w:rFonts w:hint="eastAsia"/>
                <w:color w:val="000000" w:themeColor="text1"/>
                <w14:textFill>
                  <w14:solidFill>
                    <w14:schemeClr w14:val="tx1"/>
                  </w14:solidFill>
                </w14:textFill>
              </w:rPr>
              <w:t>，项目生态修复类型一致，采用修复材料都为改性磷石膏，“宣威市落水镇白路采砂场历史遗留矿山生态修复治理项目”改性磷石膏采</w:t>
            </w:r>
            <w:r>
              <w:rPr>
                <w:rFonts w:hint="eastAsia" w:ascii="宋体" w:hAnsi="宋体" w:cs="宋体"/>
                <w:color w:val="000000" w:themeColor="text1"/>
                <w:kern w:val="0"/>
                <w:lang w:bidi="ar"/>
                <w14:textFill>
                  <w14:solidFill>
                    <w14:schemeClr w14:val="tx1"/>
                  </w14:solidFill>
                </w14:textFill>
              </w:rPr>
              <w:t>用石灰乳和磷石膏中可溶性</w:t>
            </w:r>
            <w:r>
              <w:rPr>
                <w:color w:val="000000" w:themeColor="text1"/>
                <w:kern w:val="0"/>
                <w:lang w:bidi="ar"/>
                <w14:textFill>
                  <w14:solidFill>
                    <w14:schemeClr w14:val="tx1"/>
                  </w14:solidFill>
                </w14:textFill>
              </w:rPr>
              <w:t>P</w:t>
            </w:r>
            <w:r>
              <w:rPr>
                <w:color w:val="000000" w:themeColor="text1"/>
                <w:kern w:val="0"/>
                <w:sz w:val="15"/>
                <w:szCs w:val="15"/>
                <w:lang w:bidi="ar"/>
                <w14:textFill>
                  <w14:solidFill>
                    <w14:schemeClr w14:val="tx1"/>
                  </w14:solidFill>
                </w14:textFill>
              </w:rPr>
              <w:t>2</w:t>
            </w:r>
            <w:r>
              <w:rPr>
                <w:color w:val="000000" w:themeColor="text1"/>
                <w:kern w:val="0"/>
                <w:lang w:bidi="ar"/>
                <w14:textFill>
                  <w14:solidFill>
                    <w14:schemeClr w14:val="tx1"/>
                  </w14:solidFill>
                </w14:textFill>
              </w:rPr>
              <w:t>O</w:t>
            </w:r>
            <w:r>
              <w:rPr>
                <w:color w:val="000000" w:themeColor="text1"/>
                <w:kern w:val="0"/>
                <w:sz w:val="15"/>
                <w:szCs w:val="15"/>
                <w:lang w:bidi="ar"/>
                <w14:textFill>
                  <w14:solidFill>
                    <w14:schemeClr w14:val="tx1"/>
                  </w14:solidFill>
                </w14:textFill>
              </w:rPr>
              <w:t>5</w:t>
            </w:r>
            <w:r>
              <w:rPr>
                <w:rFonts w:hint="eastAsia" w:ascii="宋体" w:hAnsi="宋体" w:cs="宋体"/>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F</w:t>
            </w:r>
            <w:r>
              <w:rPr>
                <w:rFonts w:hint="eastAsia" w:ascii="宋体" w:hAnsi="宋体" w:cs="宋体"/>
                <w:color w:val="000000" w:themeColor="text1"/>
                <w:kern w:val="0"/>
                <w:lang w:bidi="ar"/>
                <w14:textFill>
                  <w14:solidFill>
                    <w14:schemeClr w14:val="tx1"/>
                  </w14:solidFill>
                </w14:textFill>
              </w:rPr>
              <w:t>发生反应生成磷酸钙、氟化钙等不溶性物质，进而去除可溶磷和氟</w:t>
            </w:r>
            <w:r>
              <w:rPr>
                <w:rFonts w:hint="eastAsia"/>
                <w:color w:val="000000" w:themeColor="text1"/>
                <w14:textFill>
                  <w14:solidFill>
                    <w14:schemeClr w14:val="tx1"/>
                  </w14:solidFill>
                </w14:textFill>
              </w:rPr>
              <w:t>，本项目改性磷石膏采用生石灰</w:t>
            </w:r>
            <w:r>
              <w:rPr>
                <w:color w:val="000000" w:themeColor="text1"/>
                <w14:textFill>
                  <w14:solidFill>
                    <w14:schemeClr w14:val="tx1"/>
                  </w14:solidFill>
                </w14:textFill>
              </w:rPr>
              <w:t>与磷石膏游离水中的磷酸、可溶磷酸盐及氟离子等经化学反应生成难溶化合物，从而被固定为固态形式。</w:t>
            </w:r>
            <w:r>
              <w:rPr>
                <w:rFonts w:hint="eastAsia"/>
                <w:color w:val="000000" w:themeColor="text1"/>
                <w14:textFill>
                  <w14:solidFill>
                    <w14:schemeClr w14:val="tx1"/>
                  </w14:solidFill>
                </w14:textFill>
              </w:rPr>
              <w:t>改性磷石膏改性工艺类似，因此类比可行。</w:t>
            </w:r>
          </w:p>
          <w:p w14:paraId="0185A5F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类比项目污染物及浓度见下表。</w:t>
            </w:r>
          </w:p>
          <w:p w14:paraId="4CEDFFE3">
            <w:pPr>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表4-3</w:t>
            </w:r>
            <w:r>
              <w:rPr>
                <w:rFonts w:hint="eastAsia"/>
                <w:b/>
                <w:bCs/>
                <w:color w:val="000000" w:themeColor="text1"/>
                <w:sz w:val="24"/>
                <w:szCs w:val="24"/>
                <w:lang w:val="en-US" w:eastAsia="zh-CN"/>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类比渗滤液污染物及浓度</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52"/>
              <w:gridCol w:w="1954"/>
              <w:gridCol w:w="1958"/>
              <w:gridCol w:w="1958"/>
            </w:tblGrid>
            <w:tr w14:paraId="0DE852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1" w:type="dxa"/>
                </w:tcPr>
                <w:p w14:paraId="1B20F149">
                  <w:pPr>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污染物名称</w:t>
                  </w:r>
                </w:p>
              </w:tc>
              <w:tc>
                <w:tcPr>
                  <w:tcW w:w="1962" w:type="dxa"/>
                </w:tcPr>
                <w:p w14:paraId="4DA73903">
                  <w:pPr>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pH（无量纲）</w:t>
                  </w:r>
                </w:p>
              </w:tc>
              <w:tc>
                <w:tcPr>
                  <w:tcW w:w="1963" w:type="dxa"/>
                </w:tcPr>
                <w:p w14:paraId="7E384456">
                  <w:pPr>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氟化物（mg/L）</w:t>
                  </w:r>
                </w:p>
              </w:tc>
              <w:tc>
                <w:tcPr>
                  <w:tcW w:w="1963" w:type="dxa"/>
                </w:tcPr>
                <w:p w14:paraId="3CEA600D">
                  <w:pPr>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总磷（mg/L）</w:t>
                  </w:r>
                </w:p>
              </w:tc>
            </w:tr>
            <w:tr w14:paraId="7B524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61" w:type="dxa"/>
                </w:tcPr>
                <w:p w14:paraId="4244BDD9">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污染物浓度</w:t>
                  </w:r>
                </w:p>
              </w:tc>
              <w:tc>
                <w:tcPr>
                  <w:tcW w:w="1962" w:type="dxa"/>
                </w:tcPr>
                <w:p w14:paraId="2223B6D2">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7.82</w:t>
                  </w:r>
                </w:p>
              </w:tc>
              <w:tc>
                <w:tcPr>
                  <w:tcW w:w="1963" w:type="dxa"/>
                </w:tcPr>
                <w:p w14:paraId="2B437AC8">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0.326</w:t>
                  </w:r>
                </w:p>
              </w:tc>
              <w:tc>
                <w:tcPr>
                  <w:tcW w:w="1963" w:type="dxa"/>
                </w:tcPr>
                <w:p w14:paraId="5F777913">
                  <w:pPr>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0.05</w:t>
                  </w:r>
                </w:p>
              </w:tc>
            </w:tr>
          </w:tbl>
          <w:p w14:paraId="6D18F71A">
            <w:pPr>
              <w:spacing w:line="240" w:lineRule="auto"/>
              <w:ind w:firstLine="0" w:firstLineChars="0"/>
              <w:jc w:val="center"/>
              <w:rPr>
                <w:b/>
                <w:bCs/>
                <w:color w:val="000000" w:themeColor="text1"/>
                <w:sz w:val="21"/>
                <w:szCs w:val="21"/>
                <w14:textFill>
                  <w14:solidFill>
                    <w14:schemeClr w14:val="tx1"/>
                  </w14:solidFill>
                </w14:textFill>
              </w:rPr>
            </w:pPr>
          </w:p>
          <w:p w14:paraId="3581B9AD">
            <w:pPr>
              <w:adjustRightInd w:val="0"/>
              <w:snapToGrid w:val="0"/>
              <w:ind w:firstLine="482"/>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2）</w:t>
            </w:r>
            <w:r>
              <w:rPr>
                <w:rFonts w:hint="eastAsia"/>
                <w:b/>
                <w:bCs/>
                <w:color w:val="000000" w:themeColor="text1"/>
                <w14:textFill>
                  <w14:solidFill>
                    <w14:schemeClr w14:val="tx1"/>
                  </w14:solidFill>
                </w14:textFill>
              </w:rPr>
              <w:t>施工废水</w:t>
            </w:r>
          </w:p>
          <w:p w14:paraId="6DB8B6C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项目施工废水主要为施工车辆进出冲洗废水、混凝土养护废水。施工车辆冲洗用水量为2m³</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，废水量按80%计，则施工车辆冲洗废水产生量约为1.6m³</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，废水主要为</w:t>
            </w:r>
            <w:r>
              <w:rPr>
                <w:color w:val="000000" w:themeColor="text1"/>
                <w14:textFill>
                  <w14:solidFill>
                    <w14:schemeClr w14:val="tx1"/>
                  </w14:solidFill>
                </w14:textFill>
              </w:rPr>
              <w:t>SS</w:t>
            </w:r>
            <w:r>
              <w:rPr>
                <w:rFonts w:hint="eastAsia"/>
                <w:color w:val="000000" w:themeColor="text1"/>
                <w14:textFill>
                  <w14:solidFill>
                    <w14:schemeClr w14:val="tx1"/>
                  </w14:solidFill>
                </w14:textFill>
              </w:rPr>
              <w:t>，项目混凝土养护用水约2m³</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，混凝土养护废水为自然蒸发，施工车辆冲废水经3m³的临时沉淀池收集沉淀处理后回用于场地洒水降尘，不外排。</w:t>
            </w:r>
          </w:p>
          <w:p w14:paraId="57D1956E">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3）洒水降尘用水</w:t>
            </w:r>
          </w:p>
          <w:p w14:paraId="4956024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在进行生态修复过程中，须对扰动地表、运输道路等现状易起尘的裸露地表进行洒水降尘，该部分水量经自然蒸发，无废水产生。</w:t>
            </w:r>
          </w:p>
          <w:p w14:paraId="02FA069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根据《云南省地方标准用水定额》（2019年版），洒水降尘用水量取</w:t>
            </w:r>
            <w:r>
              <w:rPr>
                <w:color w:val="000000" w:themeColor="text1"/>
                <w14:textFill>
                  <w14:solidFill>
                    <w14:schemeClr w14:val="tx1"/>
                  </w14:solidFill>
                </w14:textFill>
              </w:rPr>
              <w:t>2L/</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次，根据计算，生态修复区每年需洒水降尘区域及洒水量见下表。根据气象统计资料，项目所在地非雨天约201天。</w:t>
            </w:r>
          </w:p>
          <w:p w14:paraId="79F528C6">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项目洒水降尘用水优先采用渗滤液、雨天收集的地表径流进行洒水降尘，不够的部分由洒水车直接运输至拟用水区进行洒水降尘。</w:t>
            </w:r>
          </w:p>
          <w:p w14:paraId="3DC9CCA4">
            <w:pPr>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表4-4</w:t>
            </w:r>
            <w:r>
              <w:rPr>
                <w:rFonts w:hint="eastAsia"/>
                <w:b/>
                <w:bCs/>
                <w:color w:val="000000" w:themeColor="text1"/>
                <w:sz w:val="24"/>
                <w:szCs w:val="24"/>
                <w:lang w:val="en-US" w:eastAsia="zh-CN"/>
                <w14:textFill>
                  <w14:solidFill>
                    <w14:schemeClr w14:val="tx1"/>
                  </w14:solidFill>
                </w14:textFill>
              </w:rPr>
              <w:t xml:space="preserve">  </w:t>
            </w:r>
            <w:r>
              <w:rPr>
                <w:rFonts w:hint="eastAsia"/>
                <w:b/>
                <w:bCs/>
                <w:color w:val="000000" w:themeColor="text1"/>
                <w:sz w:val="24"/>
                <w:szCs w:val="24"/>
                <w14:textFill>
                  <w14:solidFill>
                    <w14:schemeClr w14:val="tx1"/>
                  </w14:solidFill>
                </w14:textFill>
              </w:rPr>
              <w:t>项目对各作业单元洒水降尘用水量一览表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947"/>
              <w:gridCol w:w="1960"/>
              <w:gridCol w:w="1949"/>
              <w:gridCol w:w="1966"/>
            </w:tblGrid>
            <w:tr w14:paraId="39D33C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dxa"/>
                </w:tcPr>
                <w:p w14:paraId="7B57F658">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用水区</w:t>
                  </w:r>
                </w:p>
              </w:tc>
              <w:tc>
                <w:tcPr>
                  <w:tcW w:w="1964" w:type="dxa"/>
                </w:tcPr>
                <w:p w14:paraId="4FEA7488">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洒水面积/㎡</w:t>
                  </w:r>
                </w:p>
              </w:tc>
              <w:tc>
                <w:tcPr>
                  <w:tcW w:w="1954" w:type="dxa"/>
                </w:tcPr>
                <w:p w14:paraId="43A55883">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平均洒水频次/次/d</w:t>
                  </w:r>
                </w:p>
              </w:tc>
              <w:tc>
                <w:tcPr>
                  <w:tcW w:w="1970" w:type="dxa"/>
                </w:tcPr>
                <w:p w14:paraId="74541BA8">
                  <w:pPr>
                    <w:pStyle w:val="64"/>
                    <w:spacing w:beforeLines="0" w:afterLines="0" w:line="240" w:lineRule="auto"/>
                    <w:ind w:firstLine="0" w:firstLineChars="0"/>
                    <w:rPr>
                      <w:rFonts w:ascii="Times New Roman"/>
                      <w:b/>
                      <w:bCs/>
                      <w:color w:val="000000" w:themeColor="text1"/>
                      <w:sz w:val="21"/>
                      <w14:textFill>
                        <w14:solidFill>
                          <w14:schemeClr w14:val="tx1"/>
                        </w14:solidFill>
                      </w14:textFill>
                    </w:rPr>
                  </w:pPr>
                  <w:r>
                    <w:rPr>
                      <w:rFonts w:hint="eastAsia" w:ascii="Times New Roman"/>
                      <w:b/>
                      <w:bCs/>
                      <w:color w:val="000000" w:themeColor="text1"/>
                      <w:sz w:val="21"/>
                      <w14:textFill>
                        <w14:solidFill>
                          <w14:schemeClr w14:val="tx1"/>
                        </w14:solidFill>
                      </w14:textFill>
                    </w:rPr>
                    <w:t>洒水量/m³/d</w:t>
                  </w:r>
                </w:p>
              </w:tc>
            </w:tr>
            <w:tr w14:paraId="7898D5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dxa"/>
                </w:tcPr>
                <w:p w14:paraId="6008796A">
                  <w:pPr>
                    <w:pStyle w:val="64"/>
                    <w:spacing w:beforeLines="0" w:afterLines="0" w:line="240" w:lineRule="auto"/>
                    <w:ind w:firstLine="0" w:firstLineChars="0"/>
                    <w:rPr>
                      <w:rFonts w:ascii="Times New Roman"/>
                      <w:color w:val="000000" w:themeColor="text1"/>
                      <w:sz w:val="21"/>
                      <w14:textFill>
                        <w14:solidFill>
                          <w14:schemeClr w14:val="tx1"/>
                        </w14:solidFill>
                      </w14:textFill>
                    </w:rPr>
                  </w:pPr>
                  <w:r>
                    <w:rPr>
                      <w:rFonts w:hint="eastAsia" w:ascii="Times New Roman"/>
                      <w:color w:val="000000" w:themeColor="text1"/>
                      <w:sz w:val="21"/>
                      <w14:textFill>
                        <w14:solidFill>
                          <w14:schemeClr w14:val="tx1"/>
                        </w14:solidFill>
                      </w14:textFill>
                    </w:rPr>
                    <w:t>作业区</w:t>
                  </w:r>
                </w:p>
              </w:tc>
              <w:tc>
                <w:tcPr>
                  <w:tcW w:w="1964" w:type="dxa"/>
                </w:tcPr>
                <w:p w14:paraId="41A48049">
                  <w:pPr>
                    <w:pStyle w:val="64"/>
                    <w:spacing w:beforeLines="0" w:afterLines="0" w:line="240" w:lineRule="auto"/>
                    <w:ind w:firstLine="0" w:firstLineChars="0"/>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50000</w:t>
                  </w:r>
                </w:p>
              </w:tc>
              <w:tc>
                <w:tcPr>
                  <w:tcW w:w="1954" w:type="dxa"/>
                </w:tcPr>
                <w:p w14:paraId="5235840E">
                  <w:pPr>
                    <w:pStyle w:val="64"/>
                    <w:spacing w:beforeLines="0" w:afterLines="0" w:line="240" w:lineRule="auto"/>
                    <w:ind w:firstLine="0" w:firstLineChars="0"/>
                    <w:rPr>
                      <w:rFonts w:ascii="Times New Roman"/>
                      <w:color w:val="000000" w:themeColor="text1"/>
                      <w:sz w:val="21"/>
                      <w14:textFill>
                        <w14:solidFill>
                          <w14:schemeClr w14:val="tx1"/>
                        </w14:solidFill>
                      </w14:textFill>
                    </w:rPr>
                  </w:pPr>
                  <w:r>
                    <w:rPr>
                      <w:rFonts w:hint="eastAsia" w:ascii="Times New Roman"/>
                      <w:color w:val="000000" w:themeColor="text1"/>
                      <w:sz w:val="21"/>
                      <w14:textFill>
                        <w14:solidFill>
                          <w14:schemeClr w14:val="tx1"/>
                        </w14:solidFill>
                      </w14:textFill>
                    </w:rPr>
                    <w:t>3</w:t>
                  </w:r>
                </w:p>
              </w:tc>
              <w:tc>
                <w:tcPr>
                  <w:tcW w:w="1970" w:type="dxa"/>
                </w:tcPr>
                <w:p w14:paraId="1F1E3416">
                  <w:pPr>
                    <w:pStyle w:val="64"/>
                    <w:spacing w:beforeLines="0" w:afterLines="0" w:line="240" w:lineRule="auto"/>
                    <w:ind w:firstLine="0" w:firstLineChars="0"/>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300</w:t>
                  </w:r>
                </w:p>
              </w:tc>
            </w:tr>
            <w:tr w14:paraId="00428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dxa"/>
                </w:tcPr>
                <w:p w14:paraId="2A32C043">
                  <w:pPr>
                    <w:pStyle w:val="64"/>
                    <w:spacing w:beforeLines="0" w:afterLines="0" w:line="240" w:lineRule="auto"/>
                    <w:ind w:firstLine="0" w:firstLineChars="0"/>
                    <w:rPr>
                      <w:rFonts w:ascii="Times New Roman"/>
                      <w:color w:val="000000" w:themeColor="text1"/>
                      <w:sz w:val="21"/>
                      <w14:textFill>
                        <w14:solidFill>
                          <w14:schemeClr w14:val="tx1"/>
                        </w14:solidFill>
                      </w14:textFill>
                    </w:rPr>
                  </w:pPr>
                  <w:r>
                    <w:rPr>
                      <w:rFonts w:hint="eastAsia" w:ascii="Times New Roman"/>
                      <w:color w:val="000000" w:themeColor="text1"/>
                      <w:sz w:val="21"/>
                      <w14:textFill>
                        <w14:solidFill>
                          <w14:schemeClr w14:val="tx1"/>
                        </w14:solidFill>
                      </w14:textFill>
                    </w:rPr>
                    <w:t>运输区</w:t>
                  </w:r>
                </w:p>
              </w:tc>
              <w:tc>
                <w:tcPr>
                  <w:tcW w:w="1964" w:type="dxa"/>
                </w:tcPr>
                <w:p w14:paraId="32D04CD6">
                  <w:pPr>
                    <w:pStyle w:val="64"/>
                    <w:spacing w:beforeLines="0" w:afterLines="0" w:line="240" w:lineRule="auto"/>
                    <w:ind w:firstLine="0" w:firstLineChars="0"/>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4000</w:t>
                  </w:r>
                </w:p>
              </w:tc>
              <w:tc>
                <w:tcPr>
                  <w:tcW w:w="1954" w:type="dxa"/>
                </w:tcPr>
                <w:p w14:paraId="7AC7BC83">
                  <w:pPr>
                    <w:pStyle w:val="64"/>
                    <w:spacing w:beforeLines="0" w:afterLines="0" w:line="240" w:lineRule="auto"/>
                    <w:ind w:firstLine="0" w:firstLineChars="0"/>
                    <w:rPr>
                      <w:rFonts w:ascii="Times New Roman"/>
                      <w:color w:val="000000" w:themeColor="text1"/>
                      <w:sz w:val="21"/>
                      <w14:textFill>
                        <w14:solidFill>
                          <w14:schemeClr w14:val="tx1"/>
                        </w14:solidFill>
                      </w14:textFill>
                    </w:rPr>
                  </w:pPr>
                  <w:r>
                    <w:rPr>
                      <w:rFonts w:hint="eastAsia" w:ascii="Times New Roman"/>
                      <w:color w:val="000000" w:themeColor="text1"/>
                      <w:sz w:val="21"/>
                      <w14:textFill>
                        <w14:solidFill>
                          <w14:schemeClr w14:val="tx1"/>
                        </w14:solidFill>
                      </w14:textFill>
                    </w:rPr>
                    <w:t>3</w:t>
                  </w:r>
                </w:p>
              </w:tc>
              <w:tc>
                <w:tcPr>
                  <w:tcW w:w="1970" w:type="dxa"/>
                </w:tcPr>
                <w:p w14:paraId="61A12E9B">
                  <w:pPr>
                    <w:pStyle w:val="64"/>
                    <w:spacing w:beforeLines="0" w:afterLines="0" w:line="240" w:lineRule="auto"/>
                    <w:ind w:firstLine="0" w:firstLineChars="0"/>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24</w:t>
                  </w:r>
                </w:p>
              </w:tc>
            </w:tr>
            <w:tr w14:paraId="0B953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3" w:type="dxa"/>
                </w:tcPr>
                <w:p w14:paraId="4A27A65A">
                  <w:pPr>
                    <w:pStyle w:val="64"/>
                    <w:spacing w:beforeLines="0" w:afterLines="0" w:line="240" w:lineRule="auto"/>
                    <w:ind w:firstLine="0" w:firstLineChars="0"/>
                    <w:rPr>
                      <w:rFonts w:ascii="Times New Roman"/>
                      <w:color w:val="000000" w:themeColor="text1"/>
                      <w:sz w:val="21"/>
                      <w14:textFill>
                        <w14:solidFill>
                          <w14:schemeClr w14:val="tx1"/>
                        </w14:solidFill>
                      </w14:textFill>
                    </w:rPr>
                  </w:pPr>
                  <w:r>
                    <w:rPr>
                      <w:rFonts w:hint="eastAsia" w:ascii="Times New Roman"/>
                      <w:color w:val="000000" w:themeColor="text1"/>
                      <w:sz w:val="21"/>
                      <w14:textFill>
                        <w14:solidFill>
                          <w14:schemeClr w14:val="tx1"/>
                        </w14:solidFill>
                      </w14:textFill>
                    </w:rPr>
                    <w:t>合计</w:t>
                  </w:r>
                </w:p>
              </w:tc>
              <w:tc>
                <w:tcPr>
                  <w:tcW w:w="1964" w:type="dxa"/>
                </w:tcPr>
                <w:p w14:paraId="6B94F053">
                  <w:pPr>
                    <w:pStyle w:val="64"/>
                    <w:spacing w:beforeLines="0" w:afterLines="0" w:line="240" w:lineRule="auto"/>
                    <w:ind w:firstLine="0" w:firstLineChars="0"/>
                    <w:rPr>
                      <w:rFonts w:ascii="Times New Roman"/>
                      <w:color w:val="000000" w:themeColor="text1"/>
                      <w:sz w:val="21"/>
                      <w14:textFill>
                        <w14:solidFill>
                          <w14:schemeClr w14:val="tx1"/>
                        </w14:solidFill>
                      </w14:textFill>
                    </w:rPr>
                  </w:pPr>
                  <w:r>
                    <w:rPr>
                      <w:rFonts w:hint="eastAsia" w:ascii="Times New Roman"/>
                      <w:color w:val="000000" w:themeColor="text1"/>
                      <w:sz w:val="21"/>
                      <w14:textFill>
                        <w14:solidFill>
                          <w14:schemeClr w14:val="tx1"/>
                        </w14:solidFill>
                      </w14:textFill>
                    </w:rPr>
                    <w:t>/</w:t>
                  </w:r>
                </w:p>
              </w:tc>
              <w:tc>
                <w:tcPr>
                  <w:tcW w:w="1954" w:type="dxa"/>
                </w:tcPr>
                <w:p w14:paraId="5D8D08A5">
                  <w:pPr>
                    <w:pStyle w:val="64"/>
                    <w:spacing w:beforeLines="0" w:afterLines="0" w:line="240" w:lineRule="auto"/>
                    <w:ind w:firstLine="0" w:firstLineChars="0"/>
                    <w:rPr>
                      <w:rFonts w:ascii="Times New Roman"/>
                      <w:color w:val="000000" w:themeColor="text1"/>
                      <w:sz w:val="21"/>
                      <w14:textFill>
                        <w14:solidFill>
                          <w14:schemeClr w14:val="tx1"/>
                        </w14:solidFill>
                      </w14:textFill>
                    </w:rPr>
                  </w:pPr>
                  <w:r>
                    <w:rPr>
                      <w:rFonts w:hint="eastAsia" w:ascii="Times New Roman"/>
                      <w:color w:val="000000" w:themeColor="text1"/>
                      <w:sz w:val="21"/>
                      <w14:textFill>
                        <w14:solidFill>
                          <w14:schemeClr w14:val="tx1"/>
                        </w14:solidFill>
                      </w14:textFill>
                    </w:rPr>
                    <w:t>/</w:t>
                  </w:r>
                </w:p>
              </w:tc>
              <w:tc>
                <w:tcPr>
                  <w:tcW w:w="1970" w:type="dxa"/>
                </w:tcPr>
                <w:p w14:paraId="36927F57">
                  <w:pPr>
                    <w:pStyle w:val="64"/>
                    <w:spacing w:beforeLines="0" w:afterLines="0" w:line="240" w:lineRule="auto"/>
                    <w:ind w:firstLine="0" w:firstLineChars="0"/>
                    <w:rPr>
                      <w:rFonts w:hint="default" w:ascii="Times New Roman" w:eastAsia="宋体"/>
                      <w:color w:val="000000" w:themeColor="text1"/>
                      <w:sz w:val="21"/>
                      <w:lang w:val="en-US" w:eastAsia="zh-CN"/>
                      <w14:textFill>
                        <w14:solidFill>
                          <w14:schemeClr w14:val="tx1"/>
                        </w14:solidFill>
                      </w14:textFill>
                    </w:rPr>
                  </w:pPr>
                  <w:r>
                    <w:rPr>
                      <w:rFonts w:hint="eastAsia" w:ascii="Times New Roman"/>
                      <w:color w:val="000000" w:themeColor="text1"/>
                      <w:sz w:val="21"/>
                      <w:lang w:val="en-US" w:eastAsia="zh-CN"/>
                      <w14:textFill>
                        <w14:solidFill>
                          <w14:schemeClr w14:val="tx1"/>
                        </w14:solidFill>
                      </w14:textFill>
                    </w:rPr>
                    <w:t>324</w:t>
                  </w:r>
                </w:p>
              </w:tc>
            </w:tr>
            <w:tr w14:paraId="66BE5F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841" w:type="dxa"/>
                  <w:gridSpan w:val="4"/>
                </w:tcPr>
                <w:p w14:paraId="4892EF5E">
                  <w:pPr>
                    <w:pStyle w:val="64"/>
                    <w:spacing w:beforeLines="0" w:afterLines="0" w:line="240" w:lineRule="auto"/>
                    <w:ind w:firstLine="0" w:firstLineChars="0"/>
                    <w:rPr>
                      <w:rFonts w:ascii="Times New Roman"/>
                      <w:color w:val="000000" w:themeColor="text1"/>
                      <w:sz w:val="21"/>
                      <w14:textFill>
                        <w14:solidFill>
                          <w14:schemeClr w14:val="tx1"/>
                        </w14:solidFill>
                      </w14:textFill>
                    </w:rPr>
                  </w:pPr>
                  <w:r>
                    <w:rPr>
                      <w:rFonts w:hint="eastAsia" w:ascii="Times New Roman"/>
                      <w:color w:val="000000" w:themeColor="text1"/>
                      <w:sz w:val="21"/>
                      <w14:textFill>
                        <w14:solidFill>
                          <w14:schemeClr w14:val="tx1"/>
                        </w14:solidFill>
                      </w14:textFill>
                    </w:rPr>
                    <w:t>运输道路从新石桥农村道路进矿区道处开始计算到厂区的距离，共1000m，道路宽3—4m，本次计算按4m计算</w:t>
                  </w:r>
                </w:p>
              </w:tc>
            </w:tr>
          </w:tbl>
          <w:p w14:paraId="2E06D89E">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4）施工人员洗手废水</w:t>
            </w:r>
          </w:p>
          <w:p w14:paraId="09DB838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项目施工期高峰施工人员约30人，项目不设施工营地，施工人员均不在施工场地内进行食宿，生活污水主要是施工人员产生的洗手废水。施工人员每天生活用水以</w:t>
            </w:r>
            <w:r>
              <w:rPr>
                <w:color w:val="000000" w:themeColor="text1"/>
                <w14:textFill>
                  <w14:solidFill>
                    <w14:schemeClr w14:val="tx1"/>
                  </w14:solidFill>
                </w14:textFill>
              </w:rPr>
              <w:t>20L/</w:t>
            </w:r>
            <w:r>
              <w:rPr>
                <w:rFonts w:hint="eastAsia"/>
                <w:color w:val="000000" w:themeColor="text1"/>
                <w14:textFill>
                  <w14:solidFill>
                    <w14:schemeClr w14:val="tx1"/>
                  </w14:solidFill>
                </w14:textFill>
              </w:rPr>
              <w:t>人计，总用水量为0.6m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，生活污水产生量按80</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计，则项目施工期施工人员洗手废水产生量为0.48m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。生活污水所含的污染物主要为</w:t>
            </w:r>
            <w:r>
              <w:rPr>
                <w:color w:val="000000" w:themeColor="text1"/>
                <w14:textFill>
                  <w14:solidFill>
                    <w14:schemeClr w14:val="tx1"/>
                  </w14:solidFill>
                </w14:textFill>
              </w:rPr>
              <w:t>SS</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BOD</w:t>
            </w:r>
            <w:r>
              <w:rPr>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COD</w:t>
            </w:r>
            <w:r>
              <w:rPr>
                <w:rFonts w:hint="eastAsia"/>
                <w:color w:val="000000" w:themeColor="text1"/>
                <w14:textFill>
                  <w14:solidFill>
                    <w14:schemeClr w14:val="tx1"/>
                  </w14:solidFill>
                </w14:textFill>
              </w:rPr>
              <w:t>等，经临时沉淀池3m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沉淀后回用于施工场地洒水降尘，不外排。</w:t>
            </w:r>
          </w:p>
          <w:p w14:paraId="7EB43E88">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5）养护期绿化用水</w:t>
            </w:r>
          </w:p>
          <w:p w14:paraId="596606E9">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根据《云南省地方标准用水定额》（2019年版），林木育苗用水量为</w:t>
            </w:r>
            <w:r>
              <w:rPr>
                <w:color w:val="000000" w:themeColor="text1"/>
                <w14:textFill>
                  <w14:solidFill>
                    <w14:schemeClr w14:val="tx1"/>
                  </w14:solidFill>
                </w14:textFill>
              </w:rPr>
              <w:t>1050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1800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，项目取值1500m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w:t>
            </w:r>
            <w:r>
              <w:rPr>
                <w:rFonts w:hint="eastAsia"/>
                <w:color w:val="000000" w:themeColor="text1"/>
                <w14:textFill>
                  <w14:solidFill>
                    <w14:schemeClr w14:val="tx1"/>
                  </w14:solidFill>
                </w14:textFill>
              </w:rPr>
              <w:t>hm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，项目生态修复完成后绿化面积为</w:t>
            </w:r>
            <w:r>
              <w:rPr>
                <w:rFonts w:hint="default" w:ascii="Times New Roman" w:hAnsi="Times New Roman" w:cs="Times New Roman"/>
                <w:color w:val="000000" w:themeColor="text1"/>
                <w:kern w:val="0"/>
                <w:sz w:val="24"/>
                <w:highlight w:val="none"/>
                <w14:textFill>
                  <w14:solidFill>
                    <w14:schemeClr w14:val="tx1"/>
                  </w14:solidFill>
                </w14:textFill>
              </w:rPr>
              <w:t>12.7097</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，则用水量为</w:t>
            </w:r>
            <w:r>
              <w:rPr>
                <w:rFonts w:hint="eastAsia" w:cs="Times New Roman"/>
                <w:color w:val="000000" w:themeColor="text1"/>
                <w:highlight w:val="none"/>
                <w:lang w:val="en-US" w:eastAsia="zh-CN"/>
                <w14:textFill>
                  <w14:solidFill>
                    <w14:schemeClr w14:val="tx1"/>
                  </w14:solidFill>
                </w14:textFill>
              </w:rPr>
              <w:t>19064.55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/a，根据统计寻甸县非雨天</w:t>
            </w:r>
            <w:r>
              <w:rPr>
                <w:color w:val="000000" w:themeColor="text1"/>
                <w14:textFill>
                  <w14:solidFill>
                    <w14:schemeClr w14:val="tx1"/>
                  </w14:solidFill>
                </w14:textFill>
              </w:rPr>
              <w:t>2</w:t>
            </w:r>
            <w:r>
              <w:rPr>
                <w:rFonts w:hint="eastAsia"/>
                <w:color w:val="000000" w:themeColor="text1"/>
                <w14:textFill>
                  <w14:solidFill>
                    <w14:schemeClr w14:val="tx1"/>
                  </w14:solidFill>
                </w14:textFill>
              </w:rPr>
              <w:t>01天，则用水量为</w:t>
            </w:r>
            <w:r>
              <w:rPr>
                <w:rFonts w:hint="eastAsia" w:cs="Times New Roman"/>
                <w:color w:val="000000" w:themeColor="text1"/>
                <w:highlight w:val="none"/>
                <w:lang w:val="en-US" w:eastAsia="zh-CN"/>
                <w14:textFill>
                  <w14:solidFill>
                    <w14:schemeClr w14:val="tx1"/>
                  </w14:solidFill>
                </w14:textFill>
              </w:rPr>
              <w:t>94.85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，该部分用水自然蒸发损耗，无废水产生。在</w:t>
            </w:r>
            <w:r>
              <w:rPr>
                <w:rFonts w:hint="eastAsia"/>
                <w:color w:val="000000" w:themeColor="text1"/>
                <w:lang w:val="en-US" w:eastAsia="zh-CN"/>
                <w14:textFill>
                  <w14:solidFill>
                    <w14:schemeClr w14:val="tx1"/>
                  </w14:solidFill>
                </w14:textFill>
              </w:rPr>
              <w:t>南部回填区</w:t>
            </w:r>
            <w:r>
              <w:rPr>
                <w:rFonts w:hint="eastAsia"/>
                <w:color w:val="000000" w:themeColor="text1"/>
                <w14:textFill>
                  <w14:solidFill>
                    <w14:schemeClr w14:val="tx1"/>
                  </w14:solidFill>
                </w14:textFill>
              </w:rPr>
              <w:t>设置一个</w:t>
            </w:r>
            <w:r>
              <w:rPr>
                <w:rFonts w:hint="eastAsia"/>
                <w:color w:val="000000" w:themeColor="text1"/>
                <w:lang w:val="en-US" w:eastAsia="zh-CN"/>
                <w14:textFill>
                  <w14:solidFill>
                    <w14:schemeClr w14:val="tx1"/>
                  </w14:solidFill>
                </w14:textFill>
              </w:rPr>
              <w:t>425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的回用水池，在</w:t>
            </w:r>
            <w:r>
              <w:rPr>
                <w:rFonts w:hint="eastAsia"/>
                <w:color w:val="000000" w:themeColor="text1"/>
                <w:lang w:val="en-US" w:eastAsia="zh-CN"/>
                <w14:textFill>
                  <w14:solidFill>
                    <w14:schemeClr w14:val="tx1"/>
                  </w14:solidFill>
                </w14:textFill>
              </w:rPr>
              <w:t>北部回填区</w:t>
            </w:r>
            <w:r>
              <w:rPr>
                <w:rFonts w:hint="eastAsia"/>
                <w:color w:val="000000" w:themeColor="text1"/>
                <w14:textFill>
                  <w14:solidFill>
                    <w14:schemeClr w14:val="tx1"/>
                  </w14:solidFill>
                </w14:textFill>
              </w:rPr>
              <w:t>设置一个</w:t>
            </w:r>
            <w:r>
              <w:rPr>
                <w:rFonts w:hint="eastAsia"/>
                <w:color w:val="000000" w:themeColor="text1"/>
                <w:lang w:val="en-US" w:eastAsia="zh-CN"/>
                <w14:textFill>
                  <w14:solidFill>
                    <w14:schemeClr w14:val="tx1"/>
                  </w14:solidFill>
                </w14:textFill>
              </w:rPr>
              <w:t>410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的回用水池，可收集地表径流用于项目区植被养护，养护期年地表径流量采用寻甸县2018-2022年近五年平均降雨量（798.4mm）进行计算，计算可得项目生态修复区年地表径流</w:t>
            </w:r>
            <w:r>
              <w:rPr>
                <w:rFonts w:hint="eastAsia"/>
                <w:color w:val="000000" w:themeColor="text1"/>
                <w:lang w:val="en-US" w:eastAsia="zh-CN"/>
                <w14:textFill>
                  <w14:solidFill>
                    <w14:schemeClr w14:val="tx1"/>
                  </w14:solidFill>
                </w14:textFill>
              </w:rPr>
              <w:t>总</w:t>
            </w:r>
            <w:r>
              <w:rPr>
                <w:rFonts w:hint="eastAsia"/>
                <w:color w:val="000000" w:themeColor="text1"/>
                <w14:textFill>
                  <w14:solidFill>
                    <w14:schemeClr w14:val="tx1"/>
                  </w14:solidFill>
                </w14:textFill>
              </w:rPr>
              <w:t>量为</w:t>
            </w:r>
            <w:r>
              <w:rPr>
                <w:rFonts w:hint="eastAsia"/>
                <w:color w:val="000000" w:themeColor="text1"/>
                <w:lang w:val="en-US" w:eastAsia="zh-CN"/>
                <w14:textFill>
                  <w14:solidFill>
                    <w14:schemeClr w14:val="tx1"/>
                  </w14:solidFill>
                </w14:textFill>
              </w:rPr>
              <w:t>6347.28</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/a。绿化用水不够部分由寻甸县科技和工业信息化局用罐车运输到场区进行浇灌，项目养护期为三年，养护期间责任主体为寻甸县科技和工业信息化局，养护期结束后，交由当地政府管理处置。</w:t>
            </w:r>
          </w:p>
          <w:p w14:paraId="4867B37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项目施工结束后回填体顶部设置防渗膜，表面设置排水沟将雨水导流至回用水池，渗滤液产生量会随之减少。</w:t>
            </w:r>
          </w:p>
          <w:p w14:paraId="7D49EBF4">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6）水平衡分析</w:t>
            </w:r>
          </w:p>
          <w:p w14:paraId="1880240F">
            <w:pPr>
              <w:pStyle w:val="24"/>
              <w:spacing w:before="0" w:after="0" w:line="360" w:lineRule="auto"/>
              <w:ind w:right="0" w:firstLine="480"/>
              <w:rPr>
                <w:b/>
                <w:bCs/>
                <w:color w:val="000000" w:themeColor="text1"/>
                <w:sz w:val="24"/>
                <w:szCs w:val="24"/>
                <w:lang w:bidi="ar"/>
                <w14:textFill>
                  <w14:solidFill>
                    <w14:schemeClr w14:val="tx1"/>
                  </w14:solidFill>
                </w14:textFill>
              </w:rPr>
            </w:pPr>
            <w:r>
              <w:rPr>
                <w:rFonts w:hint="eastAsia"/>
                <w:color w:val="000000" w:themeColor="text1"/>
                <w:sz w:val="24"/>
                <w:szCs w:val="24"/>
                <w14:textFill>
                  <w14:solidFill>
                    <w14:schemeClr w14:val="tx1"/>
                  </w14:solidFill>
                </w14:textFill>
              </w:rPr>
              <w:t>项目用水主要在施工期，雨天不进行施工，施工期水平衡见下图。</w:t>
            </w:r>
          </w:p>
          <w:p w14:paraId="58C2DD87">
            <w:pPr>
              <w:pStyle w:val="59"/>
              <w:spacing w:before="0" w:after="0"/>
              <w:ind w:left="0" w:right="0"/>
              <w:rPr>
                <w:b/>
                <w:bCs/>
                <w:i w:val="0"/>
                <w:color w:val="000000" w:themeColor="text1"/>
                <w:sz w:val="24"/>
                <w:szCs w:val="24"/>
                <w:lang w:bidi="ar"/>
                <w14:textFill>
                  <w14:solidFill>
                    <w14:schemeClr w14:val="tx1"/>
                  </w14:solidFill>
                </w14:textFill>
              </w:rPr>
            </w:pPr>
            <w:r>
              <w:rPr>
                <w:rFonts w:hint="eastAsia"/>
                <w:color w:val="000000" w:themeColor="text1"/>
                <w:sz w:val="24"/>
                <w:szCs w:val="24"/>
                <w14:textFill>
                  <w14:solidFill>
                    <w14:schemeClr w14:val="tx1"/>
                  </w14:solidFill>
                </w14:textFill>
              </w:rPr>
              <w:object>
                <v:shape id="_x0000_i1026" o:spt="75" type="#_x0000_t75" style="height:73.65pt;width:393.15pt;" o:ole="t" filled="f" o:preferrelative="t" stroked="f" coordsize="21600,21600">
                  <v:path/>
                  <v:fill on="f" focussize="0,0"/>
                  <v:stroke on="f"/>
                  <v:imagedata r:id="rId17" o:title=""/>
                  <o:lock v:ext="edit" aspectratio="f"/>
                  <w10:wrap type="none"/>
                  <w10:anchorlock/>
                </v:shape>
                <o:OLEObject Type="Embed" ProgID="Visio.Drawing.11" ShapeID="_x0000_i1026" DrawAspect="Content" ObjectID="_1468075726" r:id="rId16">
                  <o:LockedField>false</o:LockedField>
                </o:OLEObject>
              </w:object>
            </w:r>
            <w:r>
              <w:rPr>
                <w:rFonts w:hint="eastAsia" w:ascii="Times New Roman" w:hAnsi="Times New Roman" w:eastAsia="宋体" w:cs="Times New Roman"/>
                <w:b/>
                <w:bCs/>
                <w:i w:val="0"/>
                <w:color w:val="000000" w:themeColor="text1"/>
                <w:kern w:val="0"/>
                <w:sz w:val="24"/>
                <w:szCs w:val="24"/>
                <w:lang w:val="en-US" w:eastAsia="zh-CN" w:bidi="ar"/>
                <w14:textFill>
                  <w14:solidFill>
                    <w14:schemeClr w14:val="tx1"/>
                  </w14:solidFill>
                </w14:textFill>
              </w:rPr>
              <w:t>图4-2  施工期雨天水平衡分析  单位：m³/d</w:t>
            </w:r>
          </w:p>
          <w:p w14:paraId="0C6D8F82">
            <w:pPr>
              <w:pStyle w:val="59"/>
              <w:spacing w:before="0" w:after="0"/>
              <w:ind w:left="0" w:right="0"/>
              <w:rPr>
                <w:color w:val="000000" w:themeColor="text1"/>
                <w:sz w:val="24"/>
                <w:szCs w:val="24"/>
                <w14:textFill>
                  <w14:solidFill>
                    <w14:schemeClr w14:val="tx1"/>
                  </w14:solidFill>
                </w14:textFill>
              </w:rPr>
            </w:pPr>
            <w:r>
              <w:rPr>
                <w:rFonts w:hint="eastAsia"/>
                <w:color w:val="000000" w:themeColor="text1"/>
                <w:sz w:val="24"/>
                <w:szCs w:val="24"/>
                <w14:textFill>
                  <w14:solidFill>
                    <w14:schemeClr w14:val="tx1"/>
                  </w14:solidFill>
                </w14:textFill>
              </w:rPr>
              <w:object>
                <v:shape id="_x0000_i1027" o:spt="75" type="#_x0000_t75" style="height:223.95pt;width:324pt;" o:ole="t" filled="f" o:preferrelative="t" stroked="f" coordsize="21600,21600">
                  <v:path/>
                  <v:fill on="f" focussize="0,0"/>
                  <v:stroke on="f"/>
                  <v:imagedata r:id="rId19" o:title=""/>
                  <o:lock v:ext="edit" aspectratio="f"/>
                  <w10:wrap type="none"/>
                  <w10:anchorlock/>
                </v:shape>
                <o:OLEObject Type="Embed" ProgID="Visio.Drawing.11" ShapeID="_x0000_i1027" DrawAspect="Content" ObjectID="_1468075727" r:id="rId18">
                  <o:LockedField>false</o:LockedField>
                </o:OLEObject>
              </w:object>
            </w:r>
          </w:p>
          <w:p w14:paraId="0AF50DE0">
            <w:pPr>
              <w:ind w:firstLine="0" w:firstLineChars="0"/>
              <w:jc w:val="center"/>
              <w:rPr>
                <w:rFonts w:hint="eastAsia"/>
                <w:b/>
                <w:bCs/>
                <w:color w:val="000000" w:themeColor="text1"/>
                <w:kern w:val="0"/>
                <w:sz w:val="24"/>
                <w:szCs w:val="24"/>
                <w:lang w:bidi="ar"/>
                <w14:textFill>
                  <w14:solidFill>
                    <w14:schemeClr w14:val="tx1"/>
                  </w14:solidFill>
                </w14:textFill>
              </w:rPr>
            </w:pPr>
            <w:r>
              <w:rPr>
                <w:rFonts w:hint="eastAsia"/>
                <w:b/>
                <w:bCs/>
                <w:color w:val="000000" w:themeColor="text1"/>
                <w:kern w:val="0"/>
                <w:sz w:val="24"/>
                <w:szCs w:val="24"/>
                <w:lang w:bidi="ar"/>
                <w14:textFill>
                  <w14:solidFill>
                    <w14:schemeClr w14:val="tx1"/>
                  </w14:solidFill>
                </w14:textFill>
              </w:rPr>
              <w:t>图4-3  施工期晴天水平衡分析  单位：m³/d</w:t>
            </w:r>
          </w:p>
          <w:p w14:paraId="2DB7202B">
            <w:pPr>
              <w:widowControl/>
              <w:adjustRightInd w:val="0"/>
              <w:snapToGrid w:val="0"/>
              <w:spacing w:line="240" w:lineRule="auto"/>
              <w:ind w:firstLine="0" w:firstLineChars="0"/>
              <w:jc w:val="center"/>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object>
                <v:shape id="_x0000_i1028" o:spt="75" type="#_x0000_t75" style="height:244.25pt;width:374.85pt;" o:ole="t" filled="f" o:preferrelative="t" stroked="f" coordsize="21600,21600">
                  <v:path/>
                  <v:fill on="f" focussize="0,0"/>
                  <v:stroke on="f"/>
                  <v:imagedata r:id="rId21" o:title=""/>
                  <o:lock v:ext="edit" aspectratio="f"/>
                  <w10:wrap type="none"/>
                  <w10:anchorlock/>
                </v:shape>
                <o:OLEObject Type="Embed" ProgID="Visio.Drawing.11" ShapeID="_x0000_i1028" DrawAspect="Content" ObjectID="_1468075728" r:id="rId20">
                  <o:LockedField>false</o:LockedField>
                </o:OLEObject>
              </w:object>
            </w:r>
          </w:p>
          <w:p w14:paraId="4C460BEE">
            <w:pPr>
              <w:ind w:firstLine="0" w:firstLineChars="0"/>
              <w:jc w:val="center"/>
              <w:rPr>
                <w:rFonts w:hint="eastAsia"/>
                <w:b/>
                <w:bCs/>
                <w:color w:val="000000" w:themeColor="text1"/>
                <w:kern w:val="0"/>
                <w:sz w:val="24"/>
                <w:szCs w:val="24"/>
                <w:lang w:bidi="ar"/>
                <w14:textFill>
                  <w14:solidFill>
                    <w14:schemeClr w14:val="tx1"/>
                  </w14:solidFill>
                </w14:textFill>
              </w:rPr>
            </w:pPr>
            <w:r>
              <w:rPr>
                <w:rFonts w:hint="eastAsia"/>
                <w:b/>
                <w:bCs/>
                <w:color w:val="000000" w:themeColor="text1"/>
                <w:kern w:val="0"/>
                <w:sz w:val="24"/>
                <w:szCs w:val="24"/>
                <w:lang w:bidi="ar"/>
                <w14:textFill>
                  <w14:solidFill>
                    <w14:schemeClr w14:val="tx1"/>
                  </w14:solidFill>
                </w14:textFill>
              </w:rPr>
              <w:t>图4-4  施工期年水平衡分析  单位：m³/a</w:t>
            </w:r>
          </w:p>
          <w:p w14:paraId="149F332C">
            <w:pPr>
              <w:widowControl/>
              <w:adjustRightInd w:val="0"/>
              <w:snapToGrid w:val="0"/>
              <w:ind w:firstLine="482"/>
              <w:jc w:val="center"/>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object>
                <v:shape id="_x0000_i1029" o:spt="75" type="#_x0000_t75" style="height:62.15pt;width:327.95pt;" o:ole="t" filled="f" o:preferrelative="t" stroked="f" coordsize="21600,21600">
                  <v:path/>
                  <v:fill on="f" focussize="0,0"/>
                  <v:stroke on="f"/>
                  <v:imagedata r:id="rId23" o:title=""/>
                  <o:lock v:ext="edit" aspectratio="f"/>
                  <w10:wrap type="none"/>
                  <w10:anchorlock/>
                </v:shape>
                <o:OLEObject Type="Embed" ProgID="Visio.Drawing.11" ShapeID="_x0000_i1029" DrawAspect="Content" ObjectID="_1468075729" r:id="rId22">
                  <o:LockedField>false</o:LockedField>
                </o:OLEObject>
              </w:object>
            </w:r>
          </w:p>
          <w:p w14:paraId="142DD2E6">
            <w:pPr>
              <w:ind w:firstLine="0" w:firstLineChars="0"/>
              <w:jc w:val="center"/>
              <w:rPr>
                <w:rFonts w:hint="eastAsia"/>
                <w:b/>
                <w:bCs/>
                <w:color w:val="000000" w:themeColor="text1"/>
                <w:kern w:val="0"/>
                <w:sz w:val="24"/>
                <w:szCs w:val="24"/>
                <w:lang w:bidi="ar"/>
                <w14:textFill>
                  <w14:solidFill>
                    <w14:schemeClr w14:val="tx1"/>
                  </w14:solidFill>
                </w14:textFill>
              </w:rPr>
            </w:pPr>
            <w:r>
              <w:rPr>
                <w:rFonts w:hint="eastAsia"/>
                <w:b/>
                <w:bCs/>
                <w:color w:val="000000" w:themeColor="text1"/>
                <w:kern w:val="0"/>
                <w:sz w:val="24"/>
                <w:szCs w:val="24"/>
                <w:lang w:bidi="ar"/>
                <w14:textFill>
                  <w14:solidFill>
                    <w14:schemeClr w14:val="tx1"/>
                  </w14:solidFill>
                </w14:textFill>
              </w:rPr>
              <w:t>图4-5  养护期水平衡分析  单位：m³/a</w:t>
            </w:r>
          </w:p>
          <w:p w14:paraId="227062B3">
            <w:pPr>
              <w:widowControl/>
              <w:adjustRightInd w:val="0"/>
              <w:snapToGrid w:val="0"/>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7）废水回用的可行性分析</w:t>
            </w:r>
          </w:p>
          <w:p w14:paraId="45AC1126">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从水质上分析，本项目位于郊区农村，回填区位置高于周边区域，不存在相关污水汇入情况，回用于洒水降尘的地表径流和渗滤液等均来自于项目区雨水，雨水中相关污染物浓度较低。对比《城市污水再生利用城市杂用水水质》（GB/T 18920-2020）中城市绿化、道路清扫、消防、建筑施工标准限值，主要针对生化指标（BOD</w:t>
            </w:r>
            <w:r>
              <w:rPr>
                <w:rFonts w:hint="eastAsia"/>
                <w:color w:val="000000" w:themeColor="text1"/>
                <w:vertAlign w:val="subscript"/>
                <w14:textFill>
                  <w14:solidFill>
                    <w14:schemeClr w14:val="tx1"/>
                  </w14:solidFill>
                </w14:textFill>
              </w:rPr>
              <w:t>5</w:t>
            </w:r>
            <w:r>
              <w:rPr>
                <w:rFonts w:hint="eastAsia"/>
                <w:color w:val="000000" w:themeColor="text1"/>
                <w14:textFill>
                  <w14:solidFill>
                    <w14:schemeClr w14:val="tx1"/>
                  </w14:solidFill>
                </w14:textFill>
              </w:rPr>
              <w:t>、氨氮）、大肠埃希氏菌和总氯等进行控制。项目所使用改性磷石膏生态修复材料为已添加了稳定剂，为满足相关规范要求合格产品，磷石膏中的可溶物等已固化为难溶物，有机质含量在5%以下，无相关营养物质可用于微生物等进行生化作用，故相关生化和微生物指标可达到回用标准。磷石膏主要成分是硫酸钙，氯化物含量很低，且添加稳定剂后形成固态难溶物，基本不会有氯产生。且改性磷石膏修复材料相关标准中要求，浸出液需达</w:t>
            </w:r>
            <w:r>
              <w:rPr>
                <w:color w:val="000000" w:themeColor="text1"/>
                <w:kern w:val="0"/>
                <w:szCs w:val="21"/>
                <w14:textFill>
                  <w14:solidFill>
                    <w14:schemeClr w14:val="tx1"/>
                  </w14:solidFill>
                </w14:textFill>
              </w:rPr>
              <w:t>《污水综合排放标准》（GB8978-1996）</w:t>
            </w:r>
            <w:r>
              <w:rPr>
                <w:rFonts w:hint="eastAsia"/>
                <w:color w:val="000000" w:themeColor="text1"/>
                <w:kern w:val="0"/>
                <w:szCs w:val="21"/>
                <w14:textFill>
                  <w14:solidFill>
                    <w14:schemeClr w14:val="tx1"/>
                  </w14:solidFill>
                </w14:textFill>
              </w:rPr>
              <w:t>指标要求，根据</w:t>
            </w:r>
            <w:r>
              <w:rPr>
                <w:color w:val="000000" w:themeColor="text1"/>
                <w:kern w:val="0"/>
                <w:lang w:bidi="ar"/>
                <w14:textFill>
                  <w14:solidFill>
                    <w14:schemeClr w14:val="tx1"/>
                  </w14:solidFill>
                </w14:textFill>
              </w:rPr>
              <w:t>寻甸县科技和工业信息化局针对改性磷石膏基生态修复材料做的相关检测数据</w:t>
            </w:r>
            <w:r>
              <w:rPr>
                <w:rFonts w:hint="eastAsia"/>
                <w:color w:val="000000" w:themeColor="text1"/>
                <w:kern w:val="0"/>
                <w:lang w:bidi="ar"/>
                <w14:textFill>
                  <w14:solidFill>
                    <w14:schemeClr w14:val="tx1"/>
                  </w14:solidFill>
                </w14:textFill>
              </w:rPr>
              <w:t>，并</w:t>
            </w:r>
            <w:r>
              <w:rPr>
                <w:rFonts w:hint="eastAsia"/>
                <w:color w:val="000000" w:themeColor="text1"/>
                <w14:textFill>
                  <w14:solidFill>
                    <w14:schemeClr w14:val="tx1"/>
                  </w14:solidFill>
                </w14:textFill>
              </w:rPr>
              <w:t>类比宣威市落水镇白路采砂场修复项目中渗滤液情况，可知渗滤液水质水质中可溶性因子含量均较低，pH也在6-9范围，满足《城市污水再生利用城市杂用水水质》（GB/T 18920-2020）中城市绿化、道路清扫、消防、建筑施工标准限值要求。本项目目设置一个360m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回用水池，用来收集降雨天地表径流和渗滤液收集井容纳不完的渗滤液，通过简单沉淀或加入少量混凝剂的方法去除水中泥沙等，可满足回用要求，此方法广泛应用于雨水利用，在全国普遍使用，是可行成熟方法，沉淀的泥沙直接用于修复回填。同时本评价也要求建设单位对回用水进行监测，达到《城市污水再生利用城市杂用水水质》（GB/T 18920-2020）中城市绿化、道路清扫、消防、建筑施工标准限值要求后方可回用，进一步保证了达标回用。故本项目地表径流、渗滤液等收集处理后达标回用具有可行性。</w:t>
            </w:r>
          </w:p>
          <w:p w14:paraId="6A2E852E">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从水量上分析，</w:t>
            </w:r>
            <w:r>
              <w:rPr>
                <w:rFonts w:hint="eastAsia" w:ascii="宋体" w:hAnsi="宋体" w:cs="宋体"/>
                <w:color w:val="000000" w:themeColor="text1"/>
                <w:kern w:val="0"/>
                <w:lang w:bidi="ar"/>
                <w14:textFill>
                  <w14:solidFill>
                    <w14:schemeClr w14:val="tx1"/>
                  </w14:solidFill>
                </w14:textFill>
              </w:rPr>
              <w:t>经测算，</w:t>
            </w:r>
            <w:r>
              <w:rPr>
                <w:rFonts w:hint="eastAsia" w:ascii="宋体" w:hAnsi="宋体" w:cs="宋体"/>
                <w:color w:val="000000" w:themeColor="text1"/>
                <w:kern w:val="0"/>
                <w:lang w:val="en-US" w:eastAsia="zh-CN" w:bidi="ar"/>
                <w14:textFill>
                  <w14:solidFill>
                    <w14:schemeClr w14:val="tx1"/>
                  </w14:solidFill>
                </w14:textFill>
              </w:rPr>
              <w:t>南部和北部</w:t>
            </w:r>
            <w:r>
              <w:rPr>
                <w:rFonts w:hint="eastAsia" w:ascii="宋体" w:hAnsi="宋体" w:cs="宋体"/>
                <w:color w:val="000000" w:themeColor="text1"/>
                <w:kern w:val="0"/>
                <w:lang w:bidi="ar"/>
                <w14:textFill>
                  <w14:solidFill>
                    <w14:schemeClr w14:val="tx1"/>
                  </w14:solidFill>
                </w14:textFill>
              </w:rPr>
              <w:t>生态修复区洒水降尘需用水量为</w:t>
            </w:r>
            <w:r>
              <w:rPr>
                <w:rFonts w:hint="eastAsia"/>
                <w:color w:val="000000" w:themeColor="text1"/>
                <w:kern w:val="0"/>
                <w:lang w:val="en-US" w:eastAsia="zh-CN" w:bidi="ar"/>
                <w14:textFill>
                  <w14:solidFill>
                    <w14:schemeClr w14:val="tx1"/>
                  </w14:solidFill>
                </w14:textFill>
              </w:rPr>
              <w:t>324</w:t>
            </w:r>
            <w:r>
              <w:rPr>
                <w:rFonts w:hint="eastAsia"/>
                <w:color w:val="000000" w:themeColor="text1"/>
                <w:kern w:val="0"/>
                <w:lang w:bidi="ar"/>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3</w:t>
            </w:r>
            <w:r>
              <w:rPr>
                <w:color w:val="000000" w:themeColor="text1"/>
                <w:kern w:val="0"/>
                <w:lang w:bidi="ar"/>
                <w14:textFill>
                  <w14:solidFill>
                    <w14:schemeClr w14:val="tx1"/>
                  </w14:solidFill>
                </w14:textFill>
              </w:rPr>
              <w:t>/d</w:t>
            </w:r>
            <w:r>
              <w:rPr>
                <w:rFonts w:hint="eastAsia" w:ascii="宋体" w:hAnsi="宋体" w:cs="宋体"/>
                <w:color w:val="000000" w:themeColor="text1"/>
                <w:kern w:val="0"/>
                <w:lang w:bidi="ar"/>
                <w14:textFill>
                  <w14:solidFill>
                    <w14:schemeClr w14:val="tx1"/>
                  </w14:solidFill>
                </w14:textFill>
              </w:rPr>
              <w:t>，项目</w:t>
            </w:r>
            <w:r>
              <w:rPr>
                <w:rFonts w:hint="eastAsia" w:ascii="宋体" w:hAnsi="宋体" w:cs="宋体"/>
                <w:color w:val="000000" w:themeColor="text1"/>
                <w:kern w:val="0"/>
                <w:lang w:val="en-US" w:eastAsia="zh-CN" w:bidi="ar"/>
                <w14:textFill>
                  <w14:solidFill>
                    <w14:schemeClr w14:val="tx1"/>
                  </w14:solidFill>
                </w14:textFill>
              </w:rPr>
              <w:t>南部和北部修复区</w:t>
            </w:r>
            <w:r>
              <w:rPr>
                <w:rFonts w:hint="eastAsia" w:ascii="宋体" w:hAnsi="宋体" w:cs="宋体"/>
                <w:color w:val="000000" w:themeColor="text1"/>
                <w:kern w:val="0"/>
                <w:lang w:bidi="ar"/>
                <w14:textFill>
                  <w14:solidFill>
                    <w14:schemeClr w14:val="tx1"/>
                  </w14:solidFill>
                </w14:textFill>
              </w:rPr>
              <w:t>渗滤液产生量约</w:t>
            </w:r>
            <w:r>
              <w:rPr>
                <w:rFonts w:hint="eastAsia"/>
                <w:color w:val="000000" w:themeColor="text1"/>
                <w:kern w:val="0"/>
                <w:lang w:val="en-US" w:eastAsia="zh-CN" w:bidi="ar"/>
                <w14:textFill>
                  <w14:solidFill>
                    <w14:schemeClr w14:val="tx1"/>
                  </w14:solidFill>
                </w14:textFill>
              </w:rPr>
              <w:t>117.82</w:t>
            </w:r>
            <w:r>
              <w:rPr>
                <w:rFonts w:hint="eastAsia"/>
                <w:color w:val="000000" w:themeColor="text1"/>
                <w:kern w:val="0"/>
                <w:lang w:bidi="ar"/>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3</w:t>
            </w:r>
            <w:r>
              <w:rPr>
                <w:color w:val="000000" w:themeColor="text1"/>
                <w:kern w:val="0"/>
                <w:lang w:bidi="ar"/>
                <w14:textFill>
                  <w14:solidFill>
                    <w14:schemeClr w14:val="tx1"/>
                  </w14:solidFill>
                </w14:textFill>
              </w:rPr>
              <w:t>/d</w:t>
            </w:r>
            <w:r>
              <w:rPr>
                <w:rFonts w:hint="eastAsia"/>
                <w:color w:val="000000" w:themeColor="text1"/>
                <w:kern w:val="0"/>
                <w:lang w:bidi="ar"/>
                <w14:textFill>
                  <w14:solidFill>
                    <w14:schemeClr w14:val="tx1"/>
                  </w14:solidFill>
                </w14:textFill>
              </w:rPr>
              <w:t>，</w:t>
            </w:r>
            <w:r>
              <w:rPr>
                <w:rFonts w:hint="eastAsia" w:ascii="宋体" w:hAnsi="宋体" w:cs="宋体"/>
                <w:color w:val="000000" w:themeColor="text1"/>
                <w:kern w:val="0"/>
                <w:lang w:val="en-US" w:eastAsia="zh-CN" w:bidi="ar"/>
                <w14:textFill>
                  <w14:solidFill>
                    <w14:schemeClr w14:val="tx1"/>
                  </w14:solidFill>
                </w14:textFill>
              </w:rPr>
              <w:t>南部和北部修复区</w:t>
            </w:r>
            <w:r>
              <w:rPr>
                <w:rFonts w:hint="eastAsia"/>
                <w:color w:val="000000" w:themeColor="text1"/>
                <w:kern w:val="0"/>
                <w:lang w:bidi="ar"/>
                <w14:textFill>
                  <w14:solidFill>
                    <w14:schemeClr w14:val="tx1"/>
                  </w14:solidFill>
                </w14:textFill>
              </w:rPr>
              <w:t>收集地表径流水量约为</w:t>
            </w:r>
            <w:r>
              <w:rPr>
                <w:rFonts w:hint="eastAsia"/>
                <w:color w:val="000000" w:themeColor="text1"/>
                <w:kern w:val="0"/>
                <w:lang w:val="en-US" w:eastAsia="zh-CN" w:bidi="ar"/>
                <w14:textFill>
                  <w14:solidFill>
                    <w14:schemeClr w14:val="tx1"/>
                  </w14:solidFill>
                </w14:textFill>
              </w:rPr>
              <w:t>205.59</w:t>
            </w:r>
            <w:r>
              <w:rPr>
                <w:rFonts w:hint="eastAsia"/>
                <w:color w:val="000000" w:themeColor="text1"/>
                <w:kern w:val="0"/>
                <w:lang w:bidi="ar"/>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3</w:t>
            </w:r>
            <w:r>
              <w:rPr>
                <w:color w:val="000000" w:themeColor="text1"/>
                <w:kern w:val="0"/>
                <w:lang w:bidi="ar"/>
                <w14:textFill>
                  <w14:solidFill>
                    <w14:schemeClr w14:val="tx1"/>
                  </w14:solidFill>
                </w14:textFill>
              </w:rPr>
              <w:t>/d</w:t>
            </w:r>
            <w:r>
              <w:rPr>
                <w:rFonts w:hint="eastAsia" w:ascii="宋体" w:hAnsi="宋体" w:cs="宋体"/>
                <w:color w:val="000000" w:themeColor="text1"/>
                <w:kern w:val="0"/>
                <w:lang w:bidi="ar"/>
                <w14:textFill>
                  <w14:solidFill>
                    <w14:schemeClr w14:val="tx1"/>
                  </w14:solidFill>
                </w14:textFill>
              </w:rPr>
              <w:t>，小于洒水降尘需水量，故</w:t>
            </w:r>
            <w:r>
              <w:rPr>
                <w:rFonts w:hint="eastAsia"/>
                <w:color w:val="000000" w:themeColor="text1"/>
                <w14:textFill>
                  <w14:solidFill>
                    <w14:schemeClr w14:val="tx1"/>
                  </w14:solidFill>
                </w14:textFill>
              </w:rPr>
              <w:t>本项目产生的渗滤液、地表径流经沉淀处理后</w:t>
            </w:r>
            <w:r>
              <w:rPr>
                <w:rFonts w:hint="eastAsia" w:ascii="宋体" w:hAnsi="宋体" w:cs="宋体"/>
                <w:color w:val="000000" w:themeColor="text1"/>
                <w:kern w:val="0"/>
                <w:lang w:bidi="ar"/>
                <w14:textFill>
                  <w14:solidFill>
                    <w14:schemeClr w14:val="tx1"/>
                  </w14:solidFill>
                </w14:textFill>
              </w:rPr>
              <w:t>，全部回用于生态修复区及运输道路洒水降尘具有可行性。本项目产生的渗滤液不排入地表水环境，对地表水环境影响不大。</w:t>
            </w:r>
          </w:p>
          <w:p w14:paraId="2FE4749A">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8）废水不外排可行性分析</w:t>
            </w:r>
          </w:p>
          <w:p w14:paraId="3FC6AD2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本项目产生的施工废水、施工人员洗手废水均回用于场区洒水降尘不外排，项目最大地表水径流量为</w:t>
            </w:r>
            <w:r>
              <w:rPr>
                <w:rFonts w:hint="eastAsia"/>
                <w:color w:val="000000" w:themeColor="text1"/>
                <w:lang w:val="en-US" w:eastAsia="zh-CN"/>
                <w14:textFill>
                  <w14:solidFill>
                    <w14:schemeClr w14:val="tx1"/>
                  </w14:solidFill>
                </w14:textFill>
              </w:rPr>
              <w:t>205.59</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/d，项目渗滤液产生量为</w:t>
            </w:r>
            <w:r>
              <w:rPr>
                <w:rFonts w:hint="eastAsia"/>
                <w:color w:val="000000" w:themeColor="text1"/>
                <w:lang w:val="en-US" w:eastAsia="zh-CN"/>
                <w14:textFill>
                  <w14:solidFill>
                    <w14:schemeClr w14:val="tx1"/>
                  </w14:solidFill>
                </w14:textFill>
              </w:rPr>
              <w:t>117.82</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/d。在</w:t>
            </w:r>
            <w:r>
              <w:rPr>
                <w:rFonts w:hint="eastAsia"/>
                <w:color w:val="000000" w:themeColor="text1"/>
                <w:lang w:val="en-US" w:eastAsia="zh-CN"/>
                <w14:textFill>
                  <w14:solidFill>
                    <w14:schemeClr w14:val="tx1"/>
                  </w14:solidFill>
                </w14:textFill>
              </w:rPr>
              <w:t>南部回填区</w:t>
            </w:r>
            <w:r>
              <w:rPr>
                <w:rFonts w:hint="eastAsia"/>
                <w:color w:val="000000" w:themeColor="text1"/>
                <w14:textFill>
                  <w14:solidFill>
                    <w14:schemeClr w14:val="tx1"/>
                  </w14:solidFill>
                </w14:textFill>
              </w:rPr>
              <w:t>设置一个</w:t>
            </w:r>
            <w:r>
              <w:rPr>
                <w:rFonts w:hint="eastAsia"/>
                <w:color w:val="000000" w:themeColor="text1"/>
                <w:lang w:val="en-US" w:eastAsia="zh-CN"/>
                <w14:textFill>
                  <w14:solidFill>
                    <w14:schemeClr w14:val="tx1"/>
                  </w14:solidFill>
                </w14:textFill>
              </w:rPr>
              <w:t>425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的回用水池，</w:t>
            </w:r>
            <w:r>
              <w:rPr>
                <w:rFonts w:hint="eastAsia"/>
                <w:color w:val="000000" w:themeColor="text1"/>
                <w:lang w:val="en-US" w:eastAsia="zh-CN"/>
                <w14:textFill>
                  <w14:solidFill>
                    <w14:schemeClr w14:val="tx1"/>
                  </w14:solidFill>
                </w14:textFill>
              </w:rPr>
              <w:t>2个50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lang w:val="en-US" w:eastAsia="zh-CN"/>
                <w14:textFill>
                  <w14:solidFill>
                    <w14:schemeClr w14:val="tx1"/>
                  </w14:solidFill>
                </w14:textFill>
              </w:rPr>
              <w:t>雨水收集池</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在</w:t>
            </w:r>
            <w:r>
              <w:rPr>
                <w:rFonts w:hint="eastAsia"/>
                <w:color w:val="000000" w:themeColor="text1"/>
                <w:lang w:val="en-US" w:eastAsia="zh-CN"/>
                <w14:textFill>
                  <w14:solidFill>
                    <w14:schemeClr w14:val="tx1"/>
                  </w14:solidFill>
                </w14:textFill>
              </w:rPr>
              <w:t>北部回填区</w:t>
            </w:r>
            <w:r>
              <w:rPr>
                <w:rFonts w:hint="eastAsia"/>
                <w:color w:val="000000" w:themeColor="text1"/>
                <w14:textFill>
                  <w14:solidFill>
                    <w14:schemeClr w14:val="tx1"/>
                  </w14:solidFill>
                </w14:textFill>
              </w:rPr>
              <w:t>设置一个</w:t>
            </w:r>
            <w:r>
              <w:rPr>
                <w:rFonts w:hint="eastAsia"/>
                <w:color w:val="000000" w:themeColor="text1"/>
                <w:lang w:val="en-US" w:eastAsia="zh-CN"/>
                <w14:textFill>
                  <w14:solidFill>
                    <w14:schemeClr w14:val="tx1"/>
                  </w14:solidFill>
                </w14:textFill>
              </w:rPr>
              <w:t>410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的回用水池，</w:t>
            </w:r>
            <w:r>
              <w:rPr>
                <w:rFonts w:hint="eastAsia"/>
                <w:color w:val="000000" w:themeColor="text1"/>
                <w:lang w:val="en-US" w:eastAsia="zh-CN"/>
                <w14:textFill>
                  <w14:solidFill>
                    <w14:schemeClr w14:val="tx1"/>
                  </w14:solidFill>
                </w14:textFill>
              </w:rPr>
              <w:t>2个60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lang w:val="en-US" w:eastAsia="zh-CN"/>
                <w14:textFill>
                  <w14:solidFill>
                    <w14:schemeClr w14:val="tx1"/>
                  </w14:solidFill>
                </w14:textFill>
              </w:rPr>
              <w:t>雨水收集池</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用来收集降雨天地表径流和渗滤液，渗滤液收集</w:t>
            </w:r>
            <w:r>
              <w:rPr>
                <w:rFonts w:hint="eastAsia"/>
                <w:color w:val="000000" w:themeColor="text1"/>
                <w:lang w:val="en-US" w:eastAsia="zh-CN"/>
                <w14:textFill>
                  <w14:solidFill>
                    <w14:schemeClr w14:val="tx1"/>
                  </w14:solidFill>
                </w14:textFill>
              </w:rPr>
              <w:t>池</w:t>
            </w:r>
            <w:r>
              <w:rPr>
                <w:rFonts w:hint="eastAsia"/>
                <w:color w:val="000000" w:themeColor="text1"/>
                <w14:textFill>
                  <w14:solidFill>
                    <w14:schemeClr w14:val="tx1"/>
                  </w14:solidFill>
                </w14:textFill>
              </w:rPr>
              <w:t>可以容纳连续降雨</w:t>
            </w:r>
            <w:r>
              <w:rPr>
                <w:rFonts w:hint="eastAsia"/>
                <w:color w:val="000000" w:themeColor="text1"/>
                <w:lang w:val="en-US" w:eastAsia="zh-CN"/>
                <w14:textFill>
                  <w14:solidFill>
                    <w14:schemeClr w14:val="tx1"/>
                  </w14:solidFill>
                </w14:textFill>
              </w:rPr>
              <w:t>7</w:t>
            </w:r>
            <w:r>
              <w:rPr>
                <w:rFonts w:hint="eastAsia"/>
                <w:color w:val="000000" w:themeColor="text1"/>
                <w14:textFill>
                  <w14:solidFill>
                    <w14:schemeClr w14:val="tx1"/>
                  </w14:solidFill>
                </w14:textFill>
              </w:rPr>
              <w:t>天产生的渗滤液</w:t>
            </w:r>
            <w:r>
              <w:rPr>
                <w:rFonts w:hint="eastAsia"/>
                <w:color w:val="000000" w:themeColor="text1"/>
                <w:lang w:eastAsia="zh-CN"/>
                <w14:textFill>
                  <w14:solidFill>
                    <w14:schemeClr w14:val="tx1"/>
                  </w14:solidFill>
                </w14:textFill>
              </w:rPr>
              <w:t>，地表径流在雨水收集池暂存后，后期雨水延排水沟外排。</w:t>
            </w:r>
          </w:p>
          <w:p w14:paraId="3C88EF88">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根据分析，项目施工废水均回用于场区洒水降尘；收集的渗滤液和地表径流全部用于场区洒水降尘。项目对周边地表水环境影响较小。</w:t>
            </w:r>
          </w:p>
          <w:p w14:paraId="253A22AB">
            <w:pPr>
              <w:widowControl/>
              <w:adjustRightInd w:val="0"/>
              <w:snapToGrid w:val="0"/>
              <w:ind w:left="480" w:firstLine="0" w:firstLineChars="0"/>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4、地下水环境影响</w:t>
            </w:r>
          </w:p>
          <w:p w14:paraId="0D4C9F2B">
            <w:pPr>
              <w:widowControl/>
              <w:ind w:firstLine="482"/>
              <w:jc w:val="left"/>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4.1评价工作等级</w:t>
            </w:r>
          </w:p>
          <w:p w14:paraId="4E072546">
            <w:pPr>
              <w:widowControl/>
              <w:ind w:firstLine="480"/>
              <w:jc w:val="left"/>
              <w:rPr>
                <w:color w:val="000000" w:themeColor="text1"/>
                <w:szCs w:val="28"/>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本项目为矿坑生态修复项目，根据《环境影响评价技术导则 地下水环境》（</w:t>
            </w:r>
            <w:r>
              <w:rPr>
                <w:color w:val="000000" w:themeColor="text1"/>
                <w:kern w:val="0"/>
                <w:lang w:bidi="ar"/>
                <w14:textFill>
                  <w14:solidFill>
                    <w14:schemeClr w14:val="tx1"/>
                  </w14:solidFill>
                </w14:textFill>
              </w:rPr>
              <w:t>HJ610-2016</w:t>
            </w:r>
            <w:r>
              <w:rPr>
                <w:rFonts w:hint="eastAsia" w:ascii="宋体" w:hAnsi="宋体" w:cs="宋体"/>
                <w:color w:val="000000" w:themeColor="text1"/>
                <w:kern w:val="0"/>
                <w:lang w:bidi="ar"/>
                <w14:textFill>
                  <w14:solidFill>
                    <w14:schemeClr w14:val="tx1"/>
                  </w14:solidFill>
                </w14:textFill>
              </w:rPr>
              <w:t xml:space="preserve">）附录 </w:t>
            </w:r>
            <w:r>
              <w:rPr>
                <w:color w:val="000000" w:themeColor="text1"/>
                <w:kern w:val="0"/>
                <w:lang w:bidi="ar"/>
                <w14:textFill>
                  <w14:solidFill>
                    <w14:schemeClr w14:val="tx1"/>
                  </w14:solidFill>
                </w14:textFill>
              </w:rPr>
              <w:t>A</w:t>
            </w:r>
            <w:r>
              <w:rPr>
                <w:rFonts w:hint="eastAsia" w:ascii="宋体" w:hAnsi="宋体" w:cs="宋体"/>
                <w:color w:val="000000" w:themeColor="text1"/>
                <w:kern w:val="0"/>
                <w:lang w:bidi="ar"/>
                <w14:textFill>
                  <w14:solidFill>
                    <w14:schemeClr w14:val="tx1"/>
                  </w14:solidFill>
                </w14:textFill>
              </w:rPr>
              <w:t>“地下水环境影响评价行业分类表”，参照相近行业类别“污染场地治理修复工程”，属于</w:t>
            </w:r>
            <w:r>
              <w:rPr>
                <w:color w:val="000000" w:themeColor="text1"/>
                <w:kern w:val="0"/>
                <w:lang w:bidi="ar"/>
                <w14:textFill>
                  <w14:solidFill>
                    <w14:schemeClr w14:val="tx1"/>
                  </w14:solidFill>
                </w14:textFill>
              </w:rPr>
              <w:t>Ⅲ</w:t>
            </w:r>
            <w:r>
              <w:rPr>
                <w:rFonts w:hint="eastAsia" w:ascii="宋体" w:hAnsi="宋体" w:cs="宋体"/>
                <w:color w:val="000000" w:themeColor="text1"/>
                <w:kern w:val="0"/>
                <w:lang w:bidi="ar"/>
                <w14:textFill>
                  <w14:solidFill>
                    <w14:schemeClr w14:val="tx1"/>
                  </w14:solidFill>
                </w14:textFill>
              </w:rPr>
              <w:t>类建设项目。</w:t>
            </w:r>
          </w:p>
          <w:p w14:paraId="5EDF518D">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建设项目的地下水环境敏感程度可分为敏感、较敏感、不敏感三级，分级原则见下表。</w:t>
            </w:r>
          </w:p>
          <w:p w14:paraId="373F6DAD">
            <w:pPr>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表4-5  地下水环境敏感程度分级表</w:t>
            </w:r>
          </w:p>
          <w:tbl>
            <w:tblPr>
              <w:tblStyle w:val="41"/>
              <w:tblW w:w="4999"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12"/>
              <w:gridCol w:w="6808"/>
            </w:tblGrid>
            <w:tr w14:paraId="53E0A7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2" w:hRule="atLeast"/>
              </w:trPr>
              <w:tc>
                <w:tcPr>
                  <w:tcW w:w="647" w:type="pct"/>
                </w:tcPr>
                <w:p w14:paraId="40FB62BC">
                  <w:pPr>
                    <w:widowControl/>
                    <w:spacing w:line="240" w:lineRule="auto"/>
                    <w:ind w:firstLine="0" w:firstLineChars="0"/>
                    <w:jc w:val="center"/>
                    <w:textAlignment w:val="baseline"/>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敏感程度</w:t>
                  </w:r>
                </w:p>
              </w:tc>
              <w:tc>
                <w:tcPr>
                  <w:tcW w:w="4352" w:type="pct"/>
                </w:tcPr>
                <w:p w14:paraId="51DA2A00">
                  <w:pPr>
                    <w:widowControl/>
                    <w:spacing w:line="240" w:lineRule="auto"/>
                    <w:ind w:firstLine="0" w:firstLineChars="0"/>
                    <w:jc w:val="center"/>
                    <w:textAlignment w:val="baseline"/>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地下水环境敏感特征</w:t>
                  </w:r>
                </w:p>
              </w:tc>
            </w:tr>
            <w:tr w14:paraId="26522C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pct"/>
                  <w:vAlign w:val="center"/>
                </w:tcPr>
                <w:p w14:paraId="783B165A">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敏感</w:t>
                  </w:r>
                </w:p>
              </w:tc>
              <w:tc>
                <w:tcPr>
                  <w:tcW w:w="4352" w:type="pct"/>
                  <w:vAlign w:val="center"/>
                </w:tcPr>
                <w:p w14:paraId="1E2895B3">
                  <w:pPr>
                    <w:widowControl/>
                    <w:spacing w:line="240" w:lineRule="auto"/>
                    <w:ind w:firstLine="0" w:firstLineChars="0"/>
                    <w:jc w:val="left"/>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集中式饮用水水源（包括已建成的在用、备用、应急水源，在建和规划的饮用水水源）准保护区；除集中式饮用水水源以外的国家或地方政府设定的与地下水环境相关的其他保护区，如热水、矿泉水、温泉等特殊地下水资源保护区</w:t>
                  </w:r>
                </w:p>
              </w:tc>
            </w:tr>
            <w:tr w14:paraId="7B2221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pct"/>
                  <w:vAlign w:val="center"/>
                </w:tcPr>
                <w:p w14:paraId="6D7C0DDA">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较敏感</w:t>
                  </w:r>
                </w:p>
              </w:tc>
              <w:tc>
                <w:tcPr>
                  <w:tcW w:w="4352" w:type="pct"/>
                  <w:vAlign w:val="center"/>
                </w:tcPr>
                <w:p w14:paraId="51B67F76">
                  <w:pPr>
                    <w:widowControl/>
                    <w:spacing w:line="240" w:lineRule="auto"/>
                    <w:ind w:firstLine="0" w:firstLineChars="0"/>
                    <w:jc w:val="left"/>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集中式饮用水水源（包括已建成的在用、备用、应急水源，在建和规划的饮用水水源）准保护区以外的补给径流区；未划定准保护区的集中式饮用水水源，其保护区以外的补给径流区；分散式饮用水水源地；特殊地下水资源（如热水、矿泉水、温泉等）保护区以外的分布区等其他未列入上述敏感分级的环境敏感区</w:t>
                  </w:r>
                  <w:r>
                    <w:rPr>
                      <w:rFonts w:hint="eastAsia"/>
                      <w:color w:val="000000" w:themeColor="text1"/>
                      <w:kern w:val="0"/>
                      <w:sz w:val="21"/>
                      <w:szCs w:val="21"/>
                      <w:vertAlign w:val="superscript"/>
                      <w:lang w:bidi="ar"/>
                      <w14:textFill>
                        <w14:solidFill>
                          <w14:schemeClr w14:val="tx1"/>
                        </w14:solidFill>
                      </w14:textFill>
                    </w:rPr>
                    <w:t>a</w:t>
                  </w:r>
                </w:p>
              </w:tc>
            </w:tr>
            <w:tr w14:paraId="785AC3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47" w:type="pct"/>
                  <w:vAlign w:val="center"/>
                </w:tcPr>
                <w:p w14:paraId="2B8B482F">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不敏感</w:t>
                  </w:r>
                </w:p>
              </w:tc>
              <w:tc>
                <w:tcPr>
                  <w:tcW w:w="4352" w:type="pct"/>
                  <w:vAlign w:val="center"/>
                </w:tcPr>
                <w:p w14:paraId="27513846">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上述地区之外的其他地区</w:t>
                  </w:r>
                </w:p>
              </w:tc>
            </w:tr>
            <w:tr w14:paraId="455F80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2"/>
                  <w:vAlign w:val="center"/>
                </w:tcPr>
                <w:p w14:paraId="722424A2">
                  <w:pPr>
                    <w:widowControl/>
                    <w:spacing w:line="240" w:lineRule="auto"/>
                    <w:ind w:firstLine="0" w:firstLineChars="0"/>
                    <w:jc w:val="left"/>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a “环境敏感区”是指《建设项目环境影响评价分类管理名录》中所界定的涉及地下水的环境敏感区</w:t>
                  </w:r>
                </w:p>
              </w:tc>
            </w:tr>
          </w:tbl>
          <w:p w14:paraId="2507CB16">
            <w:pPr>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表4-6  评价工作等级分级表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32"/>
              <w:gridCol w:w="2177"/>
              <w:gridCol w:w="1955"/>
              <w:gridCol w:w="1955"/>
            </w:tblGrid>
            <w:tr w14:paraId="3EB9FA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0" w:hRule="atLeast"/>
              </w:trPr>
              <w:tc>
                <w:tcPr>
                  <w:tcW w:w="1107" w:type="pct"/>
                  <w:vAlign w:val="center"/>
                </w:tcPr>
                <w:p w14:paraId="177AF1E7">
                  <w:pPr>
                    <w:widowControl/>
                    <w:snapToGrid w:val="0"/>
                    <w:spacing w:line="240" w:lineRule="auto"/>
                    <w:ind w:firstLine="0" w:firstLineChars="0"/>
                    <w:textAlignment w:val="baseline"/>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敏感程度</w:t>
                  </w:r>
                </w:p>
                <w:p w14:paraId="516BAF6E">
                  <w:pPr>
                    <w:widowControl/>
                    <w:spacing w:line="240" w:lineRule="auto"/>
                    <w:ind w:firstLine="0" w:firstLineChars="0"/>
                    <w:textAlignment w:val="baseline"/>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项目类别</w:t>
                  </w:r>
                </w:p>
              </w:tc>
              <w:tc>
                <w:tcPr>
                  <w:tcW w:w="1392" w:type="pct"/>
                  <w:vAlign w:val="center"/>
                </w:tcPr>
                <w:p w14:paraId="2E43E296">
                  <w:pPr>
                    <w:widowControl/>
                    <w:spacing w:line="240" w:lineRule="auto"/>
                    <w:ind w:firstLine="0" w:firstLineChars="0"/>
                    <w:jc w:val="center"/>
                    <w:textAlignment w:val="baseline"/>
                    <w:rPr>
                      <w:b/>
                      <w:bCs/>
                      <w:color w:val="000000" w:themeColor="text1"/>
                      <w:kern w:val="0"/>
                      <w:sz w:val="21"/>
                      <w:szCs w:val="21"/>
                      <w:lang w:bidi="ar"/>
                      <w14:textFill>
                        <w14:solidFill>
                          <w14:schemeClr w14:val="tx1"/>
                        </w14:solidFill>
                      </w14:textFill>
                    </w:rPr>
                  </w:pPr>
                  <w:r>
                    <w:rPr>
                      <w:rFonts w:hint="eastAsia" w:ascii="宋体" w:hAnsi="宋体" w:cs="宋体"/>
                      <w:b/>
                      <w:bCs/>
                      <w:color w:val="000000" w:themeColor="text1"/>
                      <w:kern w:val="0"/>
                      <w:sz w:val="21"/>
                      <w:szCs w:val="21"/>
                      <w:lang w:bidi="ar"/>
                      <w14:textFill>
                        <w14:solidFill>
                          <w14:schemeClr w14:val="tx1"/>
                        </w14:solidFill>
                      </w14:textFill>
                    </w:rPr>
                    <w:t>Ⅰ</w:t>
                  </w:r>
                  <w:r>
                    <w:rPr>
                      <w:rFonts w:hint="eastAsia"/>
                      <w:b/>
                      <w:bCs/>
                      <w:color w:val="000000" w:themeColor="text1"/>
                      <w:kern w:val="0"/>
                      <w:sz w:val="21"/>
                      <w:szCs w:val="21"/>
                      <w:lang w:bidi="ar"/>
                      <w14:textFill>
                        <w14:solidFill>
                          <w14:schemeClr w14:val="tx1"/>
                        </w14:solidFill>
                      </w14:textFill>
                    </w:rPr>
                    <w:t>类项目</w:t>
                  </w:r>
                </w:p>
              </w:tc>
              <w:tc>
                <w:tcPr>
                  <w:tcW w:w="1250" w:type="pct"/>
                  <w:vAlign w:val="center"/>
                </w:tcPr>
                <w:p w14:paraId="0B460741">
                  <w:pPr>
                    <w:widowControl/>
                    <w:spacing w:line="240" w:lineRule="auto"/>
                    <w:ind w:firstLine="0" w:firstLineChars="0"/>
                    <w:jc w:val="center"/>
                    <w:textAlignment w:val="baseline"/>
                    <w:rPr>
                      <w:b/>
                      <w:bCs/>
                      <w:color w:val="000000" w:themeColor="text1"/>
                      <w:kern w:val="0"/>
                      <w:sz w:val="21"/>
                      <w:szCs w:val="21"/>
                      <w:lang w:bidi="ar"/>
                      <w14:textFill>
                        <w14:solidFill>
                          <w14:schemeClr w14:val="tx1"/>
                        </w14:solidFill>
                      </w14:textFill>
                    </w:rPr>
                  </w:pPr>
                  <w:r>
                    <w:rPr>
                      <w:rFonts w:hint="eastAsia" w:ascii="宋体" w:hAnsi="宋体" w:cs="宋体"/>
                      <w:b/>
                      <w:bCs/>
                      <w:color w:val="000000" w:themeColor="text1"/>
                      <w:kern w:val="0"/>
                      <w:sz w:val="21"/>
                      <w:szCs w:val="21"/>
                      <w:lang w:bidi="ar"/>
                      <w14:textFill>
                        <w14:solidFill>
                          <w14:schemeClr w14:val="tx1"/>
                        </w14:solidFill>
                      </w14:textFill>
                    </w:rPr>
                    <w:t>Ⅱ</w:t>
                  </w:r>
                  <w:r>
                    <w:rPr>
                      <w:rFonts w:hint="eastAsia"/>
                      <w:b/>
                      <w:bCs/>
                      <w:color w:val="000000" w:themeColor="text1"/>
                      <w:kern w:val="0"/>
                      <w:sz w:val="21"/>
                      <w:szCs w:val="21"/>
                      <w:lang w:bidi="ar"/>
                      <w14:textFill>
                        <w14:solidFill>
                          <w14:schemeClr w14:val="tx1"/>
                        </w14:solidFill>
                      </w14:textFill>
                    </w:rPr>
                    <w:t>类项目</w:t>
                  </w:r>
                </w:p>
              </w:tc>
              <w:tc>
                <w:tcPr>
                  <w:tcW w:w="1250" w:type="pct"/>
                  <w:vAlign w:val="center"/>
                </w:tcPr>
                <w:p w14:paraId="7702585F">
                  <w:pPr>
                    <w:widowControl/>
                    <w:spacing w:line="240" w:lineRule="auto"/>
                    <w:ind w:firstLine="0" w:firstLineChars="0"/>
                    <w:jc w:val="center"/>
                    <w:textAlignment w:val="baseline"/>
                    <w:rPr>
                      <w:b/>
                      <w:bCs/>
                      <w:color w:val="000000" w:themeColor="text1"/>
                      <w:kern w:val="0"/>
                      <w:sz w:val="21"/>
                      <w:szCs w:val="21"/>
                      <w:lang w:bidi="ar"/>
                      <w14:textFill>
                        <w14:solidFill>
                          <w14:schemeClr w14:val="tx1"/>
                        </w14:solidFill>
                      </w14:textFill>
                    </w:rPr>
                  </w:pPr>
                  <w:r>
                    <w:rPr>
                      <w:rFonts w:hint="eastAsia" w:ascii="宋体" w:hAnsi="宋体" w:cs="宋体"/>
                      <w:b/>
                      <w:bCs/>
                      <w:color w:val="000000" w:themeColor="text1"/>
                      <w:kern w:val="0"/>
                      <w:sz w:val="21"/>
                      <w:szCs w:val="21"/>
                      <w:lang w:bidi="ar"/>
                      <w14:textFill>
                        <w14:solidFill>
                          <w14:schemeClr w14:val="tx1"/>
                        </w14:solidFill>
                      </w14:textFill>
                    </w:rPr>
                    <w:t>Ⅲ</w:t>
                  </w:r>
                  <w:r>
                    <w:rPr>
                      <w:rFonts w:hint="eastAsia"/>
                      <w:b/>
                      <w:bCs/>
                      <w:color w:val="000000" w:themeColor="text1"/>
                      <w:kern w:val="0"/>
                      <w:sz w:val="21"/>
                      <w:szCs w:val="21"/>
                      <w:lang w:bidi="ar"/>
                      <w14:textFill>
                        <w14:solidFill>
                          <w14:schemeClr w14:val="tx1"/>
                        </w14:solidFill>
                      </w14:textFill>
                    </w:rPr>
                    <w:t>类项目</w:t>
                  </w:r>
                </w:p>
              </w:tc>
            </w:tr>
            <w:tr w14:paraId="3A23C9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449C9347">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敏感</w:t>
                  </w:r>
                </w:p>
              </w:tc>
              <w:tc>
                <w:tcPr>
                  <w:tcW w:w="1392" w:type="pct"/>
                  <w:vAlign w:val="center"/>
                </w:tcPr>
                <w:p w14:paraId="5EE76CE3">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一</w:t>
                  </w:r>
                </w:p>
              </w:tc>
              <w:tc>
                <w:tcPr>
                  <w:tcW w:w="1250" w:type="pct"/>
                  <w:vAlign w:val="center"/>
                </w:tcPr>
                <w:p w14:paraId="26BE932E">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一</w:t>
                  </w:r>
                </w:p>
              </w:tc>
              <w:tc>
                <w:tcPr>
                  <w:tcW w:w="1250" w:type="pct"/>
                  <w:shd w:val="clear" w:color="auto" w:fill="D7D7D7" w:themeFill="background1" w:themeFillShade="D8"/>
                  <w:vAlign w:val="center"/>
                </w:tcPr>
                <w:p w14:paraId="49D77FEC">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二</w:t>
                  </w:r>
                </w:p>
              </w:tc>
            </w:tr>
            <w:tr w14:paraId="0E1665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2B03888A">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较敏感</w:t>
                  </w:r>
                </w:p>
              </w:tc>
              <w:tc>
                <w:tcPr>
                  <w:tcW w:w="1392" w:type="pct"/>
                  <w:vAlign w:val="center"/>
                </w:tcPr>
                <w:p w14:paraId="20529663">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一</w:t>
                  </w:r>
                </w:p>
              </w:tc>
              <w:tc>
                <w:tcPr>
                  <w:tcW w:w="1250" w:type="pct"/>
                  <w:vAlign w:val="center"/>
                </w:tcPr>
                <w:p w14:paraId="59FA0C2D">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二</w:t>
                  </w:r>
                </w:p>
              </w:tc>
              <w:tc>
                <w:tcPr>
                  <w:tcW w:w="1250" w:type="pct"/>
                  <w:vAlign w:val="center"/>
                </w:tcPr>
                <w:p w14:paraId="4079295B">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三</w:t>
                  </w:r>
                </w:p>
              </w:tc>
            </w:tr>
            <w:tr w14:paraId="018802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07" w:type="pct"/>
                  <w:vAlign w:val="center"/>
                </w:tcPr>
                <w:p w14:paraId="0711A0B0">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不敏感</w:t>
                  </w:r>
                </w:p>
              </w:tc>
              <w:tc>
                <w:tcPr>
                  <w:tcW w:w="1392" w:type="pct"/>
                  <w:vAlign w:val="center"/>
                </w:tcPr>
                <w:p w14:paraId="1E61C072">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二</w:t>
                  </w:r>
                </w:p>
              </w:tc>
              <w:tc>
                <w:tcPr>
                  <w:tcW w:w="1250" w:type="pct"/>
                  <w:vAlign w:val="center"/>
                </w:tcPr>
                <w:p w14:paraId="0623AEDF">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三</w:t>
                  </w:r>
                </w:p>
              </w:tc>
              <w:tc>
                <w:tcPr>
                  <w:tcW w:w="1250" w:type="pct"/>
                  <w:vAlign w:val="center"/>
                </w:tcPr>
                <w:p w14:paraId="28DF8063">
                  <w:pPr>
                    <w:widowControl/>
                    <w:spacing w:line="240" w:lineRule="auto"/>
                    <w:ind w:firstLine="0" w:firstLineChars="0"/>
                    <w:jc w:val="center"/>
                    <w:textAlignment w:val="baseline"/>
                    <w:rPr>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三</w:t>
                  </w:r>
                </w:p>
              </w:tc>
            </w:tr>
          </w:tbl>
          <w:p w14:paraId="61888665">
            <w:pPr>
              <w:widowControl/>
              <w:ind w:firstLine="480"/>
              <w:jc w:val="left"/>
              <w:rPr>
                <w:rFonts w:hint="eastAsia"/>
                <w:color w:val="000000" w:themeColor="text1"/>
                <w:kern w:val="0"/>
                <w:lang w:eastAsia="zh-CN" w:bidi="ar"/>
                <w14:textFill>
                  <w14:solidFill>
                    <w14:schemeClr w14:val="tx1"/>
                  </w14:solidFill>
                </w14:textFill>
              </w:rPr>
            </w:pPr>
            <w:r>
              <w:rPr>
                <w:rFonts w:hint="eastAsia"/>
                <w:color w:val="000000" w:themeColor="text1"/>
                <w:kern w:val="0"/>
                <w:lang w:eastAsia="zh-CN" w:bidi="ar"/>
                <w14:textFill>
                  <w14:solidFill>
                    <w14:schemeClr w14:val="tx1"/>
                  </w14:solidFill>
                </w14:textFill>
              </w:rPr>
              <w:t>根据《环境影响评价技术导则 地下水环境》（HJ610-2016）附录A，本项目为Ⅲ类项目。建设项目场地的地下水环境敏感程度：本项目不在饮用水源保护区范围内，经调查，项目周边涉及古城村委会新石桥村245人人饮水源点，同时下游村子里有多口饮用出露泉及应急机井，</w:t>
            </w:r>
            <w:r>
              <w:rPr>
                <w:rFonts w:hint="eastAsia"/>
                <w:color w:val="000000" w:themeColor="text1"/>
                <w:kern w:val="0"/>
                <w:lang w:val="en-US" w:eastAsia="zh-CN" w:bidi="ar"/>
                <w14:textFill>
                  <w14:solidFill>
                    <w14:schemeClr w14:val="tx1"/>
                  </w14:solidFill>
                </w14:textFill>
              </w:rPr>
              <w:t>属于</w:t>
            </w:r>
            <w:r>
              <w:rPr>
                <w:rFonts w:hint="eastAsia"/>
                <w:color w:val="000000" w:themeColor="text1"/>
                <w:kern w:val="0"/>
                <w:lang w:eastAsia="zh-CN" w:bidi="ar"/>
                <w14:textFill>
                  <w14:solidFill>
                    <w14:schemeClr w14:val="tx1"/>
                  </w14:solidFill>
                </w14:textFill>
              </w:rPr>
              <w:t>未划定准保护区的集中式饮用水水源，因此地下水环境敏感程度为“</w:t>
            </w:r>
            <w:r>
              <w:rPr>
                <w:rFonts w:hint="eastAsia"/>
                <w:color w:val="000000" w:themeColor="text1"/>
                <w:kern w:val="0"/>
                <w:lang w:val="en-US" w:eastAsia="zh-CN" w:bidi="ar"/>
                <w14:textFill>
                  <w14:solidFill>
                    <w14:schemeClr w14:val="tx1"/>
                  </w14:solidFill>
                </w14:textFill>
              </w:rPr>
              <w:t>较</w:t>
            </w:r>
            <w:r>
              <w:rPr>
                <w:rFonts w:hint="eastAsia"/>
                <w:color w:val="000000" w:themeColor="text1"/>
                <w:kern w:val="0"/>
                <w:lang w:eastAsia="zh-CN" w:bidi="ar"/>
                <w14:textFill>
                  <w14:solidFill>
                    <w14:schemeClr w14:val="tx1"/>
                  </w14:solidFill>
                </w14:textFill>
              </w:rPr>
              <w:t>敏感”。根据评价工作等级分级表该项目为</w:t>
            </w:r>
            <w:r>
              <w:rPr>
                <w:rFonts w:hint="eastAsia"/>
                <w:color w:val="000000" w:themeColor="text1"/>
                <w:kern w:val="0"/>
                <w:lang w:val="en-US" w:eastAsia="zh-CN" w:bidi="ar"/>
                <w14:textFill>
                  <w14:solidFill>
                    <w14:schemeClr w14:val="tx1"/>
                  </w14:solidFill>
                </w14:textFill>
              </w:rPr>
              <w:t>三</w:t>
            </w:r>
            <w:r>
              <w:rPr>
                <w:rFonts w:hint="eastAsia"/>
                <w:color w:val="000000" w:themeColor="text1"/>
                <w:kern w:val="0"/>
                <w:lang w:eastAsia="zh-CN" w:bidi="ar"/>
                <w14:textFill>
                  <w14:solidFill>
                    <w14:schemeClr w14:val="tx1"/>
                  </w14:solidFill>
                </w14:textFill>
              </w:rPr>
              <w:t>级评价。</w:t>
            </w:r>
          </w:p>
          <w:p w14:paraId="77A0D4C1">
            <w:pPr>
              <w:widowControl/>
              <w:ind w:firstLine="482"/>
              <w:jc w:val="left"/>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4.2评价范围</w:t>
            </w:r>
          </w:p>
          <w:p w14:paraId="2768EA56">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本次评价范围采用《环境影响评价技术导则—地下水环境》（HJ610-2016）中自定义法，结合评价区水文情况，确定本项目评价范围为</w:t>
            </w:r>
            <w:r>
              <w:rPr>
                <w:rFonts w:hint="eastAsia"/>
                <w:color w:val="000000" w:themeColor="text1"/>
                <w:kern w:val="0"/>
                <w:lang w:val="en-US" w:eastAsia="zh-CN" w:bidi="ar"/>
                <w14:textFill>
                  <w14:solidFill>
                    <w14:schemeClr w14:val="tx1"/>
                  </w14:solidFill>
                </w14:textFill>
              </w:rPr>
              <w:t>6.1</w:t>
            </w:r>
            <w:r>
              <w:rPr>
                <w:rFonts w:hint="eastAsia"/>
                <w:color w:val="000000" w:themeColor="text1"/>
                <w:kern w:val="0"/>
                <w:lang w:bidi="ar"/>
                <w14:textFill>
                  <w14:solidFill>
                    <w14:schemeClr w14:val="tx1"/>
                  </w14:solidFill>
                </w14:textFill>
              </w:rPr>
              <w:t>km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w:t>
            </w:r>
          </w:p>
          <w:p w14:paraId="3822B486">
            <w:pPr>
              <w:widowControl/>
              <w:ind w:firstLine="482"/>
              <w:jc w:val="left"/>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4.3区域地形地貌</w:t>
            </w:r>
          </w:p>
          <w:p w14:paraId="1F890B3B">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寻甸县位于滇东高原中部，地势西北高、东南低，呈向东南倾斜阶梯状，以走向北东----南西或近南北向的乌蒙山、梁王山、小海梁子等山脉为主，中间夹着长珑岗山地，从而形成金所、羊街和寻甸三个不同类型的低山丘陵盆地地形特征。西北部分为山岭高地，羊场山、马鞍山、凤龙山组成的山岭和峡谷，山岭高程2500m，谷底高程2070m。东南部分为低山丘陵区，山岭多呈圆凸状，标高2080—2250m，而中间部分受构造断裂和剥蚀控制，形成该区由西向东阶梯状下降之地貌景观。县内大部分地区在海拔1800～2600m之间，最高点在金源与东川市交界的（花石头）巨龙梁子，主峰海拔3294.8m，金源河谷的小树棵最低，海拔1445米，县内最大高差1849.8m。全县呈现出山原峡谷交替，逶迤连绵的宏伟地貌景观。</w:t>
            </w:r>
          </w:p>
          <w:p w14:paraId="59C61D7D">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金所盆地：为一四周封闭的狭长剥蚀丘陵盆地，标高2000—2070m，面积约170km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。盆地略向南倾斜，稍有起伏，盆地西缘沟谷密布，沟身狭长，沟口宽阔。</w:t>
            </w:r>
          </w:p>
          <w:p w14:paraId="7BA72AE6">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羊街盆地：北端与金所盆地以剥蚀丘陵接壤，南边与嵩明盆地连通。盆地标高1910—1965m，面积约100km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。盆地中部较为平坦，略向南倾斜，东部沟谷宽敞。</w:t>
            </w:r>
          </w:p>
          <w:p w14:paraId="58054B17">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寻甸盆地：为一狭长斜形不对称断裂堆积盆地，标高1865m，面积约80km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，盆地中部较为平坦。牛栏江的出口是该区最低侵蚀基准面，标高1860m。</w:t>
            </w:r>
          </w:p>
          <w:p w14:paraId="2DFD4F44">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全县的地貌类型有构造侵蚀地貌、构造侵蚀、溶蚀地貌、湖泊堆积地貌等。其中构造侵蚀主要分布在寻甸县南北向的块河、大白河沿岸一带上，根据相对高度分为构造侵蚀高中山、中山、低中山地貌。构造侵蚀、溶蚀地貌主要分布于该区东西两侧，按其相对高度细分，高中山主要分布于该区东部，中山分布于东北及西南部，低中山主要分布在东南部。湖泊堆积地貌主要分布在块河、大白河及牛栏江沿岸及河谷地区，形成断坳盆地、构造侵蚀盆地、侵蚀（溶蚀）谷地及湖积台地地貌。</w:t>
            </w:r>
          </w:p>
          <w:p w14:paraId="30D22F63">
            <w:pPr>
              <w:widowControl/>
              <w:ind w:firstLineChars="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区属于中山斜坡地貌，所在地鸡街镇新石桥村整体地势南高北低，整体为不规则椭圆状，整体地势南高北低，长约400m，宽约260m，高差约80m。整体呈圈椅状，东、南、西三面高北侧低，最高点位于项目区东部山头，海拔2101.33m，最低点位于西部采场底部，海拔2045.59m，最大相对高差约55.74m。现状西、北侧以旱地为主，西南侧更高处有林地分布。该点东部外围人口密度较小，无自然保护区、风景名胜区，无重要的、受保护的地质遗迹。</w:t>
            </w:r>
          </w:p>
          <w:p w14:paraId="5366AAAF">
            <w:pPr>
              <w:pStyle w:val="2"/>
              <w:autoSpaceDE/>
              <w:autoSpaceDN/>
              <w:spacing w:line="360" w:lineRule="auto"/>
              <w:ind w:firstLine="0" w:firstLineChars="0"/>
              <w:jc w:val="center"/>
              <w:rPr>
                <w:rFonts w:hint="eastAsia" w:hAnsi="宋体" w:cs="宋体"/>
                <w:color w:val="000000" w:themeColor="text1"/>
                <w14:textFill>
                  <w14:solidFill>
                    <w14:schemeClr w14:val="tx1"/>
                  </w14:solidFill>
                </w14:textFill>
              </w:rPr>
            </w:pPr>
            <w:r>
              <w:drawing>
                <wp:inline distT="0" distB="0" distL="114300" distR="114300">
                  <wp:extent cx="4641850" cy="4377690"/>
                  <wp:effectExtent l="0" t="0" r="6350" b="3810"/>
                  <wp:docPr id="2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6"/>
                          <pic:cNvPicPr>
                            <a:picLocks noChangeAspect="1"/>
                          </pic:cNvPicPr>
                        </pic:nvPicPr>
                        <pic:blipFill>
                          <a:blip r:embed="rId24"/>
                          <a:stretch>
                            <a:fillRect/>
                          </a:stretch>
                        </pic:blipFill>
                        <pic:spPr>
                          <a:xfrm>
                            <a:off x="0" y="0"/>
                            <a:ext cx="4641850" cy="4377690"/>
                          </a:xfrm>
                          <a:prstGeom prst="rect">
                            <a:avLst/>
                          </a:prstGeom>
                          <a:noFill/>
                          <a:ln>
                            <a:noFill/>
                          </a:ln>
                        </pic:spPr>
                      </pic:pic>
                    </a:graphicData>
                  </a:graphic>
                </wp:inline>
              </w:drawing>
            </w:r>
          </w:p>
          <w:p w14:paraId="303B3CE6">
            <w:pPr>
              <w:ind w:firstLine="0" w:firstLineChars="0"/>
              <w:jc w:val="center"/>
              <w:rPr>
                <w:rFonts w:hint="eastAsia" w:eastAsia="宋体"/>
                <w:b/>
                <w:bCs/>
                <w:color w:val="000000" w:themeColor="text1"/>
                <w:kern w:val="0"/>
                <w:sz w:val="24"/>
                <w:szCs w:val="24"/>
                <w:lang w:eastAsia="zh-CN" w:bidi="ar"/>
                <w14:textFill>
                  <w14:solidFill>
                    <w14:schemeClr w14:val="tx1"/>
                  </w14:solidFill>
                </w14:textFill>
              </w:rPr>
            </w:pPr>
            <w:r>
              <w:rPr>
                <w:rFonts w:hint="eastAsia"/>
                <w:b/>
                <w:bCs/>
                <w:color w:val="000000" w:themeColor="text1"/>
                <w:kern w:val="0"/>
                <w:sz w:val="24"/>
                <w:szCs w:val="24"/>
                <w:lang w:bidi="ar"/>
                <w14:textFill>
                  <w14:solidFill>
                    <w14:schemeClr w14:val="tx1"/>
                  </w14:solidFill>
                </w14:textFill>
              </w:rPr>
              <w:t>图4-6  项目区地形地貌图</w:t>
            </w:r>
            <w:r>
              <w:rPr>
                <w:rFonts w:hint="eastAsia"/>
                <w:b/>
                <w:bCs/>
                <w:color w:val="000000" w:themeColor="text1"/>
                <w:kern w:val="0"/>
                <w:sz w:val="24"/>
                <w:szCs w:val="24"/>
                <w:lang w:eastAsia="zh-CN" w:bidi="ar"/>
                <w14:textFill>
                  <w14:solidFill>
                    <w14:schemeClr w14:val="tx1"/>
                  </w14:solidFill>
                </w14:textFill>
              </w:rPr>
              <w:t>（</w:t>
            </w:r>
            <w:r>
              <w:rPr>
                <w:rFonts w:hint="eastAsia"/>
                <w:b/>
                <w:bCs/>
                <w:color w:val="000000" w:themeColor="text1"/>
                <w:kern w:val="0"/>
                <w:sz w:val="24"/>
                <w:szCs w:val="24"/>
                <w:lang w:val="en-US" w:eastAsia="zh-CN" w:bidi="ar"/>
                <w14:textFill>
                  <w14:solidFill>
                    <w14:schemeClr w14:val="tx1"/>
                  </w14:solidFill>
                </w14:textFill>
              </w:rPr>
              <w:t>拍摄日期2025.3.30</w:t>
            </w:r>
            <w:r>
              <w:rPr>
                <w:rFonts w:hint="eastAsia"/>
                <w:b/>
                <w:bCs/>
                <w:color w:val="000000" w:themeColor="text1"/>
                <w:kern w:val="0"/>
                <w:sz w:val="24"/>
                <w:szCs w:val="24"/>
                <w:lang w:eastAsia="zh-CN" w:bidi="ar"/>
                <w14:textFill>
                  <w14:solidFill>
                    <w14:schemeClr w14:val="tx1"/>
                  </w14:solidFill>
                </w14:textFill>
              </w:rPr>
              <w:t>）</w:t>
            </w:r>
          </w:p>
          <w:p w14:paraId="74252DE2">
            <w:pPr>
              <w:widowControl/>
              <w:ind w:firstLine="482"/>
              <w:jc w:val="left"/>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4.4区域地质岩性</w:t>
            </w:r>
          </w:p>
          <w:p w14:paraId="38816F42">
            <w:pPr>
              <w:widowControl/>
              <w:ind w:firstLine="482"/>
              <w:jc w:val="left"/>
              <w:rPr>
                <w:b/>
                <w:color w:val="000000" w:themeColor="text1"/>
                <w:lang w:bidi="ar"/>
                <w14:textFill>
                  <w14:solidFill>
                    <w14:schemeClr w14:val="tx1"/>
                  </w14:solidFill>
                </w14:textFill>
              </w:rPr>
            </w:pPr>
            <w:r>
              <w:rPr>
                <w:rFonts w:hint="eastAsia"/>
                <w:b/>
                <w:color w:val="000000" w:themeColor="text1"/>
                <w:lang w:bidi="ar"/>
                <w14:textFill>
                  <w14:solidFill>
                    <w14:schemeClr w14:val="tx1"/>
                  </w14:solidFill>
                </w14:textFill>
              </w:rPr>
              <w:t>（1）项目区域地质岩性</w:t>
            </w:r>
          </w:p>
          <w:p w14:paraId="4C779A91">
            <w:pPr>
              <w:widowControl/>
              <w:ind w:firstLine="480"/>
              <w:jc w:val="left"/>
              <w:rPr>
                <w:rFonts w:hint="default" w:ascii="Times New Roman" w:hAnsi="Times New Roman" w:eastAsia="宋体" w:cs="Times New Roman"/>
                <w:bCs/>
                <w:color w:val="000000" w:themeColor="text1"/>
                <w:sz w:val="24"/>
                <w:szCs w:val="24"/>
                <w:lang w:eastAsia="zh-CN"/>
                <w14:textFill>
                  <w14:solidFill>
                    <w14:schemeClr w14:val="tx1"/>
                  </w14:solidFill>
                </w14:textFill>
              </w:rPr>
            </w:pPr>
            <w:r>
              <w:rPr>
                <w:rFonts w:hint="default" w:ascii="Times New Roman" w:hAnsi="Times New Roman" w:eastAsia="宋体" w:cs="Times New Roman"/>
                <w:bCs/>
                <w:color w:val="000000" w:themeColor="text1"/>
                <w:sz w:val="24"/>
                <w:szCs w:val="24"/>
                <w:lang w:bidi="ar"/>
                <w14:textFill>
                  <w14:solidFill>
                    <w14:schemeClr w14:val="tx1"/>
                  </w14:solidFill>
                </w14:textFill>
              </w:rPr>
              <w:t>根据</w:t>
            </w:r>
            <w:r>
              <w:rPr>
                <w:rFonts w:hint="default" w:ascii="Times New Roman" w:hAnsi="Times New Roman" w:eastAsia="宋体" w:cs="Times New Roman"/>
                <w:color w:val="000000" w:themeColor="text1"/>
                <w:sz w:val="24"/>
                <w:szCs w:val="24"/>
                <w:lang w:eastAsia="zh-CN"/>
                <w14:textFill>
                  <w14:solidFill>
                    <w14:schemeClr w14:val="tx1"/>
                  </w14:solidFill>
                </w14:textFill>
              </w:rPr>
              <w:t>广西华蓝岩土工程有限公司</w:t>
            </w:r>
            <w:r>
              <w:rPr>
                <w:rFonts w:hint="default" w:ascii="Times New Roman" w:hAnsi="Times New Roman" w:eastAsia="宋体" w:cs="Times New Roman"/>
                <w:color w:val="000000" w:themeColor="text1"/>
                <w:sz w:val="24"/>
                <w:szCs w:val="24"/>
                <w14:textFill>
                  <w14:solidFill>
                    <w14:schemeClr w14:val="tx1"/>
                  </w14:solidFill>
                </w14:textFill>
              </w:rPr>
              <w:t>的《云南省寻甸县大旋塘采石场废弃矿坑生态修复水文地质勘察报告》资料可知</w:t>
            </w:r>
            <w:r>
              <w:rPr>
                <w:rFonts w:hint="default" w:ascii="Times New Roman" w:hAnsi="Times New Roman" w:eastAsia="宋体" w:cs="Times New Roman"/>
                <w:bCs/>
                <w:color w:val="000000" w:themeColor="text1"/>
                <w:sz w:val="24"/>
                <w:szCs w:val="24"/>
                <w:lang w:bidi="ar"/>
                <w14:textFill>
                  <w14:solidFill>
                    <w14:schemeClr w14:val="tx1"/>
                  </w14:solidFill>
                </w14:textFill>
              </w:rPr>
              <w:t>，大旋塘采石场分布的地层有：</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根据区域地质资料及野外实地调查，区域出露地层主要有新生界第四系（Q）；古生界二叠系上-下统（P</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1-2</w:t>
            </w:r>
            <w:r>
              <w:rPr>
                <w:rFonts w:hint="default" w:ascii="Times New Roman" w:hAnsi="Times New Roman" w:eastAsia="宋体" w:cs="Times New Roman"/>
                <w:i/>
                <w:iCs/>
                <w:color w:val="000000" w:themeColor="text1"/>
                <w:spacing w:val="-10"/>
                <w:sz w:val="24"/>
                <w:szCs w:val="24"/>
                <w:highlight w:val="none"/>
                <w:vertAlign w:val="superscript"/>
                <w14:textFill>
                  <w14:solidFill>
                    <w14:schemeClr w14:val="tx1"/>
                  </w14:solidFill>
                </w14:textFill>
              </w:rPr>
              <w:t>c</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）、（P</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1-2</w:t>
            </w:r>
            <w:r>
              <w:rPr>
                <w:rFonts w:hint="default" w:ascii="Times New Roman" w:hAnsi="Times New Roman" w:eastAsia="宋体" w:cs="Times New Roman"/>
                <w:i/>
                <w:iCs/>
                <w:color w:val="000000" w:themeColor="text1"/>
                <w:spacing w:val="-10"/>
                <w:sz w:val="24"/>
                <w:szCs w:val="24"/>
                <w:highlight w:val="none"/>
                <w:vertAlign w:val="superscript"/>
                <w14:textFill>
                  <w14:solidFill>
                    <w14:schemeClr w14:val="tx1"/>
                  </w14:solidFill>
                </w14:textFill>
              </w:rPr>
              <w:t>b</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）、（P</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1-2</w:t>
            </w:r>
            <w:r>
              <w:rPr>
                <w:rFonts w:hint="default" w:ascii="Times New Roman" w:hAnsi="Times New Roman" w:eastAsia="宋体" w:cs="Times New Roman"/>
                <w:i/>
                <w:iCs/>
                <w:color w:val="000000" w:themeColor="text1"/>
                <w:spacing w:val="-10"/>
                <w:sz w:val="24"/>
                <w:szCs w:val="24"/>
                <w:highlight w:val="none"/>
                <w:vertAlign w:val="superscript"/>
                <w14:textFill>
                  <w14:solidFill>
                    <w14:schemeClr w14:val="tx1"/>
                  </w14:solidFill>
                </w14:textFill>
              </w:rPr>
              <w:t>a</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），下统（</w:t>
            </w:r>
            <w:r>
              <w:rPr>
                <w:rFonts w:hint="default" w:ascii="Times New Roman" w:hAnsi="Times New Roman" w:eastAsia="宋体" w:cs="Times New Roman"/>
                <w:color w:val="000000" w:themeColor="text1"/>
                <w:sz w:val="24"/>
                <w:szCs w:val="24"/>
                <w:highlight w:val="none"/>
                <w14:textFill>
                  <w14:solidFill>
                    <w14:schemeClr w14:val="tx1"/>
                  </w14:solidFill>
                </w14:textFill>
              </w:rPr>
              <w:t>P</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w:t>
            </w:r>
            <w:r>
              <w:rPr>
                <w:rFonts w:hint="default" w:ascii="Times New Roman" w:hAnsi="Times New Roman" w:eastAsia="宋体" w:cs="Times New Roman"/>
                <w:i/>
                <w:color w:val="000000" w:themeColor="text1"/>
                <w:sz w:val="24"/>
                <w:szCs w:val="24"/>
                <w:highlight w:val="none"/>
                <w14:textFill>
                  <w14:solidFill>
                    <w14:schemeClr w14:val="tx1"/>
                  </w14:solidFill>
                </w14:textFill>
              </w:rPr>
              <w:t>q+m</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）栖霞茅口组、矿山组（P</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1</w:t>
            </w:r>
            <w:r>
              <w:rPr>
                <w:rFonts w:hint="default" w:ascii="Times New Roman" w:hAnsi="Times New Roman" w:eastAsia="宋体" w:cs="Times New Roman"/>
                <w:i/>
                <w:iCs/>
                <w:color w:val="000000" w:themeColor="text1"/>
                <w:spacing w:val="-10"/>
                <w:sz w:val="24"/>
                <w:szCs w:val="24"/>
                <w:highlight w:val="none"/>
                <w14:textFill>
                  <w14:solidFill>
                    <w14:schemeClr w14:val="tx1"/>
                  </w14:solidFill>
                </w14:textFill>
              </w:rPr>
              <w:t>k</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）；石炭系上-中统（C</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2-3</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）、下统（C</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）；泥盆系中统（D</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2</w:t>
            </w:r>
            <w:r>
              <w:rPr>
                <w:rFonts w:hint="default" w:ascii="Times New Roman" w:hAnsi="Times New Roman" w:eastAsia="宋体" w:cs="Times New Roman"/>
                <w:i/>
                <w:iCs/>
                <w:color w:val="000000" w:themeColor="text1"/>
                <w:spacing w:val="-10"/>
                <w:sz w:val="24"/>
                <w:szCs w:val="24"/>
                <w:highlight w:val="none"/>
                <w14:textFill>
                  <w14:solidFill>
                    <w14:schemeClr w14:val="tx1"/>
                  </w14:solidFill>
                </w14:textFill>
              </w:rPr>
              <w:t>a</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）、下统（D</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）、奥陶系下统红石崖组（O</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1</w:t>
            </w:r>
            <w:r>
              <w:rPr>
                <w:rFonts w:hint="default" w:ascii="Times New Roman" w:hAnsi="Times New Roman" w:eastAsia="宋体" w:cs="Times New Roman"/>
                <w:i/>
                <w:iCs/>
                <w:color w:val="000000" w:themeColor="text1"/>
                <w:spacing w:val="-10"/>
                <w:sz w:val="24"/>
                <w:szCs w:val="24"/>
                <w:highlight w:val="none"/>
                <w14:textFill>
                  <w14:solidFill>
                    <w14:schemeClr w14:val="tx1"/>
                  </w14:solidFill>
                </w14:textFill>
              </w:rPr>
              <w:t>h</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）等地层</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763020DA">
            <w:pPr>
              <w:spacing w:line="240" w:lineRule="auto"/>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表</w:t>
            </w:r>
            <w:r>
              <w:rPr>
                <w:rFonts w:hint="eastAsia"/>
                <w:b/>
                <w:bCs/>
                <w:color w:val="000000" w:themeColor="text1"/>
                <w:sz w:val="24"/>
                <w:szCs w:val="24"/>
                <w:lang w:val="en-US" w:eastAsia="zh-CN"/>
                <w14:textFill>
                  <w14:solidFill>
                    <w14:schemeClr w14:val="tx1"/>
                  </w14:solidFill>
                </w14:textFill>
              </w:rPr>
              <w:t>4-7</w:t>
            </w:r>
            <w:r>
              <w:rPr>
                <w:rFonts w:hint="eastAsia"/>
                <w:b/>
                <w:bCs/>
                <w:color w:val="000000" w:themeColor="text1"/>
                <w:sz w:val="24"/>
                <w:szCs w:val="24"/>
                <w14:textFill>
                  <w14:solidFill>
                    <w14:schemeClr w14:val="tx1"/>
                  </w14:solidFill>
                </w14:textFill>
              </w:rPr>
              <w:t xml:space="preserve">   区域地层主要特征一览表</w:t>
            </w:r>
          </w:p>
          <w:tbl>
            <w:tblPr>
              <w:tblStyle w:val="40"/>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36"/>
              <w:gridCol w:w="477"/>
              <w:gridCol w:w="598"/>
              <w:gridCol w:w="716"/>
              <w:gridCol w:w="838"/>
              <w:gridCol w:w="956"/>
              <w:gridCol w:w="3786"/>
            </w:tblGrid>
            <w:tr w14:paraId="39D7489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79" w:type="pct"/>
                  <w:tcBorders>
                    <w:top w:val="single" w:color="auto" w:sz="8" w:space="0"/>
                    <w:left w:val="single" w:color="auto" w:sz="8" w:space="0"/>
                    <w:bottom w:val="single" w:color="auto" w:sz="8" w:space="0"/>
                    <w:right w:val="single" w:color="auto" w:sz="8" w:space="0"/>
                  </w:tcBorders>
                  <w:noWrap w:val="0"/>
                  <w:vAlign w:val="center"/>
                </w:tcPr>
                <w:p w14:paraId="5D553EBF">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界</w:t>
                  </w:r>
                </w:p>
              </w:tc>
              <w:tc>
                <w:tcPr>
                  <w:tcW w:w="305" w:type="pct"/>
                  <w:tcBorders>
                    <w:top w:val="single" w:color="auto" w:sz="8" w:space="0"/>
                    <w:left w:val="single" w:color="auto" w:sz="8" w:space="0"/>
                    <w:bottom w:val="single" w:color="auto" w:sz="8" w:space="0"/>
                    <w:right w:val="single" w:color="auto" w:sz="8" w:space="0"/>
                  </w:tcBorders>
                  <w:noWrap w:val="0"/>
                  <w:vAlign w:val="center"/>
                </w:tcPr>
                <w:p w14:paraId="3EBB29A1">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系</w:t>
                  </w:r>
                </w:p>
              </w:tc>
              <w:tc>
                <w:tcPr>
                  <w:tcW w:w="383" w:type="pct"/>
                  <w:tcBorders>
                    <w:top w:val="single" w:color="auto" w:sz="8" w:space="0"/>
                    <w:left w:val="single" w:color="auto" w:sz="8" w:space="0"/>
                    <w:bottom w:val="single" w:color="auto" w:sz="8" w:space="0"/>
                    <w:right w:val="single" w:color="auto" w:sz="8" w:space="0"/>
                  </w:tcBorders>
                  <w:noWrap w:val="0"/>
                  <w:vAlign w:val="center"/>
                </w:tcPr>
                <w:p w14:paraId="362EAB2C">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统</w:t>
                  </w:r>
                </w:p>
              </w:tc>
              <w:tc>
                <w:tcPr>
                  <w:tcW w:w="458" w:type="pct"/>
                  <w:tcBorders>
                    <w:top w:val="single" w:color="auto" w:sz="8" w:space="0"/>
                    <w:left w:val="single" w:color="auto" w:sz="8" w:space="0"/>
                    <w:bottom w:val="single" w:color="auto" w:sz="8" w:space="0"/>
                    <w:right w:val="single" w:color="auto" w:sz="8" w:space="0"/>
                  </w:tcBorders>
                  <w:noWrap w:val="0"/>
                  <w:vAlign w:val="center"/>
                </w:tcPr>
                <w:p w14:paraId="095675B6">
                  <w:pPr>
                    <w:keepNext w:val="0"/>
                    <w:keepLines w:val="0"/>
                    <w:pageBreakBefore w:val="0"/>
                    <w:widowControl w:val="0"/>
                    <w:kinsoku/>
                    <w:wordWrap/>
                    <w:overflowPunct/>
                    <w:topLinePunct w:val="0"/>
                    <w:bidi w:val="0"/>
                    <w:adjustRightInd/>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组</w:t>
                  </w:r>
                </w:p>
              </w:tc>
              <w:tc>
                <w:tcPr>
                  <w:tcW w:w="536" w:type="pct"/>
                  <w:tcBorders>
                    <w:top w:val="single" w:color="auto" w:sz="8" w:space="0"/>
                    <w:left w:val="single" w:color="auto" w:sz="8" w:space="0"/>
                    <w:bottom w:val="single" w:color="auto" w:sz="8" w:space="0"/>
                    <w:right w:val="single" w:color="auto" w:sz="8" w:space="0"/>
                  </w:tcBorders>
                  <w:noWrap w:val="0"/>
                  <w:vAlign w:val="center"/>
                </w:tcPr>
                <w:p w14:paraId="35896C43">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代号</w:t>
                  </w:r>
                </w:p>
              </w:tc>
              <w:tc>
                <w:tcPr>
                  <w:tcW w:w="612" w:type="pct"/>
                  <w:tcBorders>
                    <w:top w:val="single" w:color="auto" w:sz="8" w:space="0"/>
                    <w:left w:val="single" w:color="auto" w:sz="8" w:space="0"/>
                    <w:bottom w:val="single" w:color="auto" w:sz="8" w:space="0"/>
                    <w:right w:val="single" w:color="auto" w:sz="8" w:space="0"/>
                  </w:tcBorders>
                  <w:noWrap w:val="0"/>
                  <w:vAlign w:val="center"/>
                </w:tcPr>
                <w:p w14:paraId="08A752DB">
                  <w:pPr>
                    <w:keepNext w:val="0"/>
                    <w:keepLines w:val="0"/>
                    <w:pageBreakBefore w:val="0"/>
                    <w:widowControl w:val="0"/>
                    <w:kinsoku/>
                    <w:wordWrap/>
                    <w:overflowPunct/>
                    <w:topLinePunct w:val="0"/>
                    <w:bidi w:val="0"/>
                    <w:adjustRightInd/>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区域厚度（m)</w:t>
                  </w:r>
                </w:p>
              </w:tc>
              <w:tc>
                <w:tcPr>
                  <w:tcW w:w="2423" w:type="pct"/>
                  <w:tcBorders>
                    <w:top w:val="single" w:color="auto" w:sz="8" w:space="0"/>
                    <w:left w:val="single" w:color="auto" w:sz="8" w:space="0"/>
                    <w:bottom w:val="single" w:color="auto" w:sz="8" w:space="0"/>
                    <w:right w:val="single" w:color="auto" w:sz="8" w:space="0"/>
                  </w:tcBorders>
                  <w:noWrap w:val="0"/>
                  <w:vAlign w:val="center"/>
                </w:tcPr>
                <w:p w14:paraId="212A8507">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主要特征</w:t>
                  </w:r>
                </w:p>
              </w:tc>
            </w:tr>
            <w:tr w14:paraId="2D0B5A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37" w:hRule="atLeast"/>
                <w:jc w:val="center"/>
              </w:trPr>
              <w:tc>
                <w:tcPr>
                  <w:tcW w:w="279" w:type="pct"/>
                  <w:tcBorders>
                    <w:top w:val="single" w:color="auto" w:sz="8" w:space="0"/>
                    <w:left w:val="single" w:color="auto" w:sz="8" w:space="0"/>
                    <w:right w:val="single" w:color="auto" w:sz="8" w:space="0"/>
                  </w:tcBorders>
                  <w:noWrap w:val="0"/>
                  <w:vAlign w:val="center"/>
                </w:tcPr>
                <w:p w14:paraId="0A1FB2EF">
                  <w:pPr>
                    <w:keepNext w:val="0"/>
                    <w:keepLines w:val="0"/>
                    <w:pageBreakBefore w:val="0"/>
                    <w:widowControl w:val="0"/>
                    <w:kinsoku/>
                    <w:wordWrap/>
                    <w:overflowPunct/>
                    <w:topLinePunct w:val="0"/>
                    <w:bidi w:val="0"/>
                    <w:adjustRightInd/>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新</w:t>
                  </w:r>
                </w:p>
                <w:p w14:paraId="6ED9D954">
                  <w:pPr>
                    <w:keepNext w:val="0"/>
                    <w:keepLines w:val="0"/>
                    <w:pageBreakBefore w:val="0"/>
                    <w:widowControl w:val="0"/>
                    <w:kinsoku/>
                    <w:wordWrap/>
                    <w:overflowPunct/>
                    <w:topLinePunct w:val="0"/>
                    <w:bidi w:val="0"/>
                    <w:adjustRightInd/>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生</w:t>
                  </w:r>
                </w:p>
                <w:p w14:paraId="0A688BDD">
                  <w:pPr>
                    <w:keepNext w:val="0"/>
                    <w:keepLines w:val="0"/>
                    <w:pageBreakBefore w:val="0"/>
                    <w:widowControl w:val="0"/>
                    <w:kinsoku/>
                    <w:wordWrap/>
                    <w:overflowPunct/>
                    <w:topLinePunct w:val="0"/>
                    <w:bidi w:val="0"/>
                    <w:adjustRightInd/>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界</w:t>
                  </w:r>
                </w:p>
              </w:tc>
              <w:tc>
                <w:tcPr>
                  <w:tcW w:w="305" w:type="pct"/>
                  <w:tcBorders>
                    <w:top w:val="single" w:color="auto" w:sz="8" w:space="0"/>
                    <w:left w:val="single" w:color="auto" w:sz="8" w:space="0"/>
                    <w:right w:val="single" w:color="auto" w:sz="8" w:space="0"/>
                  </w:tcBorders>
                  <w:noWrap w:val="0"/>
                  <w:vAlign w:val="center"/>
                </w:tcPr>
                <w:p w14:paraId="3B110039">
                  <w:pPr>
                    <w:keepNext w:val="0"/>
                    <w:keepLines w:val="0"/>
                    <w:pageBreakBefore w:val="0"/>
                    <w:widowControl w:val="0"/>
                    <w:kinsoku/>
                    <w:wordWrap/>
                    <w:overflowPunct/>
                    <w:topLinePunct w:val="0"/>
                    <w:bidi w:val="0"/>
                    <w:adjustRightInd/>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第</w:t>
                  </w:r>
                </w:p>
                <w:p w14:paraId="365910C7">
                  <w:pPr>
                    <w:keepNext w:val="0"/>
                    <w:keepLines w:val="0"/>
                    <w:pageBreakBefore w:val="0"/>
                    <w:widowControl w:val="0"/>
                    <w:kinsoku/>
                    <w:wordWrap/>
                    <w:overflowPunct/>
                    <w:topLinePunct w:val="0"/>
                    <w:bidi w:val="0"/>
                    <w:adjustRightInd/>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四</w:t>
                  </w:r>
                </w:p>
                <w:p w14:paraId="335FF43F">
                  <w:pPr>
                    <w:keepNext w:val="0"/>
                    <w:keepLines w:val="0"/>
                    <w:pageBreakBefore w:val="0"/>
                    <w:widowControl w:val="0"/>
                    <w:kinsoku/>
                    <w:wordWrap/>
                    <w:overflowPunct/>
                    <w:topLinePunct w:val="0"/>
                    <w:bidi w:val="0"/>
                    <w:adjustRightInd/>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系</w:t>
                  </w:r>
                </w:p>
              </w:tc>
              <w:tc>
                <w:tcPr>
                  <w:tcW w:w="383" w:type="pct"/>
                  <w:tcBorders>
                    <w:top w:val="single" w:color="auto" w:sz="8" w:space="0"/>
                    <w:left w:val="single" w:color="auto" w:sz="8" w:space="0"/>
                    <w:right w:val="single" w:color="auto" w:sz="8" w:space="0"/>
                  </w:tcBorders>
                  <w:noWrap w:val="0"/>
                  <w:vAlign w:val="center"/>
                </w:tcPr>
                <w:p w14:paraId="4324F610">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8" w:type="pct"/>
                  <w:tcBorders>
                    <w:top w:val="single" w:color="auto" w:sz="8" w:space="0"/>
                    <w:left w:val="single" w:color="auto" w:sz="8" w:space="0"/>
                    <w:right w:val="single" w:color="auto" w:sz="8" w:space="0"/>
                  </w:tcBorders>
                  <w:noWrap w:val="0"/>
                  <w:vAlign w:val="center"/>
                </w:tcPr>
                <w:p w14:paraId="57A056CF">
                  <w:pPr>
                    <w:keepNext w:val="0"/>
                    <w:keepLines w:val="0"/>
                    <w:pageBreakBefore w:val="0"/>
                    <w:widowControl w:val="0"/>
                    <w:kinsoku/>
                    <w:wordWrap/>
                    <w:overflowPunct/>
                    <w:topLinePunct w:val="0"/>
                    <w:bidi w:val="0"/>
                    <w:adjustRightInd/>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36" w:type="pct"/>
                  <w:tcBorders>
                    <w:top w:val="single" w:color="auto" w:sz="8" w:space="0"/>
                    <w:left w:val="single" w:color="auto" w:sz="8" w:space="0"/>
                    <w:right w:val="single" w:color="auto" w:sz="8" w:space="0"/>
                  </w:tcBorders>
                  <w:noWrap w:val="0"/>
                  <w:vAlign w:val="center"/>
                </w:tcPr>
                <w:p w14:paraId="53D2CAA5">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Q</w:t>
                  </w:r>
                </w:p>
              </w:tc>
              <w:tc>
                <w:tcPr>
                  <w:tcW w:w="612" w:type="pct"/>
                  <w:tcBorders>
                    <w:top w:val="single" w:color="auto" w:sz="8" w:space="0"/>
                    <w:left w:val="single" w:color="auto" w:sz="8" w:space="0"/>
                    <w:right w:val="single" w:color="auto" w:sz="8" w:space="0"/>
                  </w:tcBorders>
                  <w:noWrap w:val="0"/>
                  <w:vAlign w:val="center"/>
                </w:tcPr>
                <w:p w14:paraId="11C39B10">
                  <w:pPr>
                    <w:keepNext w:val="0"/>
                    <w:keepLines w:val="0"/>
                    <w:pageBreakBefore w:val="0"/>
                    <w:widowControl w:val="0"/>
                    <w:kinsoku/>
                    <w:wordWrap/>
                    <w:overflowPunct/>
                    <w:topLinePunct w:val="0"/>
                    <w:bidi w:val="0"/>
                    <w:adjustRightInd/>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＜55</w:t>
                  </w:r>
                </w:p>
              </w:tc>
              <w:tc>
                <w:tcPr>
                  <w:tcW w:w="2423" w:type="pct"/>
                  <w:tcBorders>
                    <w:top w:val="single" w:color="auto" w:sz="8" w:space="0"/>
                    <w:left w:val="single" w:color="auto" w:sz="8" w:space="0"/>
                    <w:right w:val="single" w:color="auto" w:sz="8" w:space="0"/>
                  </w:tcBorders>
                  <w:noWrap w:val="0"/>
                  <w:vAlign w:val="center"/>
                </w:tcPr>
                <w:p w14:paraId="6269792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分布于调查区内的九龙河及支流的河谷地带及两岸阶地，成分复杂，由</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冲洪积层粘质砂土夹砂砾石组成；场地周边斜坡一带零星分布</w:t>
                  </w:r>
                  <w:r>
                    <w:rPr>
                      <w:rFonts w:hint="default" w:ascii="Times New Roman" w:hAnsi="Times New Roman" w:eastAsia="宋体" w:cs="Times New Roman"/>
                      <w:color w:val="000000" w:themeColor="text1"/>
                      <w:sz w:val="21"/>
                      <w:szCs w:val="21"/>
                      <w:highlight w:val="none"/>
                      <w14:textFill>
                        <w14:solidFill>
                          <w14:schemeClr w14:val="tx1"/>
                        </w14:solidFill>
                      </w14:textFill>
                    </w:rPr>
                    <w:t>残</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坡积红粘土。</w:t>
                  </w:r>
                </w:p>
              </w:tc>
            </w:tr>
            <w:tr w14:paraId="5EB4A10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79" w:type="pct"/>
                  <w:vMerge w:val="restart"/>
                  <w:tcBorders>
                    <w:left w:val="single" w:color="auto" w:sz="8" w:space="0"/>
                    <w:right w:val="single" w:color="auto" w:sz="8" w:space="0"/>
                  </w:tcBorders>
                  <w:noWrap w:val="0"/>
                  <w:vAlign w:val="center"/>
                </w:tcPr>
                <w:p w14:paraId="558D343E">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古</w:t>
                  </w:r>
                </w:p>
                <w:p w14:paraId="37F9711E">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w:t>
                  </w:r>
                </w:p>
                <w:p w14:paraId="4C57C007">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界</w:t>
                  </w:r>
                </w:p>
              </w:tc>
              <w:tc>
                <w:tcPr>
                  <w:tcW w:w="305" w:type="pct"/>
                  <w:vMerge w:val="restart"/>
                  <w:tcBorders>
                    <w:top w:val="single" w:color="auto" w:sz="8" w:space="0"/>
                    <w:left w:val="single" w:color="auto" w:sz="8" w:space="0"/>
                    <w:right w:val="single" w:color="auto" w:sz="8" w:space="0"/>
                  </w:tcBorders>
                  <w:noWrap w:val="0"/>
                  <w:vAlign w:val="center"/>
                </w:tcPr>
                <w:p w14:paraId="3B1F4FCC">
                  <w:pPr>
                    <w:keepNext w:val="0"/>
                    <w:keepLines w:val="0"/>
                    <w:pageBreakBefore w:val="0"/>
                    <w:widowControl w:val="0"/>
                    <w:kinsoku/>
                    <w:wordWrap/>
                    <w:overflowPunct/>
                    <w:topLinePunct w:val="0"/>
                    <w:bidi w:val="0"/>
                    <w:adjustRightInd/>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二叠系</w:t>
                  </w:r>
                </w:p>
              </w:tc>
              <w:tc>
                <w:tcPr>
                  <w:tcW w:w="383" w:type="pct"/>
                  <w:vMerge w:val="restart"/>
                  <w:tcBorders>
                    <w:top w:val="single" w:color="auto" w:sz="8" w:space="0"/>
                    <w:left w:val="single" w:color="auto" w:sz="8" w:space="0"/>
                    <w:right w:val="single" w:color="auto" w:sz="8" w:space="0"/>
                  </w:tcBorders>
                  <w:noWrap w:val="0"/>
                  <w:vAlign w:val="center"/>
                </w:tcPr>
                <w:p w14:paraId="0DE20F0D">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上</w:t>
                  </w:r>
                </w:p>
                <w:p w14:paraId="797E763B">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下统</w:t>
                  </w:r>
                </w:p>
              </w:tc>
              <w:tc>
                <w:tcPr>
                  <w:tcW w:w="458" w:type="pct"/>
                  <w:tcBorders>
                    <w:top w:val="single" w:color="auto" w:sz="8" w:space="0"/>
                    <w:left w:val="single" w:color="auto" w:sz="8" w:space="0"/>
                    <w:bottom w:val="single" w:color="auto" w:sz="8" w:space="0"/>
                    <w:right w:val="single" w:color="auto" w:sz="8" w:space="0"/>
                  </w:tcBorders>
                  <w:noWrap w:val="0"/>
                  <w:vAlign w:val="center"/>
                </w:tcPr>
                <w:p w14:paraId="351F207F">
                  <w:pPr>
                    <w:keepNext w:val="0"/>
                    <w:keepLines w:val="0"/>
                    <w:pageBreakBefore w:val="0"/>
                    <w:widowControl w:val="0"/>
                    <w:kinsoku/>
                    <w:wordWrap/>
                    <w:overflowPunct/>
                    <w:topLinePunct w:val="0"/>
                    <w:bidi w:val="0"/>
                    <w:adjustRightInd/>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36" w:type="pct"/>
                  <w:tcBorders>
                    <w:top w:val="single" w:color="auto" w:sz="8" w:space="0"/>
                    <w:left w:val="single" w:color="auto" w:sz="8" w:space="0"/>
                    <w:bottom w:val="single" w:color="auto" w:sz="8" w:space="0"/>
                    <w:right w:val="single" w:color="auto" w:sz="8" w:space="0"/>
                  </w:tcBorders>
                  <w:noWrap w:val="0"/>
                  <w:vAlign w:val="center"/>
                </w:tcPr>
                <w:p w14:paraId="57C60CBE">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P</w:t>
                  </w:r>
                  <w:r>
                    <w:rPr>
                      <w:rFonts w:hint="default" w:ascii="Times New Roman" w:hAnsi="Times New Roman" w:eastAsia="宋体" w:cs="Times New Roman"/>
                      <w:color w:val="000000" w:themeColor="text1"/>
                      <w:sz w:val="21"/>
                      <w:szCs w:val="21"/>
                      <w:highlight w:val="none"/>
                      <w:vertAlign w:val="subscript"/>
                      <w:lang w:bidi="ar"/>
                      <w14:textFill>
                        <w14:solidFill>
                          <w14:schemeClr w14:val="tx1"/>
                        </w14:solidFill>
                      </w14:textFill>
                    </w:rPr>
                    <w:t>1-2</w:t>
                  </w:r>
                  <w:r>
                    <w:rPr>
                      <w:rFonts w:hint="default" w:ascii="Times New Roman" w:hAnsi="Times New Roman" w:eastAsia="宋体" w:cs="Times New Roman"/>
                      <w:color w:val="000000" w:themeColor="text1"/>
                      <w:sz w:val="21"/>
                      <w:szCs w:val="21"/>
                      <w:highlight w:val="none"/>
                      <w:vertAlign w:val="superscript"/>
                      <w:lang w:bidi="ar"/>
                      <w14:textFill>
                        <w14:solidFill>
                          <w14:schemeClr w14:val="tx1"/>
                        </w14:solidFill>
                      </w14:textFill>
                    </w:rPr>
                    <w:t>c</w:t>
                  </w:r>
                </w:p>
              </w:tc>
              <w:tc>
                <w:tcPr>
                  <w:tcW w:w="612" w:type="pct"/>
                  <w:tcBorders>
                    <w:top w:val="single" w:color="auto" w:sz="8" w:space="0"/>
                    <w:left w:val="single" w:color="auto" w:sz="8" w:space="0"/>
                    <w:bottom w:val="single" w:color="auto" w:sz="8" w:space="0"/>
                    <w:right w:val="single" w:color="auto" w:sz="8" w:space="0"/>
                  </w:tcBorders>
                  <w:noWrap w:val="0"/>
                  <w:vAlign w:val="center"/>
                </w:tcPr>
                <w:p w14:paraId="08DD1CBB">
                  <w:pPr>
                    <w:keepNext w:val="0"/>
                    <w:keepLines w:val="0"/>
                    <w:pageBreakBefore w:val="0"/>
                    <w:widowControl w:val="0"/>
                    <w:kinsoku/>
                    <w:wordWrap/>
                    <w:overflowPunct/>
                    <w:topLinePunct w:val="0"/>
                    <w:bidi w:val="0"/>
                    <w:adjustRightInd/>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594-1373</w:t>
                  </w:r>
                </w:p>
              </w:tc>
              <w:tc>
                <w:tcPr>
                  <w:tcW w:w="2423" w:type="pct"/>
                  <w:tcBorders>
                    <w:top w:val="single" w:color="auto" w:sz="8" w:space="0"/>
                    <w:left w:val="single" w:color="auto" w:sz="8" w:space="0"/>
                    <w:bottom w:val="single" w:color="auto" w:sz="8" w:space="0"/>
                    <w:right w:val="single" w:color="auto" w:sz="8" w:space="0"/>
                  </w:tcBorders>
                  <w:noWrap w:val="0"/>
                  <w:vAlign w:val="center"/>
                </w:tcPr>
                <w:p w14:paraId="3F6601F6">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分布于调查区西部，岩性为致密状、杏仁状玄武岩。该地层场地内未见分布。</w:t>
                  </w:r>
                </w:p>
              </w:tc>
            </w:tr>
            <w:tr w14:paraId="51DA33F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79" w:type="pct"/>
                  <w:vMerge w:val="continue"/>
                  <w:tcBorders>
                    <w:left w:val="single" w:color="auto" w:sz="8" w:space="0"/>
                    <w:right w:val="single" w:color="auto" w:sz="8" w:space="0"/>
                  </w:tcBorders>
                  <w:noWrap w:val="0"/>
                  <w:vAlign w:val="center"/>
                </w:tcPr>
                <w:p w14:paraId="4A9BBE0D">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5" w:type="pct"/>
                  <w:vMerge w:val="continue"/>
                  <w:tcBorders>
                    <w:left w:val="single" w:color="auto" w:sz="8" w:space="0"/>
                    <w:right w:val="single" w:color="auto" w:sz="8" w:space="0"/>
                  </w:tcBorders>
                  <w:noWrap w:val="0"/>
                  <w:vAlign w:val="center"/>
                </w:tcPr>
                <w:p w14:paraId="0DB51EC8">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3" w:type="pct"/>
                  <w:vMerge w:val="continue"/>
                  <w:tcBorders>
                    <w:left w:val="single" w:color="auto" w:sz="8" w:space="0"/>
                    <w:right w:val="single" w:color="auto" w:sz="8" w:space="0"/>
                  </w:tcBorders>
                  <w:noWrap w:val="0"/>
                  <w:vAlign w:val="center"/>
                </w:tcPr>
                <w:p w14:paraId="4B80668E">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8" w:type="pct"/>
                  <w:tcBorders>
                    <w:top w:val="single" w:color="auto" w:sz="8" w:space="0"/>
                    <w:left w:val="single" w:color="auto" w:sz="8" w:space="0"/>
                    <w:bottom w:val="single" w:color="auto" w:sz="8" w:space="0"/>
                    <w:right w:val="single" w:color="auto" w:sz="8" w:space="0"/>
                  </w:tcBorders>
                  <w:noWrap w:val="0"/>
                  <w:vAlign w:val="center"/>
                </w:tcPr>
                <w:p w14:paraId="636F9939">
                  <w:pPr>
                    <w:keepNext w:val="0"/>
                    <w:keepLines w:val="0"/>
                    <w:pageBreakBefore w:val="0"/>
                    <w:widowControl w:val="0"/>
                    <w:kinsoku/>
                    <w:wordWrap/>
                    <w:overflowPunct/>
                    <w:topLinePunct w:val="0"/>
                    <w:bidi w:val="0"/>
                    <w:adjustRightInd/>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36" w:type="pct"/>
                  <w:tcBorders>
                    <w:top w:val="single" w:color="auto" w:sz="8" w:space="0"/>
                    <w:left w:val="single" w:color="auto" w:sz="8" w:space="0"/>
                    <w:bottom w:val="single" w:color="auto" w:sz="8" w:space="0"/>
                    <w:right w:val="single" w:color="auto" w:sz="8" w:space="0"/>
                  </w:tcBorders>
                  <w:noWrap w:val="0"/>
                  <w:vAlign w:val="center"/>
                </w:tcPr>
                <w:p w14:paraId="2311D220">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P</w:t>
                  </w:r>
                  <w:r>
                    <w:rPr>
                      <w:rFonts w:hint="default" w:ascii="Times New Roman" w:hAnsi="Times New Roman" w:eastAsia="宋体" w:cs="Times New Roman"/>
                      <w:color w:val="000000" w:themeColor="text1"/>
                      <w:sz w:val="21"/>
                      <w:szCs w:val="21"/>
                      <w:highlight w:val="none"/>
                      <w:vertAlign w:val="subscript"/>
                      <w:lang w:bidi="ar"/>
                      <w14:textFill>
                        <w14:solidFill>
                          <w14:schemeClr w14:val="tx1"/>
                        </w14:solidFill>
                      </w14:textFill>
                    </w:rPr>
                    <w:t>1-2</w:t>
                  </w:r>
                  <w:r>
                    <w:rPr>
                      <w:rFonts w:hint="default" w:ascii="Times New Roman" w:hAnsi="Times New Roman" w:eastAsia="宋体" w:cs="Times New Roman"/>
                      <w:color w:val="000000" w:themeColor="text1"/>
                      <w:sz w:val="21"/>
                      <w:szCs w:val="21"/>
                      <w:highlight w:val="none"/>
                      <w:vertAlign w:val="superscript"/>
                      <w:lang w:bidi="ar"/>
                      <w14:textFill>
                        <w14:solidFill>
                          <w14:schemeClr w14:val="tx1"/>
                        </w14:solidFill>
                      </w14:textFill>
                    </w:rPr>
                    <w:t>b</w:t>
                  </w:r>
                </w:p>
              </w:tc>
              <w:tc>
                <w:tcPr>
                  <w:tcW w:w="612" w:type="pct"/>
                  <w:tcBorders>
                    <w:top w:val="single" w:color="auto" w:sz="8" w:space="0"/>
                    <w:left w:val="single" w:color="auto" w:sz="8" w:space="0"/>
                    <w:bottom w:val="single" w:color="auto" w:sz="8" w:space="0"/>
                    <w:right w:val="single" w:color="auto" w:sz="8" w:space="0"/>
                  </w:tcBorders>
                  <w:noWrap w:val="0"/>
                  <w:vAlign w:val="center"/>
                </w:tcPr>
                <w:p w14:paraId="255178AC">
                  <w:pPr>
                    <w:keepNext w:val="0"/>
                    <w:keepLines w:val="0"/>
                    <w:pageBreakBefore w:val="0"/>
                    <w:widowControl w:val="0"/>
                    <w:kinsoku/>
                    <w:wordWrap/>
                    <w:overflowPunct/>
                    <w:topLinePunct w:val="0"/>
                    <w:bidi w:val="0"/>
                    <w:adjustRightInd/>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884-&gt;1213</w:t>
                  </w:r>
                </w:p>
              </w:tc>
              <w:tc>
                <w:tcPr>
                  <w:tcW w:w="2423" w:type="pct"/>
                  <w:tcBorders>
                    <w:top w:val="single" w:color="auto" w:sz="8" w:space="0"/>
                    <w:left w:val="single" w:color="auto" w:sz="8" w:space="0"/>
                    <w:bottom w:val="single" w:color="auto" w:sz="8" w:space="0"/>
                    <w:right w:val="single" w:color="auto" w:sz="8" w:space="0"/>
                  </w:tcBorders>
                  <w:noWrap w:val="0"/>
                  <w:vAlign w:val="center"/>
                </w:tcPr>
                <w:p w14:paraId="54D9CAC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分布于调查区北部、西部及东南部，岩性为致密状、杏仁状斜斑玄武岩夹凝灰岩及灰岩。该地层场地内未见分布。</w:t>
                  </w:r>
                </w:p>
              </w:tc>
            </w:tr>
            <w:tr w14:paraId="5DA47702">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79" w:type="pct"/>
                  <w:vMerge w:val="continue"/>
                  <w:tcBorders>
                    <w:left w:val="single" w:color="auto" w:sz="8" w:space="0"/>
                    <w:right w:val="single" w:color="auto" w:sz="8" w:space="0"/>
                  </w:tcBorders>
                  <w:noWrap w:val="0"/>
                  <w:vAlign w:val="center"/>
                </w:tcPr>
                <w:p w14:paraId="01343BB3">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5" w:type="pct"/>
                  <w:vMerge w:val="continue"/>
                  <w:tcBorders>
                    <w:left w:val="single" w:color="auto" w:sz="8" w:space="0"/>
                    <w:right w:val="single" w:color="auto" w:sz="8" w:space="0"/>
                  </w:tcBorders>
                  <w:noWrap w:val="0"/>
                  <w:vAlign w:val="center"/>
                </w:tcPr>
                <w:p w14:paraId="0D1E3F29">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3" w:type="pct"/>
                  <w:vMerge w:val="continue"/>
                  <w:tcBorders>
                    <w:left w:val="single" w:color="auto" w:sz="8" w:space="0"/>
                    <w:bottom w:val="single" w:color="auto" w:sz="8" w:space="0"/>
                    <w:right w:val="single" w:color="auto" w:sz="8" w:space="0"/>
                  </w:tcBorders>
                  <w:noWrap w:val="0"/>
                  <w:vAlign w:val="center"/>
                </w:tcPr>
                <w:p w14:paraId="3A72BEB2">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8" w:type="pct"/>
                  <w:tcBorders>
                    <w:top w:val="single" w:color="auto" w:sz="8" w:space="0"/>
                    <w:left w:val="single" w:color="auto" w:sz="8" w:space="0"/>
                    <w:bottom w:val="single" w:color="auto" w:sz="8" w:space="0"/>
                    <w:right w:val="single" w:color="auto" w:sz="8" w:space="0"/>
                  </w:tcBorders>
                  <w:noWrap w:val="0"/>
                  <w:vAlign w:val="center"/>
                </w:tcPr>
                <w:p w14:paraId="05A0CACB">
                  <w:pPr>
                    <w:keepNext w:val="0"/>
                    <w:keepLines w:val="0"/>
                    <w:pageBreakBefore w:val="0"/>
                    <w:widowControl w:val="0"/>
                    <w:kinsoku/>
                    <w:wordWrap/>
                    <w:overflowPunct/>
                    <w:topLinePunct w:val="0"/>
                    <w:bidi w:val="0"/>
                    <w:adjustRightInd/>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36" w:type="pct"/>
                  <w:tcBorders>
                    <w:top w:val="single" w:color="auto" w:sz="8" w:space="0"/>
                    <w:left w:val="single" w:color="auto" w:sz="8" w:space="0"/>
                    <w:bottom w:val="single" w:color="auto" w:sz="8" w:space="0"/>
                    <w:right w:val="single" w:color="auto" w:sz="8" w:space="0"/>
                  </w:tcBorders>
                  <w:noWrap w:val="0"/>
                  <w:vAlign w:val="center"/>
                </w:tcPr>
                <w:p w14:paraId="06DD3097">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P</w:t>
                  </w:r>
                  <w:r>
                    <w:rPr>
                      <w:rFonts w:hint="default" w:ascii="Times New Roman" w:hAnsi="Times New Roman" w:eastAsia="宋体" w:cs="Times New Roman"/>
                      <w:color w:val="000000" w:themeColor="text1"/>
                      <w:sz w:val="21"/>
                      <w:szCs w:val="21"/>
                      <w:highlight w:val="none"/>
                      <w:vertAlign w:val="subscript"/>
                      <w:lang w:bidi="ar"/>
                      <w14:textFill>
                        <w14:solidFill>
                          <w14:schemeClr w14:val="tx1"/>
                        </w14:solidFill>
                      </w14:textFill>
                    </w:rPr>
                    <w:t>1-2</w:t>
                  </w:r>
                  <w:r>
                    <w:rPr>
                      <w:rFonts w:hint="default" w:ascii="Times New Roman" w:hAnsi="Times New Roman" w:eastAsia="宋体" w:cs="Times New Roman"/>
                      <w:color w:val="000000" w:themeColor="text1"/>
                      <w:sz w:val="21"/>
                      <w:szCs w:val="21"/>
                      <w:highlight w:val="none"/>
                      <w:vertAlign w:val="superscript"/>
                      <w:lang w:bidi="ar"/>
                      <w14:textFill>
                        <w14:solidFill>
                          <w14:schemeClr w14:val="tx1"/>
                        </w14:solidFill>
                      </w14:textFill>
                    </w:rPr>
                    <w:t>a</w:t>
                  </w:r>
                </w:p>
              </w:tc>
              <w:tc>
                <w:tcPr>
                  <w:tcW w:w="612" w:type="pct"/>
                  <w:tcBorders>
                    <w:top w:val="single" w:color="auto" w:sz="8" w:space="0"/>
                    <w:left w:val="single" w:color="auto" w:sz="8" w:space="0"/>
                    <w:bottom w:val="single" w:color="auto" w:sz="8" w:space="0"/>
                    <w:right w:val="single" w:color="auto" w:sz="8" w:space="0"/>
                  </w:tcBorders>
                  <w:noWrap w:val="0"/>
                  <w:vAlign w:val="center"/>
                </w:tcPr>
                <w:p w14:paraId="693CD4E2">
                  <w:pPr>
                    <w:keepNext w:val="0"/>
                    <w:keepLines w:val="0"/>
                    <w:pageBreakBefore w:val="0"/>
                    <w:widowControl w:val="0"/>
                    <w:kinsoku/>
                    <w:wordWrap/>
                    <w:overflowPunct/>
                    <w:topLinePunct w:val="0"/>
                    <w:bidi w:val="0"/>
                    <w:adjustRightInd/>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63-273</w:t>
                  </w:r>
                </w:p>
              </w:tc>
              <w:tc>
                <w:tcPr>
                  <w:tcW w:w="2423" w:type="pct"/>
                  <w:tcBorders>
                    <w:top w:val="single" w:color="auto" w:sz="8" w:space="0"/>
                    <w:left w:val="single" w:color="auto" w:sz="8" w:space="0"/>
                    <w:bottom w:val="single" w:color="auto" w:sz="8" w:space="0"/>
                    <w:right w:val="single" w:color="auto" w:sz="8" w:space="0"/>
                  </w:tcBorders>
                  <w:noWrap w:val="0"/>
                  <w:vAlign w:val="center"/>
                </w:tcPr>
                <w:p w14:paraId="4892A6D6">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分布于调查区中部、中北部、东南部，岩性为斜斑玄武岩。该地层分布于场地西侧边缘，监测井3#-5#揭露。</w:t>
                  </w:r>
                </w:p>
              </w:tc>
            </w:tr>
            <w:tr w14:paraId="0BD4C58F">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79" w:type="pct"/>
                  <w:vMerge w:val="continue"/>
                  <w:tcBorders>
                    <w:left w:val="single" w:color="auto" w:sz="8" w:space="0"/>
                    <w:right w:val="single" w:color="auto" w:sz="8" w:space="0"/>
                  </w:tcBorders>
                  <w:noWrap w:val="0"/>
                  <w:vAlign w:val="center"/>
                </w:tcPr>
                <w:p w14:paraId="5F3DFC3B">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5" w:type="pct"/>
                  <w:vMerge w:val="continue"/>
                  <w:tcBorders>
                    <w:left w:val="single" w:color="auto" w:sz="8" w:space="0"/>
                    <w:right w:val="single" w:color="auto" w:sz="8" w:space="0"/>
                  </w:tcBorders>
                  <w:noWrap w:val="0"/>
                  <w:vAlign w:val="center"/>
                </w:tcPr>
                <w:p w14:paraId="44E4718C">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3" w:type="pct"/>
                  <w:vMerge w:val="restart"/>
                  <w:tcBorders>
                    <w:top w:val="single" w:color="auto" w:sz="8" w:space="0"/>
                    <w:left w:val="single" w:color="auto" w:sz="8" w:space="0"/>
                    <w:right w:val="single" w:color="auto" w:sz="8" w:space="0"/>
                  </w:tcBorders>
                  <w:noWrap w:val="0"/>
                  <w:vAlign w:val="center"/>
                </w:tcPr>
                <w:p w14:paraId="4397A587">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下统</w:t>
                  </w:r>
                </w:p>
              </w:tc>
              <w:tc>
                <w:tcPr>
                  <w:tcW w:w="458" w:type="pct"/>
                  <w:tcBorders>
                    <w:top w:val="single" w:color="auto" w:sz="8" w:space="0"/>
                    <w:left w:val="single" w:color="auto" w:sz="8" w:space="0"/>
                    <w:bottom w:val="single" w:color="auto" w:sz="8" w:space="0"/>
                    <w:right w:val="single" w:color="auto" w:sz="8" w:space="0"/>
                  </w:tcBorders>
                  <w:noWrap w:val="0"/>
                  <w:vAlign w:val="center"/>
                </w:tcPr>
                <w:p w14:paraId="1E6C22DC">
                  <w:pPr>
                    <w:keepNext w:val="0"/>
                    <w:keepLines w:val="0"/>
                    <w:pageBreakBefore w:val="0"/>
                    <w:widowControl w:val="0"/>
                    <w:kinsoku/>
                    <w:wordWrap/>
                    <w:overflowPunct/>
                    <w:topLinePunct w:val="0"/>
                    <w:bidi w:val="0"/>
                    <w:adjustRightInd/>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栖霞</w:t>
                  </w:r>
                </w:p>
                <w:p w14:paraId="77665919">
                  <w:pPr>
                    <w:keepNext w:val="0"/>
                    <w:keepLines w:val="0"/>
                    <w:pageBreakBefore w:val="0"/>
                    <w:widowControl w:val="0"/>
                    <w:kinsoku/>
                    <w:wordWrap/>
                    <w:overflowPunct/>
                    <w:topLinePunct w:val="0"/>
                    <w:bidi w:val="0"/>
                    <w:adjustRightInd/>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茅口组</w:t>
                  </w:r>
                </w:p>
              </w:tc>
              <w:tc>
                <w:tcPr>
                  <w:tcW w:w="536" w:type="pct"/>
                  <w:tcBorders>
                    <w:top w:val="single" w:color="auto" w:sz="8" w:space="0"/>
                    <w:left w:val="single" w:color="auto" w:sz="8" w:space="0"/>
                    <w:bottom w:val="single" w:color="auto" w:sz="8" w:space="0"/>
                    <w:right w:val="single" w:color="auto" w:sz="8" w:space="0"/>
                  </w:tcBorders>
                  <w:noWrap w:val="0"/>
                  <w:vAlign w:val="center"/>
                </w:tcPr>
                <w:p w14:paraId="08953195">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P</w:t>
                  </w:r>
                  <w:r>
                    <w:rPr>
                      <w:rFonts w:hint="default" w:ascii="Times New Roman" w:hAnsi="Times New Roman" w:eastAsia="宋体" w:cs="Times New Roman"/>
                      <w:color w:val="000000" w:themeColor="text1"/>
                      <w:sz w:val="21"/>
                      <w:szCs w:val="21"/>
                      <w:highlight w:val="none"/>
                      <w:vertAlign w:val="subscript"/>
                      <w:lang w:bidi="ar"/>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q+m</w:t>
                  </w:r>
                </w:p>
              </w:tc>
              <w:tc>
                <w:tcPr>
                  <w:tcW w:w="612" w:type="pct"/>
                  <w:tcBorders>
                    <w:top w:val="single" w:color="auto" w:sz="8" w:space="0"/>
                    <w:left w:val="single" w:color="auto" w:sz="8" w:space="0"/>
                    <w:bottom w:val="single" w:color="auto" w:sz="8" w:space="0"/>
                    <w:right w:val="single" w:color="auto" w:sz="8" w:space="0"/>
                  </w:tcBorders>
                  <w:noWrap w:val="0"/>
                  <w:vAlign w:val="center"/>
                </w:tcPr>
                <w:p w14:paraId="2DF3EEFB">
                  <w:pPr>
                    <w:keepNext w:val="0"/>
                    <w:keepLines w:val="0"/>
                    <w:pageBreakBefore w:val="0"/>
                    <w:widowControl w:val="0"/>
                    <w:kinsoku/>
                    <w:wordWrap/>
                    <w:overflowPunct/>
                    <w:topLinePunct w:val="0"/>
                    <w:bidi w:val="0"/>
                    <w:adjustRightInd/>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216-689</w:t>
                  </w:r>
                </w:p>
              </w:tc>
              <w:tc>
                <w:tcPr>
                  <w:tcW w:w="2423" w:type="pct"/>
                  <w:tcBorders>
                    <w:top w:val="single" w:color="auto" w:sz="8" w:space="0"/>
                    <w:left w:val="single" w:color="auto" w:sz="8" w:space="0"/>
                    <w:bottom w:val="single" w:color="auto" w:sz="8" w:space="0"/>
                    <w:right w:val="single" w:color="auto" w:sz="8" w:space="0"/>
                  </w:tcBorders>
                  <w:noWrap w:val="0"/>
                  <w:vAlign w:val="center"/>
                </w:tcPr>
                <w:p w14:paraId="10944D49">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分布于调查区中部、东南部，岩性为浅灰色隐晶灰岩、细晶白云岩、白云岩。该地层在场地区均有分布，为场地内主要地层。</w:t>
                  </w:r>
                </w:p>
              </w:tc>
            </w:tr>
            <w:tr w14:paraId="7EFC59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79" w:type="pct"/>
                  <w:vMerge w:val="continue"/>
                  <w:tcBorders>
                    <w:left w:val="single" w:color="auto" w:sz="8" w:space="0"/>
                    <w:right w:val="single" w:color="auto" w:sz="8" w:space="0"/>
                  </w:tcBorders>
                  <w:noWrap w:val="0"/>
                  <w:vAlign w:val="center"/>
                </w:tcPr>
                <w:p w14:paraId="580F6D9F">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5" w:type="pct"/>
                  <w:vMerge w:val="continue"/>
                  <w:tcBorders>
                    <w:left w:val="single" w:color="auto" w:sz="8" w:space="0"/>
                    <w:bottom w:val="single" w:color="auto" w:sz="8" w:space="0"/>
                    <w:right w:val="single" w:color="auto" w:sz="8" w:space="0"/>
                  </w:tcBorders>
                  <w:noWrap w:val="0"/>
                  <w:vAlign w:val="center"/>
                </w:tcPr>
                <w:p w14:paraId="6F566FE3">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3" w:type="pct"/>
                  <w:vMerge w:val="continue"/>
                  <w:tcBorders>
                    <w:left w:val="single" w:color="auto" w:sz="8" w:space="0"/>
                    <w:bottom w:val="single" w:color="auto" w:sz="8" w:space="0"/>
                    <w:right w:val="single" w:color="auto" w:sz="8" w:space="0"/>
                  </w:tcBorders>
                  <w:noWrap w:val="0"/>
                  <w:vAlign w:val="center"/>
                </w:tcPr>
                <w:p w14:paraId="5F3A0C2D">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pPr>
                </w:p>
              </w:tc>
              <w:tc>
                <w:tcPr>
                  <w:tcW w:w="458" w:type="pct"/>
                  <w:tcBorders>
                    <w:top w:val="single" w:color="auto" w:sz="8" w:space="0"/>
                    <w:left w:val="single" w:color="auto" w:sz="8" w:space="0"/>
                    <w:bottom w:val="single" w:color="auto" w:sz="8" w:space="0"/>
                    <w:right w:val="single" w:color="auto" w:sz="8" w:space="0"/>
                  </w:tcBorders>
                  <w:noWrap w:val="0"/>
                  <w:vAlign w:val="center"/>
                </w:tcPr>
                <w:p w14:paraId="3DACBF64">
                  <w:pPr>
                    <w:keepNext w:val="0"/>
                    <w:keepLines w:val="0"/>
                    <w:pageBreakBefore w:val="0"/>
                    <w:widowControl w:val="0"/>
                    <w:kinsoku/>
                    <w:wordWrap/>
                    <w:overflowPunct/>
                    <w:topLinePunct w:val="0"/>
                    <w:bidi w:val="0"/>
                    <w:adjustRightInd/>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矿山组</w:t>
                  </w:r>
                </w:p>
              </w:tc>
              <w:tc>
                <w:tcPr>
                  <w:tcW w:w="536" w:type="pct"/>
                  <w:tcBorders>
                    <w:top w:val="single" w:color="auto" w:sz="8" w:space="0"/>
                    <w:left w:val="single" w:color="auto" w:sz="8" w:space="0"/>
                    <w:bottom w:val="single" w:color="auto" w:sz="8" w:space="0"/>
                    <w:right w:val="single" w:color="auto" w:sz="8" w:space="0"/>
                  </w:tcBorders>
                  <w:noWrap w:val="0"/>
                  <w:vAlign w:val="center"/>
                </w:tcPr>
                <w:p w14:paraId="57175EB3">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P</w:t>
                  </w:r>
                  <w:r>
                    <w:rPr>
                      <w:rFonts w:hint="default" w:ascii="Times New Roman" w:hAnsi="Times New Roman" w:eastAsia="宋体" w:cs="Times New Roman"/>
                      <w:color w:val="000000" w:themeColor="text1"/>
                      <w:sz w:val="21"/>
                      <w:szCs w:val="21"/>
                      <w:highlight w:val="none"/>
                      <w:vertAlign w:val="subscript"/>
                      <w:lang w:bidi="ar"/>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k</w:t>
                  </w:r>
                </w:p>
              </w:tc>
              <w:tc>
                <w:tcPr>
                  <w:tcW w:w="612" w:type="pct"/>
                  <w:tcBorders>
                    <w:top w:val="single" w:color="auto" w:sz="8" w:space="0"/>
                    <w:left w:val="single" w:color="auto" w:sz="8" w:space="0"/>
                    <w:bottom w:val="single" w:color="auto" w:sz="8" w:space="0"/>
                    <w:right w:val="single" w:color="auto" w:sz="8" w:space="0"/>
                  </w:tcBorders>
                  <w:noWrap w:val="0"/>
                  <w:vAlign w:val="center"/>
                </w:tcPr>
                <w:p w14:paraId="080A4626">
                  <w:pPr>
                    <w:keepNext w:val="0"/>
                    <w:keepLines w:val="0"/>
                    <w:pageBreakBefore w:val="0"/>
                    <w:widowControl w:val="0"/>
                    <w:kinsoku/>
                    <w:wordWrap/>
                    <w:overflowPunct/>
                    <w:topLinePunct w:val="0"/>
                    <w:bidi w:val="0"/>
                    <w:adjustRightInd/>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0-37</w:t>
                  </w:r>
                </w:p>
              </w:tc>
              <w:tc>
                <w:tcPr>
                  <w:tcW w:w="2423" w:type="pct"/>
                  <w:tcBorders>
                    <w:top w:val="single" w:color="auto" w:sz="8" w:space="0"/>
                    <w:left w:val="single" w:color="auto" w:sz="8" w:space="0"/>
                    <w:bottom w:val="single" w:color="auto" w:sz="8" w:space="0"/>
                    <w:right w:val="single" w:color="auto" w:sz="8" w:space="0"/>
                  </w:tcBorders>
                  <w:noWrap w:val="0"/>
                  <w:vAlign w:val="center"/>
                </w:tcPr>
                <w:p w14:paraId="2680E30F">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分布于调查区东南部，岩性以页岩为主，呈透镜体状。该地层场地内未见分布。</w:t>
                  </w:r>
                </w:p>
              </w:tc>
            </w:tr>
            <w:tr w14:paraId="29296E88">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79" w:type="pct"/>
                  <w:vMerge w:val="continue"/>
                  <w:tcBorders>
                    <w:left w:val="single" w:color="auto" w:sz="8" w:space="0"/>
                    <w:right w:val="single" w:color="auto" w:sz="8" w:space="0"/>
                  </w:tcBorders>
                  <w:noWrap w:val="0"/>
                  <w:vAlign w:val="center"/>
                </w:tcPr>
                <w:p w14:paraId="633167CC">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5" w:type="pct"/>
                  <w:vMerge w:val="restart"/>
                  <w:tcBorders>
                    <w:left w:val="single" w:color="auto" w:sz="8" w:space="0"/>
                    <w:right w:val="single" w:color="auto" w:sz="8" w:space="0"/>
                  </w:tcBorders>
                  <w:noWrap w:val="0"/>
                  <w:vAlign w:val="center"/>
                </w:tcPr>
                <w:p w14:paraId="3FB2056D">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石</w:t>
                  </w:r>
                </w:p>
                <w:p w14:paraId="0CC3F958">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炭</w:t>
                  </w:r>
                </w:p>
                <w:p w14:paraId="3C02F0EC">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系</w:t>
                  </w:r>
                </w:p>
              </w:tc>
              <w:tc>
                <w:tcPr>
                  <w:tcW w:w="383" w:type="pct"/>
                  <w:tcBorders>
                    <w:top w:val="single" w:color="auto" w:sz="8" w:space="0"/>
                    <w:left w:val="single" w:color="auto" w:sz="8" w:space="0"/>
                    <w:bottom w:val="single" w:color="auto" w:sz="8" w:space="0"/>
                    <w:right w:val="single" w:color="auto" w:sz="8" w:space="0"/>
                  </w:tcBorders>
                  <w:noWrap w:val="0"/>
                  <w:vAlign w:val="center"/>
                </w:tcPr>
                <w:p w14:paraId="20AE836D">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上</w:t>
                  </w:r>
                </w:p>
                <w:p w14:paraId="1799F06F">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中统</w:t>
                  </w:r>
                </w:p>
              </w:tc>
              <w:tc>
                <w:tcPr>
                  <w:tcW w:w="458" w:type="pct"/>
                  <w:tcBorders>
                    <w:top w:val="single" w:color="auto" w:sz="8" w:space="0"/>
                    <w:left w:val="single" w:color="auto" w:sz="8" w:space="0"/>
                    <w:bottom w:val="single" w:color="auto" w:sz="8" w:space="0"/>
                    <w:right w:val="single" w:color="auto" w:sz="8" w:space="0"/>
                  </w:tcBorders>
                  <w:noWrap w:val="0"/>
                  <w:vAlign w:val="center"/>
                </w:tcPr>
                <w:p w14:paraId="581D7EDE">
                  <w:pPr>
                    <w:keepNext w:val="0"/>
                    <w:keepLines w:val="0"/>
                    <w:pageBreakBefore w:val="0"/>
                    <w:widowControl w:val="0"/>
                    <w:kinsoku/>
                    <w:wordWrap/>
                    <w:overflowPunct/>
                    <w:topLinePunct w:val="0"/>
                    <w:bidi w:val="0"/>
                    <w:adjustRightInd/>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36" w:type="pct"/>
                  <w:tcBorders>
                    <w:top w:val="single" w:color="auto" w:sz="8" w:space="0"/>
                    <w:left w:val="single" w:color="auto" w:sz="8" w:space="0"/>
                    <w:bottom w:val="single" w:color="auto" w:sz="8" w:space="0"/>
                    <w:right w:val="single" w:color="auto" w:sz="8" w:space="0"/>
                  </w:tcBorders>
                  <w:noWrap w:val="0"/>
                  <w:vAlign w:val="center"/>
                </w:tcPr>
                <w:p w14:paraId="2EEEE95F">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C</w:t>
                  </w:r>
                  <w:r>
                    <w:rPr>
                      <w:rFonts w:hint="default" w:ascii="Times New Roman" w:hAnsi="Times New Roman" w:eastAsia="宋体" w:cs="Times New Roman"/>
                      <w:color w:val="000000" w:themeColor="text1"/>
                      <w:sz w:val="21"/>
                      <w:szCs w:val="21"/>
                      <w:highlight w:val="none"/>
                      <w:vertAlign w:val="subscript"/>
                      <w:lang w:bidi="ar"/>
                      <w14:textFill>
                        <w14:solidFill>
                          <w14:schemeClr w14:val="tx1"/>
                        </w14:solidFill>
                      </w14:textFill>
                    </w:rPr>
                    <w:t>2-3</w:t>
                  </w:r>
                </w:p>
              </w:tc>
              <w:tc>
                <w:tcPr>
                  <w:tcW w:w="612" w:type="pct"/>
                  <w:tcBorders>
                    <w:top w:val="single" w:color="auto" w:sz="8" w:space="0"/>
                    <w:left w:val="single" w:color="auto" w:sz="8" w:space="0"/>
                    <w:bottom w:val="single" w:color="auto" w:sz="8" w:space="0"/>
                    <w:right w:val="single" w:color="auto" w:sz="8" w:space="0"/>
                  </w:tcBorders>
                  <w:noWrap w:val="0"/>
                  <w:vAlign w:val="center"/>
                </w:tcPr>
                <w:p w14:paraId="3566A166">
                  <w:pPr>
                    <w:keepNext w:val="0"/>
                    <w:keepLines w:val="0"/>
                    <w:pageBreakBefore w:val="0"/>
                    <w:widowControl w:val="0"/>
                    <w:kinsoku/>
                    <w:wordWrap/>
                    <w:overflowPunct/>
                    <w:topLinePunct w:val="0"/>
                    <w:bidi w:val="0"/>
                    <w:adjustRightInd/>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31-413</w:t>
                  </w:r>
                </w:p>
              </w:tc>
              <w:tc>
                <w:tcPr>
                  <w:tcW w:w="2423" w:type="pct"/>
                  <w:tcBorders>
                    <w:top w:val="single" w:color="auto" w:sz="8" w:space="0"/>
                    <w:left w:val="single" w:color="auto" w:sz="8" w:space="0"/>
                    <w:bottom w:val="single" w:color="auto" w:sz="8" w:space="0"/>
                    <w:right w:val="single" w:color="auto" w:sz="8" w:space="0"/>
                  </w:tcBorders>
                  <w:noWrap w:val="0"/>
                  <w:vAlign w:val="center"/>
                </w:tcPr>
                <w:p w14:paraId="4752D2AB">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分布于调查区东南部，岩性为灰、灰白、粉红色灰岩、含白云质灰岩。该地层场地内未见分布。</w:t>
                  </w:r>
                </w:p>
              </w:tc>
            </w:tr>
            <w:tr w14:paraId="2EF31C6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79" w:type="pct"/>
                  <w:vMerge w:val="continue"/>
                  <w:tcBorders>
                    <w:left w:val="single" w:color="auto" w:sz="8" w:space="0"/>
                    <w:right w:val="single" w:color="auto" w:sz="8" w:space="0"/>
                  </w:tcBorders>
                  <w:noWrap w:val="0"/>
                  <w:vAlign w:val="center"/>
                </w:tcPr>
                <w:p w14:paraId="365BAE0F">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5" w:type="pct"/>
                  <w:vMerge w:val="continue"/>
                  <w:tcBorders>
                    <w:left w:val="single" w:color="auto" w:sz="8" w:space="0"/>
                    <w:bottom w:val="single" w:color="auto" w:sz="8" w:space="0"/>
                    <w:right w:val="single" w:color="auto" w:sz="8" w:space="0"/>
                  </w:tcBorders>
                  <w:noWrap w:val="0"/>
                  <w:vAlign w:val="center"/>
                </w:tcPr>
                <w:p w14:paraId="1E102E2D">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3" w:type="pct"/>
                  <w:tcBorders>
                    <w:top w:val="single" w:color="auto" w:sz="8" w:space="0"/>
                    <w:left w:val="single" w:color="auto" w:sz="8" w:space="0"/>
                    <w:bottom w:val="single" w:color="auto" w:sz="8" w:space="0"/>
                    <w:right w:val="single" w:color="auto" w:sz="8" w:space="0"/>
                  </w:tcBorders>
                  <w:noWrap w:val="0"/>
                  <w:vAlign w:val="center"/>
                </w:tcPr>
                <w:p w14:paraId="36F0C949">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下统</w:t>
                  </w:r>
                </w:p>
              </w:tc>
              <w:tc>
                <w:tcPr>
                  <w:tcW w:w="458" w:type="pct"/>
                  <w:tcBorders>
                    <w:top w:val="single" w:color="auto" w:sz="8" w:space="0"/>
                    <w:left w:val="single" w:color="auto" w:sz="8" w:space="0"/>
                    <w:bottom w:val="single" w:color="auto" w:sz="8" w:space="0"/>
                    <w:right w:val="single" w:color="auto" w:sz="8" w:space="0"/>
                  </w:tcBorders>
                  <w:noWrap w:val="0"/>
                  <w:vAlign w:val="center"/>
                </w:tcPr>
                <w:p w14:paraId="24BD02B6">
                  <w:pPr>
                    <w:keepNext w:val="0"/>
                    <w:keepLines w:val="0"/>
                    <w:pageBreakBefore w:val="0"/>
                    <w:widowControl w:val="0"/>
                    <w:kinsoku/>
                    <w:wordWrap/>
                    <w:overflowPunct/>
                    <w:topLinePunct w:val="0"/>
                    <w:bidi w:val="0"/>
                    <w:adjustRightInd/>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36" w:type="pct"/>
                  <w:tcBorders>
                    <w:top w:val="single" w:color="auto" w:sz="8" w:space="0"/>
                    <w:left w:val="single" w:color="auto" w:sz="8" w:space="0"/>
                    <w:bottom w:val="single" w:color="auto" w:sz="8" w:space="0"/>
                    <w:right w:val="single" w:color="auto" w:sz="8" w:space="0"/>
                  </w:tcBorders>
                  <w:noWrap w:val="0"/>
                  <w:vAlign w:val="center"/>
                </w:tcPr>
                <w:p w14:paraId="2568C146">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C</w:t>
                  </w:r>
                  <w:r>
                    <w:rPr>
                      <w:rFonts w:hint="default" w:ascii="Times New Roman" w:hAnsi="Times New Roman" w:eastAsia="宋体" w:cs="Times New Roman"/>
                      <w:color w:val="000000" w:themeColor="text1"/>
                      <w:sz w:val="21"/>
                      <w:szCs w:val="21"/>
                      <w:highlight w:val="none"/>
                      <w:vertAlign w:val="subscript"/>
                      <w:lang w:bidi="ar"/>
                      <w14:textFill>
                        <w14:solidFill>
                          <w14:schemeClr w14:val="tx1"/>
                        </w14:solidFill>
                      </w14:textFill>
                    </w:rPr>
                    <w:t>1</w:t>
                  </w:r>
                </w:p>
              </w:tc>
              <w:tc>
                <w:tcPr>
                  <w:tcW w:w="612" w:type="pct"/>
                  <w:tcBorders>
                    <w:top w:val="single" w:color="auto" w:sz="8" w:space="0"/>
                    <w:left w:val="single" w:color="auto" w:sz="8" w:space="0"/>
                    <w:bottom w:val="single" w:color="auto" w:sz="8" w:space="0"/>
                    <w:right w:val="single" w:color="auto" w:sz="8" w:space="0"/>
                  </w:tcBorders>
                  <w:noWrap w:val="0"/>
                  <w:vAlign w:val="center"/>
                </w:tcPr>
                <w:p w14:paraId="3A3FFF15">
                  <w:pPr>
                    <w:keepNext w:val="0"/>
                    <w:keepLines w:val="0"/>
                    <w:pageBreakBefore w:val="0"/>
                    <w:widowControl w:val="0"/>
                    <w:kinsoku/>
                    <w:wordWrap/>
                    <w:overflowPunct/>
                    <w:topLinePunct w:val="0"/>
                    <w:bidi w:val="0"/>
                    <w:adjustRightInd/>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150-352</w:t>
                  </w:r>
                </w:p>
              </w:tc>
              <w:tc>
                <w:tcPr>
                  <w:tcW w:w="2423" w:type="pct"/>
                  <w:tcBorders>
                    <w:top w:val="single" w:color="auto" w:sz="8" w:space="0"/>
                    <w:left w:val="single" w:color="auto" w:sz="8" w:space="0"/>
                    <w:bottom w:val="single" w:color="auto" w:sz="8" w:space="0"/>
                    <w:right w:val="single" w:color="auto" w:sz="8" w:space="0"/>
                  </w:tcBorders>
                  <w:noWrap w:val="0"/>
                  <w:vAlign w:val="center"/>
                </w:tcPr>
                <w:p w14:paraId="2AE839C2">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分布于调查区中部、东南部，岩性为灰色白云质灰岩、白云岩、隐晶白云岩。该地层分布于场地东侧边缘，监测井1#揭露。</w:t>
                  </w:r>
                </w:p>
              </w:tc>
            </w:tr>
            <w:tr w14:paraId="6FA17F09">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79" w:type="pct"/>
                  <w:vMerge w:val="continue"/>
                  <w:tcBorders>
                    <w:left w:val="single" w:color="auto" w:sz="8" w:space="0"/>
                    <w:right w:val="single" w:color="auto" w:sz="8" w:space="0"/>
                  </w:tcBorders>
                  <w:noWrap w:val="0"/>
                  <w:vAlign w:val="center"/>
                </w:tcPr>
                <w:p w14:paraId="58E56EEB">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5" w:type="pct"/>
                  <w:vMerge w:val="restart"/>
                  <w:tcBorders>
                    <w:left w:val="single" w:color="auto" w:sz="8" w:space="0"/>
                    <w:right w:val="single" w:color="auto" w:sz="8" w:space="0"/>
                  </w:tcBorders>
                  <w:noWrap w:val="0"/>
                  <w:vAlign w:val="center"/>
                </w:tcPr>
                <w:p w14:paraId="1B54E10F">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泥</w:t>
                  </w:r>
                </w:p>
                <w:p w14:paraId="16CE1267">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盆</w:t>
                  </w:r>
                </w:p>
                <w:p w14:paraId="28A8D61D">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系</w:t>
                  </w:r>
                </w:p>
              </w:tc>
              <w:tc>
                <w:tcPr>
                  <w:tcW w:w="383" w:type="pct"/>
                  <w:tcBorders>
                    <w:top w:val="single" w:color="auto" w:sz="8" w:space="0"/>
                    <w:left w:val="single" w:color="auto" w:sz="8" w:space="0"/>
                    <w:bottom w:val="single" w:color="auto" w:sz="8" w:space="0"/>
                    <w:right w:val="single" w:color="auto" w:sz="8" w:space="0"/>
                  </w:tcBorders>
                  <w:noWrap w:val="0"/>
                  <w:vAlign w:val="center"/>
                </w:tcPr>
                <w:p w14:paraId="03F77D9B">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中</w:t>
                  </w:r>
                </w:p>
                <w:p w14:paraId="52C58590">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统</w:t>
                  </w:r>
                </w:p>
              </w:tc>
              <w:tc>
                <w:tcPr>
                  <w:tcW w:w="458" w:type="pct"/>
                  <w:tcBorders>
                    <w:top w:val="single" w:color="auto" w:sz="8" w:space="0"/>
                    <w:left w:val="single" w:color="auto" w:sz="8" w:space="0"/>
                    <w:bottom w:val="single" w:color="auto" w:sz="8" w:space="0"/>
                    <w:right w:val="single" w:color="auto" w:sz="8" w:space="0"/>
                  </w:tcBorders>
                  <w:noWrap w:val="0"/>
                  <w:vAlign w:val="center"/>
                </w:tcPr>
                <w:p w14:paraId="27446F0B">
                  <w:pPr>
                    <w:keepNext w:val="0"/>
                    <w:keepLines w:val="0"/>
                    <w:pageBreakBefore w:val="0"/>
                    <w:widowControl w:val="0"/>
                    <w:kinsoku/>
                    <w:wordWrap/>
                    <w:overflowPunct/>
                    <w:topLinePunct w:val="0"/>
                    <w:bidi w:val="0"/>
                    <w:adjustRightInd/>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36" w:type="pct"/>
                  <w:tcBorders>
                    <w:top w:val="single" w:color="auto" w:sz="8" w:space="0"/>
                    <w:left w:val="single" w:color="auto" w:sz="8" w:space="0"/>
                    <w:bottom w:val="single" w:color="auto" w:sz="8" w:space="0"/>
                    <w:right w:val="single" w:color="auto" w:sz="8" w:space="0"/>
                  </w:tcBorders>
                  <w:noWrap w:val="0"/>
                  <w:vAlign w:val="center"/>
                </w:tcPr>
                <w:p w14:paraId="394A9066">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D</w:t>
                  </w:r>
                  <w:r>
                    <w:rPr>
                      <w:rFonts w:hint="default" w:ascii="Times New Roman" w:hAnsi="Times New Roman" w:eastAsia="宋体" w:cs="Times New Roman"/>
                      <w:color w:val="000000" w:themeColor="text1"/>
                      <w:sz w:val="21"/>
                      <w:szCs w:val="21"/>
                      <w:highlight w:val="none"/>
                      <w:vertAlign w:val="subscript"/>
                      <w:lang w:bidi="ar"/>
                      <w14:textFill>
                        <w14:solidFill>
                          <w14:schemeClr w14:val="tx1"/>
                        </w14:solidFill>
                      </w14:textFill>
                    </w:rPr>
                    <w:t>2</w:t>
                  </w:r>
                  <w:r>
                    <w:rPr>
                      <w:rFonts w:hint="default" w:ascii="Times New Roman" w:hAnsi="Times New Roman" w:eastAsia="宋体" w:cs="Times New Roman"/>
                      <w:color w:val="000000" w:themeColor="text1"/>
                      <w:sz w:val="21"/>
                      <w:szCs w:val="21"/>
                      <w:highlight w:val="none"/>
                      <w:vertAlign w:val="superscript"/>
                      <w:lang w:bidi="ar"/>
                      <w14:textFill>
                        <w14:solidFill>
                          <w14:schemeClr w14:val="tx1"/>
                        </w14:solidFill>
                      </w14:textFill>
                    </w:rPr>
                    <w:t>a</w:t>
                  </w:r>
                </w:p>
              </w:tc>
              <w:tc>
                <w:tcPr>
                  <w:tcW w:w="612" w:type="pct"/>
                  <w:tcBorders>
                    <w:top w:val="single" w:color="auto" w:sz="8" w:space="0"/>
                    <w:left w:val="single" w:color="auto" w:sz="8" w:space="0"/>
                    <w:bottom w:val="single" w:color="auto" w:sz="8" w:space="0"/>
                    <w:right w:val="single" w:color="auto" w:sz="8" w:space="0"/>
                  </w:tcBorders>
                  <w:noWrap w:val="0"/>
                  <w:vAlign w:val="center"/>
                </w:tcPr>
                <w:p w14:paraId="122D4D7C">
                  <w:pPr>
                    <w:keepNext w:val="0"/>
                    <w:keepLines w:val="0"/>
                    <w:pageBreakBefore w:val="0"/>
                    <w:widowControl w:val="0"/>
                    <w:kinsoku/>
                    <w:wordWrap/>
                    <w:overflowPunct/>
                    <w:topLinePunct w:val="0"/>
                    <w:bidi w:val="0"/>
                    <w:adjustRightInd/>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119-356</w:t>
                  </w:r>
                </w:p>
              </w:tc>
              <w:tc>
                <w:tcPr>
                  <w:tcW w:w="2423" w:type="pct"/>
                  <w:tcBorders>
                    <w:top w:val="single" w:color="auto" w:sz="8" w:space="0"/>
                    <w:left w:val="single" w:color="auto" w:sz="8" w:space="0"/>
                    <w:bottom w:val="single" w:color="auto" w:sz="8" w:space="0"/>
                    <w:right w:val="single" w:color="auto" w:sz="8" w:space="0"/>
                  </w:tcBorders>
                  <w:noWrap w:val="0"/>
                  <w:vAlign w:val="center"/>
                </w:tcPr>
                <w:p w14:paraId="4355F2DD">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分布于调查区中东部，岩性为灰白色中细粒石英砂岩、粉砂岩夹铁矿层。该地层场地内未见分布。</w:t>
                  </w:r>
                </w:p>
              </w:tc>
            </w:tr>
            <w:tr w14:paraId="7145CC6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79" w:type="pct"/>
                  <w:vMerge w:val="continue"/>
                  <w:tcBorders>
                    <w:left w:val="single" w:color="auto" w:sz="8" w:space="0"/>
                    <w:right w:val="single" w:color="auto" w:sz="8" w:space="0"/>
                  </w:tcBorders>
                  <w:noWrap w:val="0"/>
                  <w:vAlign w:val="center"/>
                </w:tcPr>
                <w:p w14:paraId="34EDE4B3">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5" w:type="pct"/>
                  <w:vMerge w:val="continue"/>
                  <w:tcBorders>
                    <w:left w:val="single" w:color="auto" w:sz="8" w:space="0"/>
                    <w:right w:val="single" w:color="auto" w:sz="8" w:space="0"/>
                  </w:tcBorders>
                  <w:noWrap w:val="0"/>
                  <w:vAlign w:val="center"/>
                </w:tcPr>
                <w:p w14:paraId="3D58BD09">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3" w:type="pct"/>
                  <w:tcBorders>
                    <w:top w:val="single" w:color="auto" w:sz="8" w:space="0"/>
                    <w:left w:val="single" w:color="auto" w:sz="8" w:space="0"/>
                    <w:bottom w:val="single" w:color="auto" w:sz="8" w:space="0"/>
                    <w:right w:val="single" w:color="auto" w:sz="8" w:space="0"/>
                  </w:tcBorders>
                  <w:noWrap w:val="0"/>
                  <w:vAlign w:val="center"/>
                </w:tcPr>
                <w:p w14:paraId="553DE95D">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下统</w:t>
                  </w:r>
                </w:p>
              </w:tc>
              <w:tc>
                <w:tcPr>
                  <w:tcW w:w="458" w:type="pct"/>
                  <w:tcBorders>
                    <w:top w:val="single" w:color="auto" w:sz="8" w:space="0"/>
                    <w:left w:val="single" w:color="auto" w:sz="8" w:space="0"/>
                    <w:bottom w:val="single" w:color="auto" w:sz="8" w:space="0"/>
                    <w:right w:val="single" w:color="auto" w:sz="8" w:space="0"/>
                  </w:tcBorders>
                  <w:noWrap w:val="0"/>
                  <w:vAlign w:val="center"/>
                </w:tcPr>
                <w:p w14:paraId="5E88B2ED">
                  <w:pPr>
                    <w:keepNext w:val="0"/>
                    <w:keepLines w:val="0"/>
                    <w:pageBreakBefore w:val="0"/>
                    <w:widowControl w:val="0"/>
                    <w:kinsoku/>
                    <w:wordWrap/>
                    <w:overflowPunct/>
                    <w:topLinePunct w:val="0"/>
                    <w:bidi w:val="0"/>
                    <w:adjustRightInd/>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36" w:type="pct"/>
                  <w:tcBorders>
                    <w:top w:val="single" w:color="auto" w:sz="8" w:space="0"/>
                    <w:left w:val="single" w:color="auto" w:sz="8" w:space="0"/>
                    <w:bottom w:val="single" w:color="auto" w:sz="8" w:space="0"/>
                    <w:right w:val="single" w:color="auto" w:sz="8" w:space="0"/>
                  </w:tcBorders>
                  <w:noWrap w:val="0"/>
                  <w:vAlign w:val="center"/>
                </w:tcPr>
                <w:p w14:paraId="3AAF480E">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D</w:t>
                  </w:r>
                  <w:r>
                    <w:rPr>
                      <w:rFonts w:hint="default" w:ascii="Times New Roman" w:hAnsi="Times New Roman" w:eastAsia="宋体" w:cs="Times New Roman"/>
                      <w:color w:val="000000" w:themeColor="text1"/>
                      <w:sz w:val="21"/>
                      <w:szCs w:val="21"/>
                      <w:highlight w:val="none"/>
                      <w:vertAlign w:val="subscript"/>
                      <w:lang w:bidi="ar"/>
                      <w14:textFill>
                        <w14:solidFill>
                          <w14:schemeClr w14:val="tx1"/>
                        </w14:solidFill>
                      </w14:textFill>
                    </w:rPr>
                    <w:t>1</w:t>
                  </w:r>
                </w:p>
              </w:tc>
              <w:tc>
                <w:tcPr>
                  <w:tcW w:w="612" w:type="pct"/>
                  <w:tcBorders>
                    <w:top w:val="single" w:color="auto" w:sz="8" w:space="0"/>
                    <w:left w:val="single" w:color="auto" w:sz="8" w:space="0"/>
                    <w:bottom w:val="single" w:color="auto" w:sz="8" w:space="0"/>
                    <w:right w:val="single" w:color="auto" w:sz="8" w:space="0"/>
                  </w:tcBorders>
                  <w:noWrap w:val="0"/>
                  <w:vAlign w:val="center"/>
                </w:tcPr>
                <w:p w14:paraId="32E9DE90">
                  <w:pPr>
                    <w:keepNext w:val="0"/>
                    <w:keepLines w:val="0"/>
                    <w:pageBreakBefore w:val="0"/>
                    <w:widowControl w:val="0"/>
                    <w:kinsoku/>
                    <w:wordWrap/>
                    <w:overflowPunct/>
                    <w:topLinePunct w:val="0"/>
                    <w:bidi w:val="0"/>
                    <w:adjustRightInd/>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3-&gt;116</w:t>
                  </w:r>
                </w:p>
              </w:tc>
              <w:tc>
                <w:tcPr>
                  <w:tcW w:w="2423" w:type="pct"/>
                  <w:tcBorders>
                    <w:top w:val="single" w:color="auto" w:sz="8" w:space="0"/>
                    <w:left w:val="single" w:color="auto" w:sz="8" w:space="0"/>
                    <w:bottom w:val="single" w:color="auto" w:sz="8" w:space="0"/>
                    <w:right w:val="single" w:color="auto" w:sz="8" w:space="0"/>
                  </w:tcBorders>
                  <w:noWrap w:val="0"/>
                  <w:vAlign w:val="center"/>
                </w:tcPr>
                <w:p w14:paraId="46F2CE31">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分布于调查区中东部，岩性为黄白、棕红色细粒石英砂岩夹紫红、绿色页岩、粉砂岩。该地层场地内未见分布。</w:t>
                  </w:r>
                </w:p>
              </w:tc>
            </w:tr>
            <w:tr w14:paraId="169413E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1154" w:hRule="atLeast"/>
                <w:jc w:val="center"/>
              </w:trPr>
              <w:tc>
                <w:tcPr>
                  <w:tcW w:w="279" w:type="pct"/>
                  <w:vMerge w:val="continue"/>
                  <w:tcBorders>
                    <w:left w:val="single" w:color="auto" w:sz="8" w:space="0"/>
                    <w:right w:val="single" w:color="auto" w:sz="8" w:space="0"/>
                  </w:tcBorders>
                  <w:noWrap w:val="0"/>
                  <w:vAlign w:val="center"/>
                </w:tcPr>
                <w:p w14:paraId="618AA639">
                  <w:pPr>
                    <w:keepNext w:val="0"/>
                    <w:keepLines w:val="0"/>
                    <w:pageBreakBefore w:val="0"/>
                    <w:widowControl w:val="0"/>
                    <w:kinsoku/>
                    <w:wordWrap/>
                    <w:overflowPunct/>
                    <w:topLinePunct w:val="0"/>
                    <w:bidi w:val="0"/>
                    <w:adjustRightInd/>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5" w:type="pct"/>
                  <w:tcBorders>
                    <w:left w:val="single" w:color="auto" w:sz="8" w:space="0"/>
                    <w:right w:val="single" w:color="auto" w:sz="8" w:space="0"/>
                  </w:tcBorders>
                  <w:noWrap w:val="0"/>
                  <w:vAlign w:val="center"/>
                </w:tcPr>
                <w:p w14:paraId="065326E4">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奥</w:t>
                  </w:r>
                </w:p>
                <w:p w14:paraId="3A5A8F2B">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陶</w:t>
                  </w:r>
                </w:p>
                <w:p w14:paraId="484FAF02">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系</w:t>
                  </w:r>
                </w:p>
              </w:tc>
              <w:tc>
                <w:tcPr>
                  <w:tcW w:w="383" w:type="pct"/>
                  <w:tcBorders>
                    <w:top w:val="single" w:color="auto" w:sz="8" w:space="0"/>
                    <w:left w:val="single" w:color="auto" w:sz="8" w:space="0"/>
                    <w:right w:val="single" w:color="auto" w:sz="8" w:space="0"/>
                  </w:tcBorders>
                  <w:noWrap w:val="0"/>
                  <w:vAlign w:val="center"/>
                </w:tcPr>
                <w:p w14:paraId="0D049D58">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下统</w:t>
                  </w:r>
                </w:p>
              </w:tc>
              <w:tc>
                <w:tcPr>
                  <w:tcW w:w="458" w:type="pct"/>
                  <w:tcBorders>
                    <w:top w:val="single" w:color="auto" w:sz="8" w:space="0"/>
                    <w:left w:val="single" w:color="auto" w:sz="8" w:space="0"/>
                    <w:right w:val="single" w:color="auto" w:sz="8" w:space="0"/>
                  </w:tcBorders>
                  <w:noWrap w:val="0"/>
                  <w:vAlign w:val="center"/>
                </w:tcPr>
                <w:p w14:paraId="69EBF022">
                  <w:pPr>
                    <w:keepNext w:val="0"/>
                    <w:keepLines w:val="0"/>
                    <w:pageBreakBefore w:val="0"/>
                    <w:widowControl w:val="0"/>
                    <w:kinsoku/>
                    <w:wordWrap/>
                    <w:overflowPunct/>
                    <w:topLinePunct w:val="0"/>
                    <w:bidi w:val="0"/>
                    <w:adjustRightInd/>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36" w:type="pct"/>
                  <w:tcBorders>
                    <w:top w:val="single" w:color="auto" w:sz="8" w:space="0"/>
                    <w:left w:val="single" w:color="auto" w:sz="8" w:space="0"/>
                    <w:right w:val="single" w:color="auto" w:sz="8" w:space="0"/>
                  </w:tcBorders>
                  <w:noWrap w:val="0"/>
                  <w:vAlign w:val="center"/>
                </w:tcPr>
                <w:p w14:paraId="3A316B39">
                  <w:pPr>
                    <w:keepNext w:val="0"/>
                    <w:keepLines w:val="0"/>
                    <w:pageBreakBefore w:val="0"/>
                    <w:widowControl w:val="0"/>
                    <w:kinsoku/>
                    <w:wordWrap/>
                    <w:overflowPunct/>
                    <w:topLinePunct w:val="0"/>
                    <w:bidi w:val="0"/>
                    <w:adjustRightInd/>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O</w:t>
                  </w:r>
                  <w:r>
                    <w:rPr>
                      <w:rFonts w:hint="default" w:ascii="Times New Roman" w:hAnsi="Times New Roman" w:eastAsia="宋体" w:cs="Times New Roman"/>
                      <w:color w:val="000000" w:themeColor="text1"/>
                      <w:sz w:val="21"/>
                      <w:szCs w:val="21"/>
                      <w:highlight w:val="none"/>
                      <w:vertAlign w:val="subscript"/>
                      <w:lang w:bidi="ar"/>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h</w:t>
                  </w:r>
                </w:p>
              </w:tc>
              <w:tc>
                <w:tcPr>
                  <w:tcW w:w="612" w:type="pct"/>
                  <w:tcBorders>
                    <w:top w:val="single" w:color="auto" w:sz="8" w:space="0"/>
                    <w:left w:val="single" w:color="auto" w:sz="8" w:space="0"/>
                    <w:right w:val="single" w:color="auto" w:sz="8" w:space="0"/>
                  </w:tcBorders>
                  <w:noWrap w:val="0"/>
                  <w:vAlign w:val="center"/>
                </w:tcPr>
                <w:p w14:paraId="3E28C3FB">
                  <w:pPr>
                    <w:keepNext w:val="0"/>
                    <w:keepLines w:val="0"/>
                    <w:pageBreakBefore w:val="0"/>
                    <w:widowControl w:val="0"/>
                    <w:kinsoku/>
                    <w:wordWrap/>
                    <w:overflowPunct/>
                    <w:topLinePunct w:val="0"/>
                    <w:bidi w:val="0"/>
                    <w:adjustRightInd/>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216-262</w:t>
                  </w:r>
                </w:p>
              </w:tc>
              <w:tc>
                <w:tcPr>
                  <w:tcW w:w="2423" w:type="pct"/>
                  <w:tcBorders>
                    <w:top w:val="single" w:color="auto" w:sz="8" w:space="0"/>
                    <w:left w:val="single" w:color="auto" w:sz="8" w:space="0"/>
                    <w:right w:val="single" w:color="auto" w:sz="8" w:space="0"/>
                  </w:tcBorders>
                  <w:noWrap w:val="0"/>
                  <w:vAlign w:val="center"/>
                </w:tcPr>
                <w:p w14:paraId="1172C255">
                  <w:pPr>
                    <w:keepNext w:val="0"/>
                    <w:keepLines w:val="0"/>
                    <w:pageBreakBefore w:val="0"/>
                    <w:widowControl w:val="0"/>
                    <w:kinsoku/>
                    <w:wordWrap/>
                    <w:overflowPunct/>
                    <w:topLinePunct w:val="0"/>
                    <w:autoSpaceDE w:val="0"/>
                    <w:autoSpaceDN w:val="0"/>
                    <w:bidi w:val="0"/>
                    <w:adjustRightInd/>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分布于调查区中东部，岩性为紫红色与灰绿色页岩为主，夹砂岩。该地层场地内未见分布。</w:t>
                  </w:r>
                </w:p>
              </w:tc>
            </w:tr>
          </w:tbl>
          <w:p w14:paraId="497A46F9">
            <w:pPr>
              <w:jc w:val="center"/>
              <w:rPr>
                <w:rFonts w:hint="eastAsia" w:ascii="宋体" w:hAnsi="宋体" w:eastAsia="宋体" w:cs="宋体"/>
                <w:color w:val="000000" w:themeColor="text1"/>
                <w:highlight w:val="none"/>
                <w14:textFill>
                  <w14:solidFill>
                    <w14:schemeClr w14:val="tx1"/>
                  </w14:solidFill>
                </w14:textFill>
              </w:rPr>
            </w:pPr>
            <w:r>
              <w:rPr>
                <w:rFonts w:hint="eastAsia" w:ascii="宋体" w:hAnsi="宋体" w:eastAsia="宋体" w:cs="宋体"/>
                <w:color w:val="000000" w:themeColor="text1"/>
                <w:highlight w:val="none"/>
                <w14:textFill>
                  <w14:solidFill>
                    <w14:schemeClr w14:val="tx1"/>
                  </w14:solidFill>
                </w14:textFill>
              </w:rPr>
              <w:drawing>
                <wp:inline distT="0" distB="0" distL="114300" distR="114300">
                  <wp:extent cx="4701540" cy="7654925"/>
                  <wp:effectExtent l="0" t="0" r="3810" b="3175"/>
                  <wp:docPr id="1" name="图片 6" descr="柱状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descr="柱状图"/>
                          <pic:cNvPicPr>
                            <a:picLocks noChangeAspect="1"/>
                          </pic:cNvPicPr>
                        </pic:nvPicPr>
                        <pic:blipFill>
                          <a:blip r:embed="rId25"/>
                          <a:stretch>
                            <a:fillRect/>
                          </a:stretch>
                        </pic:blipFill>
                        <pic:spPr>
                          <a:xfrm>
                            <a:off x="0" y="0"/>
                            <a:ext cx="4701540" cy="7654925"/>
                          </a:xfrm>
                          <a:prstGeom prst="rect">
                            <a:avLst/>
                          </a:prstGeom>
                          <a:noFill/>
                          <a:ln>
                            <a:noFill/>
                          </a:ln>
                        </pic:spPr>
                      </pic:pic>
                    </a:graphicData>
                  </a:graphic>
                </wp:inline>
              </w:drawing>
            </w:r>
          </w:p>
          <w:p w14:paraId="0DE196DD">
            <w:pPr>
              <w:ind w:firstLine="0" w:firstLineChars="0"/>
              <w:jc w:val="center"/>
              <w:rPr>
                <w:rFonts w:hint="eastAsia"/>
                <w:b/>
                <w:bCs/>
                <w:color w:val="000000" w:themeColor="text1"/>
                <w:kern w:val="0"/>
                <w:sz w:val="24"/>
                <w:szCs w:val="24"/>
                <w:lang w:bidi="ar"/>
                <w14:textFill>
                  <w14:solidFill>
                    <w14:schemeClr w14:val="tx1"/>
                  </w14:solidFill>
                </w14:textFill>
              </w:rPr>
            </w:pPr>
            <w:r>
              <w:rPr>
                <w:rFonts w:hint="eastAsia"/>
                <w:b/>
                <w:bCs/>
                <w:color w:val="000000" w:themeColor="text1"/>
                <w:kern w:val="0"/>
                <w:sz w:val="24"/>
                <w:szCs w:val="24"/>
                <w:lang w:bidi="ar"/>
                <w14:textFill>
                  <w14:solidFill>
                    <w14:schemeClr w14:val="tx1"/>
                  </w14:solidFill>
                </w14:textFill>
              </w:rPr>
              <w:t>图</w:t>
            </w:r>
            <w:r>
              <w:rPr>
                <w:rFonts w:hint="eastAsia"/>
                <w:b/>
                <w:bCs/>
                <w:color w:val="000000" w:themeColor="text1"/>
                <w:kern w:val="0"/>
                <w:sz w:val="24"/>
                <w:szCs w:val="24"/>
                <w:lang w:val="en-US" w:eastAsia="zh-CN" w:bidi="ar"/>
                <w14:textFill>
                  <w14:solidFill>
                    <w14:schemeClr w14:val="tx1"/>
                  </w14:solidFill>
                </w14:textFill>
              </w:rPr>
              <w:t xml:space="preserve">4-7 </w:t>
            </w:r>
            <w:r>
              <w:rPr>
                <w:rFonts w:hint="eastAsia"/>
                <w:b/>
                <w:bCs/>
                <w:color w:val="000000" w:themeColor="text1"/>
                <w:kern w:val="0"/>
                <w:sz w:val="24"/>
                <w:szCs w:val="24"/>
                <w:lang w:bidi="ar"/>
                <w14:textFill>
                  <w14:solidFill>
                    <w14:schemeClr w14:val="tx1"/>
                  </w14:solidFill>
                </w14:textFill>
              </w:rPr>
              <w:t xml:space="preserve"> 综合水文地质柱状图</w:t>
            </w:r>
          </w:p>
          <w:p w14:paraId="543A96D5">
            <w:pPr>
              <w:numPr>
                <w:ilvl w:val="0"/>
                <w:numId w:val="6"/>
              </w:num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场区地层岩性</w:t>
            </w:r>
          </w:p>
          <w:p w14:paraId="285AC649">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根据区域地质资料、勘察资料及野外调查，场址区出露地层主要有第四系人工堆积层（Q</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ml</w:t>
            </w:r>
            <w:r>
              <w:rPr>
                <w:rFonts w:hint="default" w:ascii="Times New Roman" w:hAnsi="Times New Roman" w:eastAsia="宋体" w:cs="Times New Roman"/>
                <w:color w:val="000000" w:themeColor="text1"/>
                <w:sz w:val="24"/>
                <w:szCs w:val="24"/>
                <w:highlight w:val="none"/>
                <w14:textFill>
                  <w14:solidFill>
                    <w14:schemeClr w14:val="tx1"/>
                  </w14:solidFill>
                </w14:textFill>
              </w:rPr>
              <w:t>）、第四系坡洪积层（Q</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dl+pl</w:t>
            </w:r>
            <w:r>
              <w:rPr>
                <w:rFonts w:hint="default" w:ascii="Times New Roman" w:hAnsi="Times New Roman" w:eastAsia="宋体" w:cs="Times New Roman"/>
                <w:iCs/>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、第四系残坡积层（Q</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el+dl</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古生界二叠系上-下统（P</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1-2</w:t>
            </w:r>
            <w:r>
              <w:rPr>
                <w:rFonts w:hint="default" w:ascii="Times New Roman" w:hAnsi="Times New Roman" w:eastAsia="宋体" w:cs="Times New Roman"/>
                <w:iCs/>
                <w:color w:val="000000" w:themeColor="text1"/>
                <w:spacing w:val="-10"/>
                <w:sz w:val="24"/>
                <w:szCs w:val="24"/>
                <w:highlight w:val="none"/>
                <w:vertAlign w:val="superscript"/>
                <w14:textFill>
                  <w14:solidFill>
                    <w14:schemeClr w14:val="tx1"/>
                  </w14:solidFill>
                </w14:textFill>
              </w:rPr>
              <w:t>a</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）、下统（</w:t>
            </w:r>
            <w:r>
              <w:rPr>
                <w:rFonts w:hint="default" w:ascii="Times New Roman" w:hAnsi="Times New Roman" w:eastAsia="宋体" w:cs="Times New Roman"/>
                <w:color w:val="000000" w:themeColor="text1"/>
                <w:sz w:val="24"/>
                <w:szCs w:val="24"/>
                <w:highlight w:val="none"/>
                <w14:textFill>
                  <w14:solidFill>
                    <w14:schemeClr w14:val="tx1"/>
                  </w14:solidFill>
                </w14:textFill>
              </w:rPr>
              <w:t>P</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q+m</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）栖霞茅口组及石炭系下统（C</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）等地层</w:t>
            </w:r>
            <w:r>
              <w:rPr>
                <w:rFonts w:hint="default" w:ascii="Times New Roman" w:hAnsi="Times New Roman" w:eastAsia="宋体" w:cs="Times New Roman"/>
                <w:color w:val="000000" w:themeColor="text1"/>
                <w:sz w:val="24"/>
                <w:szCs w:val="24"/>
                <w:highlight w:val="none"/>
                <w14:textFill>
                  <w14:solidFill>
                    <w14:schemeClr w14:val="tx1"/>
                  </w14:solidFill>
                </w14:textFill>
              </w:rPr>
              <w:t>，地层主要特征见表</w:t>
            </w:r>
            <w:r>
              <w:rPr>
                <w:rFonts w:hint="eastAsia" w:cs="Times New Roman"/>
                <w:color w:val="000000" w:themeColor="text1"/>
                <w:sz w:val="24"/>
                <w:szCs w:val="24"/>
                <w:highlight w:val="none"/>
                <w:lang w:val="en-US" w:eastAsia="zh-CN"/>
                <w14:textFill>
                  <w14:solidFill>
                    <w14:schemeClr w14:val="tx1"/>
                  </w14:solidFill>
                </w14:textFill>
              </w:rPr>
              <w:t>4-8</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554BE07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表</w:t>
            </w:r>
            <w:r>
              <w:rPr>
                <w:rFonts w:hint="eastAsia" w:ascii="宋体" w:hAnsi="宋体" w:cs="宋体"/>
                <w:b/>
                <w:color w:val="000000" w:themeColor="text1"/>
                <w:sz w:val="24"/>
                <w:highlight w:val="none"/>
                <w:lang w:val="en-US" w:eastAsia="zh-CN"/>
                <w14:textFill>
                  <w14:solidFill>
                    <w14:schemeClr w14:val="tx1"/>
                  </w14:solidFill>
                </w14:textFill>
              </w:rPr>
              <w:t>4-8</w:t>
            </w:r>
            <w:r>
              <w:rPr>
                <w:rFonts w:hint="eastAsia" w:ascii="宋体" w:hAnsi="宋体" w:eastAsia="宋体" w:cs="宋体"/>
                <w:b/>
                <w:color w:val="000000" w:themeColor="text1"/>
                <w:sz w:val="24"/>
                <w:highlight w:val="none"/>
                <w14:textFill>
                  <w14:solidFill>
                    <w14:schemeClr w14:val="tx1"/>
                  </w14:solidFill>
                </w14:textFill>
              </w:rPr>
              <w:t xml:space="preserve">    场址区地层主要特征一览表</w:t>
            </w:r>
          </w:p>
          <w:tbl>
            <w:tblPr>
              <w:tblStyle w:val="40"/>
              <w:tblW w:w="4997" w:type="pct"/>
              <w:jc w:val="center"/>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autofit"/>
              <w:tblCellMar>
                <w:top w:w="0" w:type="dxa"/>
                <w:left w:w="108" w:type="dxa"/>
                <w:bottom w:w="0" w:type="dxa"/>
                <w:right w:w="108" w:type="dxa"/>
              </w:tblCellMar>
            </w:tblPr>
            <w:tblGrid>
              <w:gridCol w:w="436"/>
              <w:gridCol w:w="477"/>
              <w:gridCol w:w="598"/>
              <w:gridCol w:w="716"/>
              <w:gridCol w:w="838"/>
              <w:gridCol w:w="956"/>
              <w:gridCol w:w="3786"/>
            </w:tblGrid>
            <w:tr w14:paraId="76E11B1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79" w:type="pct"/>
                  <w:tcBorders>
                    <w:top w:val="single" w:color="auto" w:sz="8" w:space="0"/>
                    <w:left w:val="single" w:color="auto" w:sz="8" w:space="0"/>
                    <w:bottom w:val="single" w:color="auto" w:sz="8" w:space="0"/>
                    <w:right w:val="single" w:color="auto" w:sz="8" w:space="0"/>
                  </w:tcBorders>
                  <w:noWrap w:val="0"/>
                  <w:vAlign w:val="center"/>
                </w:tcPr>
                <w:p w14:paraId="0DA3AFB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界</w:t>
                  </w:r>
                </w:p>
              </w:tc>
              <w:tc>
                <w:tcPr>
                  <w:tcW w:w="305" w:type="pct"/>
                  <w:tcBorders>
                    <w:top w:val="single" w:color="auto" w:sz="8" w:space="0"/>
                    <w:left w:val="single" w:color="auto" w:sz="8" w:space="0"/>
                    <w:bottom w:val="single" w:color="auto" w:sz="8" w:space="0"/>
                    <w:right w:val="single" w:color="auto" w:sz="8" w:space="0"/>
                  </w:tcBorders>
                  <w:noWrap w:val="0"/>
                  <w:vAlign w:val="center"/>
                </w:tcPr>
                <w:p w14:paraId="5F81E02E">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系</w:t>
                  </w:r>
                </w:p>
              </w:tc>
              <w:tc>
                <w:tcPr>
                  <w:tcW w:w="383" w:type="pct"/>
                  <w:tcBorders>
                    <w:top w:val="single" w:color="auto" w:sz="8" w:space="0"/>
                    <w:left w:val="single" w:color="auto" w:sz="8" w:space="0"/>
                    <w:bottom w:val="single" w:color="auto" w:sz="8" w:space="0"/>
                    <w:right w:val="single" w:color="auto" w:sz="8" w:space="0"/>
                  </w:tcBorders>
                  <w:noWrap w:val="0"/>
                  <w:vAlign w:val="center"/>
                </w:tcPr>
                <w:p w14:paraId="7C16045C">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统</w:t>
                  </w:r>
                </w:p>
              </w:tc>
              <w:tc>
                <w:tcPr>
                  <w:tcW w:w="458" w:type="pct"/>
                  <w:tcBorders>
                    <w:top w:val="single" w:color="auto" w:sz="8" w:space="0"/>
                    <w:left w:val="single" w:color="auto" w:sz="8" w:space="0"/>
                    <w:bottom w:val="single" w:color="auto" w:sz="8" w:space="0"/>
                    <w:right w:val="single" w:color="auto" w:sz="8" w:space="0"/>
                  </w:tcBorders>
                  <w:noWrap w:val="0"/>
                  <w:vAlign w:val="center"/>
                </w:tcPr>
                <w:p w14:paraId="7135C446">
                  <w:pPr>
                    <w:keepNext w:val="0"/>
                    <w:keepLines w:val="0"/>
                    <w:pageBreakBefore w:val="0"/>
                    <w:widowControl w:val="0"/>
                    <w:kinsoku/>
                    <w:wordWrap/>
                    <w:overflowPunct/>
                    <w:topLinePunct w:val="0"/>
                    <w:bidi w:val="0"/>
                    <w:adjustRightInd w:val="0"/>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组</w:t>
                  </w:r>
                </w:p>
              </w:tc>
              <w:tc>
                <w:tcPr>
                  <w:tcW w:w="536" w:type="pct"/>
                  <w:tcBorders>
                    <w:top w:val="single" w:color="auto" w:sz="8" w:space="0"/>
                    <w:left w:val="single" w:color="auto" w:sz="8" w:space="0"/>
                    <w:bottom w:val="single" w:color="auto" w:sz="8" w:space="0"/>
                    <w:right w:val="single" w:color="auto" w:sz="8" w:space="0"/>
                  </w:tcBorders>
                  <w:noWrap w:val="0"/>
                  <w:vAlign w:val="center"/>
                </w:tcPr>
                <w:p w14:paraId="6DECCA4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代号</w:t>
                  </w:r>
                </w:p>
              </w:tc>
              <w:tc>
                <w:tcPr>
                  <w:tcW w:w="612" w:type="pct"/>
                  <w:tcBorders>
                    <w:top w:val="single" w:color="auto" w:sz="8" w:space="0"/>
                    <w:left w:val="single" w:color="auto" w:sz="8" w:space="0"/>
                    <w:bottom w:val="single" w:color="auto" w:sz="8" w:space="0"/>
                    <w:right w:val="single" w:color="auto" w:sz="8" w:space="0"/>
                  </w:tcBorders>
                  <w:noWrap w:val="0"/>
                  <w:vAlign w:val="center"/>
                </w:tcPr>
                <w:p w14:paraId="56700CEA">
                  <w:pPr>
                    <w:keepNext w:val="0"/>
                    <w:keepLines w:val="0"/>
                    <w:pageBreakBefore w:val="0"/>
                    <w:widowControl w:val="0"/>
                    <w:kinsoku/>
                    <w:wordWrap/>
                    <w:overflowPunct/>
                    <w:topLinePunct w:val="0"/>
                    <w:bidi w:val="0"/>
                    <w:adjustRightInd w:val="0"/>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区域厚度（m)</w:t>
                  </w:r>
                </w:p>
              </w:tc>
              <w:tc>
                <w:tcPr>
                  <w:tcW w:w="2423" w:type="pct"/>
                  <w:tcBorders>
                    <w:top w:val="single" w:color="auto" w:sz="8" w:space="0"/>
                    <w:left w:val="single" w:color="auto" w:sz="8" w:space="0"/>
                    <w:bottom w:val="single" w:color="auto" w:sz="8" w:space="0"/>
                    <w:right w:val="single" w:color="auto" w:sz="8" w:space="0"/>
                  </w:tcBorders>
                  <w:noWrap w:val="0"/>
                  <w:vAlign w:val="center"/>
                </w:tcPr>
                <w:p w14:paraId="32B00BB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主要特征</w:t>
                  </w:r>
                </w:p>
              </w:tc>
            </w:tr>
            <w:tr w14:paraId="27CD55A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79" w:type="pct"/>
                  <w:vMerge w:val="restart"/>
                  <w:tcBorders>
                    <w:left w:val="single" w:color="auto" w:sz="8" w:space="0"/>
                    <w:right w:val="single" w:color="auto" w:sz="8" w:space="0"/>
                  </w:tcBorders>
                  <w:noWrap w:val="0"/>
                  <w:vAlign w:val="center"/>
                </w:tcPr>
                <w:p w14:paraId="5986522B">
                  <w:pPr>
                    <w:keepNext w:val="0"/>
                    <w:keepLines w:val="0"/>
                    <w:pageBreakBefore w:val="0"/>
                    <w:widowControl w:val="0"/>
                    <w:kinsoku/>
                    <w:wordWrap/>
                    <w:overflowPunct/>
                    <w:topLinePunct w:val="0"/>
                    <w:bidi w:val="0"/>
                    <w:adjustRightInd w:val="0"/>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新</w:t>
                  </w:r>
                </w:p>
                <w:p w14:paraId="13B90003">
                  <w:pPr>
                    <w:keepNext w:val="0"/>
                    <w:keepLines w:val="0"/>
                    <w:pageBreakBefore w:val="0"/>
                    <w:widowControl w:val="0"/>
                    <w:kinsoku/>
                    <w:wordWrap/>
                    <w:overflowPunct/>
                    <w:topLinePunct w:val="0"/>
                    <w:bidi w:val="0"/>
                    <w:adjustRightInd w:val="0"/>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生</w:t>
                  </w:r>
                </w:p>
                <w:p w14:paraId="0EF33E0F">
                  <w:pPr>
                    <w:keepNext w:val="0"/>
                    <w:keepLines w:val="0"/>
                    <w:pageBreakBefore w:val="0"/>
                    <w:widowControl w:val="0"/>
                    <w:kinsoku/>
                    <w:wordWrap/>
                    <w:overflowPunct/>
                    <w:topLinePunct w:val="0"/>
                    <w:bidi w:val="0"/>
                    <w:adjustRightInd w:val="0"/>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界</w:t>
                  </w:r>
                </w:p>
              </w:tc>
              <w:tc>
                <w:tcPr>
                  <w:tcW w:w="305" w:type="pct"/>
                  <w:vMerge w:val="restart"/>
                  <w:tcBorders>
                    <w:top w:val="single" w:color="auto" w:sz="8" w:space="0"/>
                    <w:left w:val="single" w:color="auto" w:sz="8" w:space="0"/>
                    <w:right w:val="single" w:color="auto" w:sz="8" w:space="0"/>
                  </w:tcBorders>
                  <w:noWrap w:val="0"/>
                  <w:vAlign w:val="center"/>
                </w:tcPr>
                <w:p w14:paraId="521AA196">
                  <w:pPr>
                    <w:keepNext w:val="0"/>
                    <w:keepLines w:val="0"/>
                    <w:pageBreakBefore w:val="0"/>
                    <w:widowControl w:val="0"/>
                    <w:kinsoku/>
                    <w:wordWrap/>
                    <w:overflowPunct/>
                    <w:topLinePunct w:val="0"/>
                    <w:bidi w:val="0"/>
                    <w:adjustRightInd w:val="0"/>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第</w:t>
                  </w:r>
                </w:p>
                <w:p w14:paraId="0A699365">
                  <w:pPr>
                    <w:keepNext w:val="0"/>
                    <w:keepLines w:val="0"/>
                    <w:pageBreakBefore w:val="0"/>
                    <w:widowControl w:val="0"/>
                    <w:kinsoku/>
                    <w:wordWrap/>
                    <w:overflowPunct/>
                    <w:topLinePunct w:val="0"/>
                    <w:bidi w:val="0"/>
                    <w:adjustRightInd w:val="0"/>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四</w:t>
                  </w:r>
                </w:p>
                <w:p w14:paraId="373999C9">
                  <w:pPr>
                    <w:keepNext w:val="0"/>
                    <w:keepLines w:val="0"/>
                    <w:pageBreakBefore w:val="0"/>
                    <w:widowControl w:val="0"/>
                    <w:kinsoku/>
                    <w:wordWrap/>
                    <w:overflowPunct/>
                    <w:topLinePunct w:val="0"/>
                    <w:bidi w:val="0"/>
                    <w:adjustRightInd w:val="0"/>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系</w:t>
                  </w:r>
                </w:p>
              </w:tc>
              <w:tc>
                <w:tcPr>
                  <w:tcW w:w="383" w:type="pct"/>
                  <w:vMerge w:val="restart"/>
                  <w:tcBorders>
                    <w:top w:val="single" w:color="auto" w:sz="8" w:space="0"/>
                    <w:left w:val="single" w:color="auto" w:sz="8" w:space="0"/>
                    <w:right w:val="single" w:color="auto" w:sz="8" w:space="0"/>
                  </w:tcBorders>
                  <w:noWrap w:val="0"/>
                  <w:vAlign w:val="center"/>
                </w:tcPr>
                <w:p w14:paraId="0309519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8" w:type="pct"/>
                  <w:vMerge w:val="restart"/>
                  <w:tcBorders>
                    <w:top w:val="single" w:color="auto" w:sz="8" w:space="0"/>
                    <w:left w:val="single" w:color="auto" w:sz="8" w:space="0"/>
                    <w:right w:val="single" w:color="auto" w:sz="8" w:space="0"/>
                  </w:tcBorders>
                  <w:noWrap w:val="0"/>
                  <w:vAlign w:val="center"/>
                </w:tcPr>
                <w:p w14:paraId="2282BF23">
                  <w:pPr>
                    <w:keepNext w:val="0"/>
                    <w:keepLines w:val="0"/>
                    <w:pageBreakBefore w:val="0"/>
                    <w:widowControl w:val="0"/>
                    <w:kinsoku/>
                    <w:wordWrap/>
                    <w:overflowPunct/>
                    <w:topLinePunct w:val="0"/>
                    <w:bidi w:val="0"/>
                    <w:adjustRightInd w:val="0"/>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人工堆积层</w:t>
                  </w:r>
                </w:p>
              </w:tc>
              <w:tc>
                <w:tcPr>
                  <w:tcW w:w="536" w:type="pct"/>
                  <w:vMerge w:val="restart"/>
                  <w:tcBorders>
                    <w:top w:val="single" w:color="auto" w:sz="8" w:space="0"/>
                    <w:left w:val="single" w:color="auto" w:sz="8" w:space="0"/>
                    <w:right w:val="single" w:color="auto" w:sz="8" w:space="0"/>
                  </w:tcBorders>
                  <w:noWrap w:val="0"/>
                  <w:vAlign w:val="center"/>
                </w:tcPr>
                <w:p w14:paraId="1B3A6139">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Q</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ml</w:t>
                  </w:r>
                </w:p>
              </w:tc>
              <w:tc>
                <w:tcPr>
                  <w:tcW w:w="612" w:type="pct"/>
                  <w:tcBorders>
                    <w:top w:val="single" w:color="auto" w:sz="8" w:space="0"/>
                    <w:left w:val="single" w:color="auto" w:sz="8" w:space="0"/>
                    <w:bottom w:val="single" w:color="auto" w:sz="8" w:space="0"/>
                    <w:right w:val="single" w:color="auto" w:sz="8" w:space="0"/>
                  </w:tcBorders>
                  <w:noWrap w:val="0"/>
                  <w:vAlign w:val="center"/>
                </w:tcPr>
                <w:p w14:paraId="72FE917D">
                  <w:pPr>
                    <w:keepNext w:val="0"/>
                    <w:keepLines w:val="0"/>
                    <w:pageBreakBefore w:val="0"/>
                    <w:widowControl w:val="0"/>
                    <w:kinsoku/>
                    <w:wordWrap/>
                    <w:overflowPunct/>
                    <w:topLinePunct w:val="0"/>
                    <w:bidi w:val="0"/>
                    <w:adjustRightInd w:val="0"/>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1.0-4.5；</w:t>
                  </w:r>
                </w:p>
                <w:p w14:paraId="2D712AF0">
                  <w:pPr>
                    <w:keepNext w:val="0"/>
                    <w:keepLines w:val="0"/>
                    <w:pageBreakBefore w:val="0"/>
                    <w:widowControl w:val="0"/>
                    <w:kinsoku/>
                    <w:wordWrap/>
                    <w:overflowPunct/>
                    <w:topLinePunct w:val="0"/>
                    <w:bidi w:val="0"/>
                    <w:adjustRightInd w:val="0"/>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局部10.0-15.0</w:t>
                  </w:r>
                </w:p>
              </w:tc>
              <w:tc>
                <w:tcPr>
                  <w:tcW w:w="2423" w:type="pct"/>
                  <w:tcBorders>
                    <w:top w:val="single" w:color="auto" w:sz="8" w:space="0"/>
                    <w:left w:val="single" w:color="auto" w:sz="8" w:space="0"/>
                    <w:bottom w:val="single" w:color="auto" w:sz="8" w:space="0"/>
                    <w:right w:val="single" w:color="auto" w:sz="8" w:space="0"/>
                  </w:tcBorders>
                  <w:noWrap w:val="0"/>
                  <w:vAlign w:val="center"/>
                </w:tcPr>
                <w:p w14:paraId="575D7F27">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角砾素填土（单元层代号为①</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主要分布在场址区南部的石将军采石场内，灰、褐黄及褐红色，由采矿剥离土、机制碎石、机制砂、原构筑物基础（毛石混凝土、浆砌石）及少量建筑垃圾（混凝土块）等组成，结构稍密为主，局部松散，稍湿</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w:t>
                  </w:r>
                  <w:r>
                    <w:rPr>
                      <w:rFonts w:hint="default" w:ascii="Times New Roman" w:hAnsi="Times New Roman" w:eastAsia="宋体" w:cs="Times New Roman"/>
                      <w:color w:val="000000" w:themeColor="text1"/>
                      <w:sz w:val="21"/>
                      <w:szCs w:val="21"/>
                      <w:highlight w:val="none"/>
                      <w14:textFill>
                        <w14:solidFill>
                          <w14:schemeClr w14:val="tx1"/>
                        </w14:solidFill>
                      </w14:textFill>
                    </w:rPr>
                    <w:t xml:space="preserve"> </w:t>
                  </w:r>
                </w:p>
              </w:tc>
            </w:tr>
            <w:tr w14:paraId="25D563FC">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79" w:type="pct"/>
                  <w:vMerge w:val="continue"/>
                  <w:tcBorders>
                    <w:left w:val="single" w:color="auto" w:sz="8" w:space="0"/>
                    <w:right w:val="single" w:color="auto" w:sz="8" w:space="0"/>
                  </w:tcBorders>
                  <w:noWrap w:val="0"/>
                  <w:vAlign w:val="center"/>
                </w:tcPr>
                <w:p w14:paraId="16039BEC">
                  <w:pPr>
                    <w:keepNext w:val="0"/>
                    <w:keepLines w:val="0"/>
                    <w:pageBreakBefore w:val="0"/>
                    <w:widowControl w:val="0"/>
                    <w:kinsoku/>
                    <w:wordWrap/>
                    <w:overflowPunct/>
                    <w:topLinePunct w:val="0"/>
                    <w:bidi w:val="0"/>
                    <w:adjustRightInd w:val="0"/>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pPr>
                </w:p>
              </w:tc>
              <w:tc>
                <w:tcPr>
                  <w:tcW w:w="305" w:type="pct"/>
                  <w:vMerge w:val="continue"/>
                  <w:tcBorders>
                    <w:left w:val="single" w:color="auto" w:sz="8" w:space="0"/>
                    <w:right w:val="single" w:color="auto" w:sz="8" w:space="0"/>
                  </w:tcBorders>
                  <w:noWrap w:val="0"/>
                  <w:vAlign w:val="center"/>
                </w:tcPr>
                <w:p w14:paraId="2BDD6E46">
                  <w:pPr>
                    <w:keepNext w:val="0"/>
                    <w:keepLines w:val="0"/>
                    <w:pageBreakBefore w:val="0"/>
                    <w:widowControl w:val="0"/>
                    <w:kinsoku/>
                    <w:wordWrap/>
                    <w:overflowPunct/>
                    <w:topLinePunct w:val="0"/>
                    <w:bidi w:val="0"/>
                    <w:adjustRightInd w:val="0"/>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p>
              </w:tc>
              <w:tc>
                <w:tcPr>
                  <w:tcW w:w="383" w:type="pct"/>
                  <w:vMerge w:val="continue"/>
                  <w:tcBorders>
                    <w:left w:val="single" w:color="auto" w:sz="8" w:space="0"/>
                    <w:right w:val="single" w:color="auto" w:sz="8" w:space="0"/>
                  </w:tcBorders>
                  <w:noWrap w:val="0"/>
                  <w:vAlign w:val="center"/>
                </w:tcPr>
                <w:p w14:paraId="3F5C375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8" w:type="pct"/>
                  <w:vMerge w:val="continue"/>
                  <w:tcBorders>
                    <w:left w:val="single" w:color="auto" w:sz="8" w:space="0"/>
                    <w:right w:val="single" w:color="auto" w:sz="8" w:space="0"/>
                  </w:tcBorders>
                  <w:noWrap w:val="0"/>
                  <w:vAlign w:val="center"/>
                </w:tcPr>
                <w:p w14:paraId="53C98E7D">
                  <w:pPr>
                    <w:keepNext w:val="0"/>
                    <w:keepLines w:val="0"/>
                    <w:pageBreakBefore w:val="0"/>
                    <w:widowControl w:val="0"/>
                    <w:kinsoku/>
                    <w:wordWrap/>
                    <w:overflowPunct/>
                    <w:topLinePunct w:val="0"/>
                    <w:bidi w:val="0"/>
                    <w:adjustRightInd w:val="0"/>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36" w:type="pct"/>
                  <w:vMerge w:val="continue"/>
                  <w:tcBorders>
                    <w:left w:val="single" w:color="auto" w:sz="8" w:space="0"/>
                    <w:right w:val="single" w:color="auto" w:sz="8" w:space="0"/>
                  </w:tcBorders>
                  <w:noWrap w:val="0"/>
                  <w:vAlign w:val="center"/>
                </w:tcPr>
                <w:p w14:paraId="3942EB6B">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12" w:type="pct"/>
                  <w:tcBorders>
                    <w:top w:val="single" w:color="auto" w:sz="8" w:space="0"/>
                    <w:left w:val="single" w:color="auto" w:sz="8" w:space="0"/>
                    <w:bottom w:val="single" w:color="auto" w:sz="8" w:space="0"/>
                    <w:right w:val="single" w:color="auto" w:sz="8" w:space="0"/>
                  </w:tcBorders>
                  <w:noWrap w:val="0"/>
                  <w:vAlign w:val="center"/>
                </w:tcPr>
                <w:p w14:paraId="631B4D5A">
                  <w:pPr>
                    <w:keepNext w:val="0"/>
                    <w:keepLines w:val="0"/>
                    <w:pageBreakBefore w:val="0"/>
                    <w:widowControl w:val="0"/>
                    <w:kinsoku/>
                    <w:wordWrap/>
                    <w:overflowPunct/>
                    <w:topLinePunct w:val="0"/>
                    <w:bidi w:val="0"/>
                    <w:adjustRightInd w:val="0"/>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15.7-17.1</w:t>
                  </w:r>
                </w:p>
              </w:tc>
              <w:tc>
                <w:tcPr>
                  <w:tcW w:w="2423" w:type="pct"/>
                  <w:tcBorders>
                    <w:top w:val="single" w:color="auto" w:sz="8" w:space="0"/>
                    <w:left w:val="single" w:color="auto" w:sz="8" w:space="0"/>
                    <w:bottom w:val="single" w:color="auto" w:sz="8" w:space="0"/>
                    <w:right w:val="single" w:color="auto" w:sz="8" w:space="0"/>
                  </w:tcBorders>
                  <w:noWrap w:val="0"/>
                  <w:vAlign w:val="center"/>
                </w:tcPr>
                <w:p w14:paraId="343B1B86">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粘土素填土（单元层代号为①</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）：主要分布在场址区南部的石将军采石场内SZK08、SZK10范围，褐红色、红色，主要由粘性土组成，混少量碎石角砾等，不均匀。主要呈稍密（可塑）状态，稍湿。</w:t>
                  </w:r>
                </w:p>
              </w:tc>
            </w:tr>
            <w:tr w14:paraId="450038A5">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79" w:type="pct"/>
                  <w:vMerge w:val="continue"/>
                  <w:tcBorders>
                    <w:left w:val="single" w:color="auto" w:sz="8" w:space="0"/>
                    <w:right w:val="single" w:color="auto" w:sz="8" w:space="0"/>
                  </w:tcBorders>
                  <w:noWrap w:val="0"/>
                  <w:vAlign w:val="center"/>
                </w:tcPr>
                <w:p w14:paraId="7512BE5E">
                  <w:pPr>
                    <w:keepNext w:val="0"/>
                    <w:keepLines w:val="0"/>
                    <w:pageBreakBefore w:val="0"/>
                    <w:widowControl w:val="0"/>
                    <w:kinsoku/>
                    <w:wordWrap/>
                    <w:overflowPunct/>
                    <w:topLinePunct w:val="0"/>
                    <w:bidi w:val="0"/>
                    <w:adjustRightInd w:val="0"/>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pPr>
                </w:p>
              </w:tc>
              <w:tc>
                <w:tcPr>
                  <w:tcW w:w="305" w:type="pct"/>
                  <w:vMerge w:val="continue"/>
                  <w:tcBorders>
                    <w:left w:val="single" w:color="auto" w:sz="8" w:space="0"/>
                    <w:right w:val="single" w:color="auto" w:sz="8" w:space="0"/>
                  </w:tcBorders>
                  <w:noWrap w:val="0"/>
                  <w:vAlign w:val="center"/>
                </w:tcPr>
                <w:p w14:paraId="3B33DBE0">
                  <w:pPr>
                    <w:keepNext w:val="0"/>
                    <w:keepLines w:val="0"/>
                    <w:pageBreakBefore w:val="0"/>
                    <w:widowControl w:val="0"/>
                    <w:kinsoku/>
                    <w:wordWrap/>
                    <w:overflowPunct/>
                    <w:topLinePunct w:val="0"/>
                    <w:bidi w:val="0"/>
                    <w:adjustRightInd w:val="0"/>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p>
              </w:tc>
              <w:tc>
                <w:tcPr>
                  <w:tcW w:w="383" w:type="pct"/>
                  <w:vMerge w:val="continue"/>
                  <w:tcBorders>
                    <w:left w:val="single" w:color="auto" w:sz="8" w:space="0"/>
                    <w:right w:val="single" w:color="auto" w:sz="8" w:space="0"/>
                  </w:tcBorders>
                  <w:noWrap w:val="0"/>
                  <w:vAlign w:val="center"/>
                </w:tcPr>
                <w:p w14:paraId="4899999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8" w:type="pct"/>
                  <w:vMerge w:val="continue"/>
                  <w:tcBorders>
                    <w:left w:val="single" w:color="auto" w:sz="8" w:space="0"/>
                    <w:bottom w:val="single" w:color="auto" w:sz="8" w:space="0"/>
                    <w:right w:val="single" w:color="auto" w:sz="8" w:space="0"/>
                  </w:tcBorders>
                  <w:noWrap w:val="0"/>
                  <w:vAlign w:val="center"/>
                </w:tcPr>
                <w:p w14:paraId="0A8226F0">
                  <w:pPr>
                    <w:keepNext w:val="0"/>
                    <w:keepLines w:val="0"/>
                    <w:pageBreakBefore w:val="0"/>
                    <w:widowControl w:val="0"/>
                    <w:kinsoku/>
                    <w:wordWrap/>
                    <w:overflowPunct/>
                    <w:topLinePunct w:val="0"/>
                    <w:bidi w:val="0"/>
                    <w:adjustRightInd w:val="0"/>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36" w:type="pct"/>
                  <w:vMerge w:val="continue"/>
                  <w:tcBorders>
                    <w:left w:val="single" w:color="auto" w:sz="8" w:space="0"/>
                    <w:bottom w:val="single" w:color="auto" w:sz="8" w:space="0"/>
                    <w:right w:val="single" w:color="auto" w:sz="8" w:space="0"/>
                  </w:tcBorders>
                  <w:noWrap w:val="0"/>
                  <w:vAlign w:val="center"/>
                </w:tcPr>
                <w:p w14:paraId="66D06AC0">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612" w:type="pct"/>
                  <w:tcBorders>
                    <w:top w:val="single" w:color="auto" w:sz="8" w:space="0"/>
                    <w:left w:val="single" w:color="auto" w:sz="8" w:space="0"/>
                    <w:bottom w:val="single" w:color="auto" w:sz="8" w:space="0"/>
                    <w:right w:val="single" w:color="auto" w:sz="8" w:space="0"/>
                  </w:tcBorders>
                  <w:noWrap w:val="0"/>
                  <w:vAlign w:val="center"/>
                </w:tcPr>
                <w:p w14:paraId="44F0CDDD">
                  <w:pPr>
                    <w:keepNext w:val="0"/>
                    <w:keepLines w:val="0"/>
                    <w:pageBreakBefore w:val="0"/>
                    <w:widowControl w:val="0"/>
                    <w:kinsoku/>
                    <w:wordWrap/>
                    <w:overflowPunct/>
                    <w:topLinePunct w:val="0"/>
                    <w:bidi w:val="0"/>
                    <w:adjustRightInd w:val="0"/>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0.3-0.5</w:t>
                  </w:r>
                </w:p>
              </w:tc>
              <w:tc>
                <w:tcPr>
                  <w:tcW w:w="2423" w:type="pct"/>
                  <w:tcBorders>
                    <w:top w:val="single" w:color="auto" w:sz="8" w:space="0"/>
                    <w:left w:val="single" w:color="auto" w:sz="8" w:space="0"/>
                    <w:bottom w:val="single" w:color="auto" w:sz="8" w:space="0"/>
                    <w:right w:val="single" w:color="auto" w:sz="8" w:space="0"/>
                  </w:tcBorders>
                  <w:noWrap w:val="0"/>
                  <w:vAlign w:val="center"/>
                </w:tcPr>
                <w:p w14:paraId="4F665290">
                  <w:pPr>
                    <w:keepNext w:val="0"/>
                    <w:keepLines w:val="0"/>
                    <w:pageBreakBefore w:val="0"/>
                    <w:widowControl w:val="0"/>
                    <w:kinsoku/>
                    <w:wordWrap/>
                    <w:overflowPunct/>
                    <w:topLinePunct w:val="0"/>
                    <w:bidi w:val="0"/>
                    <w:adjustRightInd w:val="0"/>
                    <w:snapToGrid w:val="0"/>
                    <w:spacing w:after="62" w:afterLines="20"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耕土（单元层代号为①</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1"/>
                      <w:szCs w:val="21"/>
                      <w:highlight w:val="none"/>
                      <w14:textFill>
                        <w14:solidFill>
                          <w14:schemeClr w14:val="tx1"/>
                        </w14:solidFill>
                      </w14:textFill>
                    </w:rPr>
                    <w:t>）：主要分布于场址区周边，褐、褐红色，含多量植物根须，结构松散，稍湿。</w:t>
                  </w:r>
                </w:p>
              </w:tc>
            </w:tr>
            <w:tr w14:paraId="06C963F7">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79" w:type="pct"/>
                  <w:vMerge w:val="continue"/>
                  <w:tcBorders>
                    <w:left w:val="single" w:color="auto" w:sz="8" w:space="0"/>
                    <w:right w:val="single" w:color="auto" w:sz="8" w:space="0"/>
                  </w:tcBorders>
                  <w:noWrap w:val="0"/>
                  <w:vAlign w:val="center"/>
                </w:tcPr>
                <w:p w14:paraId="43CF41AC">
                  <w:pPr>
                    <w:keepNext w:val="0"/>
                    <w:keepLines w:val="0"/>
                    <w:pageBreakBefore w:val="0"/>
                    <w:widowControl w:val="0"/>
                    <w:kinsoku/>
                    <w:wordWrap/>
                    <w:overflowPunct/>
                    <w:topLinePunct w:val="0"/>
                    <w:bidi w:val="0"/>
                    <w:adjustRightInd w:val="0"/>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pPr>
                </w:p>
              </w:tc>
              <w:tc>
                <w:tcPr>
                  <w:tcW w:w="305" w:type="pct"/>
                  <w:vMerge w:val="continue"/>
                  <w:tcBorders>
                    <w:left w:val="single" w:color="auto" w:sz="8" w:space="0"/>
                    <w:right w:val="single" w:color="auto" w:sz="8" w:space="0"/>
                  </w:tcBorders>
                  <w:noWrap w:val="0"/>
                  <w:vAlign w:val="center"/>
                </w:tcPr>
                <w:p w14:paraId="196B4845">
                  <w:pPr>
                    <w:keepNext w:val="0"/>
                    <w:keepLines w:val="0"/>
                    <w:pageBreakBefore w:val="0"/>
                    <w:widowControl w:val="0"/>
                    <w:kinsoku/>
                    <w:wordWrap/>
                    <w:overflowPunct/>
                    <w:topLinePunct w:val="0"/>
                    <w:bidi w:val="0"/>
                    <w:adjustRightInd w:val="0"/>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p>
              </w:tc>
              <w:tc>
                <w:tcPr>
                  <w:tcW w:w="383" w:type="pct"/>
                  <w:vMerge w:val="continue"/>
                  <w:tcBorders>
                    <w:left w:val="single" w:color="auto" w:sz="8" w:space="0"/>
                    <w:right w:val="single" w:color="auto" w:sz="8" w:space="0"/>
                  </w:tcBorders>
                  <w:noWrap w:val="0"/>
                  <w:vAlign w:val="center"/>
                </w:tcPr>
                <w:p w14:paraId="2A3875E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8" w:type="pct"/>
                  <w:tcBorders>
                    <w:top w:val="single" w:color="auto" w:sz="8" w:space="0"/>
                    <w:left w:val="single" w:color="auto" w:sz="8" w:space="0"/>
                    <w:bottom w:val="single" w:color="auto" w:sz="8" w:space="0"/>
                    <w:right w:val="single" w:color="auto" w:sz="8" w:space="0"/>
                  </w:tcBorders>
                  <w:noWrap w:val="0"/>
                  <w:vAlign w:val="center"/>
                </w:tcPr>
                <w:p w14:paraId="11C58F45">
                  <w:pPr>
                    <w:keepNext w:val="0"/>
                    <w:keepLines w:val="0"/>
                    <w:pageBreakBefore w:val="0"/>
                    <w:widowControl w:val="0"/>
                    <w:kinsoku/>
                    <w:wordWrap/>
                    <w:overflowPunct/>
                    <w:topLinePunct w:val="0"/>
                    <w:bidi w:val="0"/>
                    <w:adjustRightInd w:val="0"/>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坡洪积层</w:t>
                  </w:r>
                </w:p>
              </w:tc>
              <w:tc>
                <w:tcPr>
                  <w:tcW w:w="536" w:type="pct"/>
                  <w:tcBorders>
                    <w:top w:val="single" w:color="auto" w:sz="8" w:space="0"/>
                    <w:left w:val="single" w:color="auto" w:sz="8" w:space="0"/>
                    <w:bottom w:val="single" w:color="auto" w:sz="8" w:space="0"/>
                    <w:right w:val="single" w:color="auto" w:sz="8" w:space="0"/>
                  </w:tcBorders>
                  <w:noWrap w:val="0"/>
                  <w:vAlign w:val="center"/>
                </w:tcPr>
                <w:p w14:paraId="16879CB3">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Q</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dl+pl</w:t>
                  </w:r>
                </w:p>
              </w:tc>
              <w:tc>
                <w:tcPr>
                  <w:tcW w:w="612" w:type="pct"/>
                  <w:tcBorders>
                    <w:top w:val="single" w:color="auto" w:sz="8" w:space="0"/>
                    <w:left w:val="single" w:color="auto" w:sz="8" w:space="0"/>
                    <w:bottom w:val="single" w:color="auto" w:sz="8" w:space="0"/>
                    <w:right w:val="single" w:color="auto" w:sz="8" w:space="0"/>
                  </w:tcBorders>
                  <w:noWrap w:val="0"/>
                  <w:vAlign w:val="center"/>
                </w:tcPr>
                <w:p w14:paraId="0BCD53C9">
                  <w:pPr>
                    <w:keepNext w:val="0"/>
                    <w:keepLines w:val="0"/>
                    <w:pageBreakBefore w:val="0"/>
                    <w:widowControl w:val="0"/>
                    <w:kinsoku/>
                    <w:wordWrap/>
                    <w:overflowPunct/>
                    <w:topLinePunct w:val="0"/>
                    <w:bidi w:val="0"/>
                    <w:adjustRightInd w:val="0"/>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浅处6.5-15.0；</w:t>
                  </w:r>
                </w:p>
                <w:p w14:paraId="72EBC533">
                  <w:pPr>
                    <w:keepNext w:val="0"/>
                    <w:keepLines w:val="0"/>
                    <w:pageBreakBefore w:val="0"/>
                    <w:widowControl w:val="0"/>
                    <w:kinsoku/>
                    <w:wordWrap/>
                    <w:overflowPunct/>
                    <w:topLinePunct w:val="0"/>
                    <w:bidi w:val="0"/>
                    <w:adjustRightInd w:val="0"/>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厚处30.0-41.0</w:t>
                  </w:r>
                </w:p>
              </w:tc>
              <w:tc>
                <w:tcPr>
                  <w:tcW w:w="2423" w:type="pct"/>
                  <w:tcBorders>
                    <w:top w:val="single" w:color="auto" w:sz="8" w:space="0"/>
                    <w:left w:val="single" w:color="auto" w:sz="8" w:space="0"/>
                    <w:bottom w:val="single" w:color="auto" w:sz="8" w:space="0"/>
                    <w:right w:val="single" w:color="auto" w:sz="8" w:space="0"/>
                  </w:tcBorders>
                  <w:noWrap w:val="0"/>
                  <w:vAlign w:val="center"/>
                </w:tcPr>
                <w:p w14:paraId="4E2AF26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含砾粘土（</w:t>
                  </w:r>
                  <w:r>
                    <w:rPr>
                      <w:rFonts w:hint="default" w:ascii="Times New Roman" w:hAnsi="Times New Roman" w:eastAsia="宋体" w:cs="Times New Roman"/>
                      <w:color w:val="000000" w:themeColor="text1"/>
                      <w:sz w:val="21"/>
                      <w:szCs w:val="21"/>
                      <w:highlight w:val="none"/>
                      <w14:textFill>
                        <w14:solidFill>
                          <w14:schemeClr w14:val="tx1"/>
                        </w14:solidFill>
                      </w14:textFill>
                    </w:rPr>
                    <w:t>单元层代号为②</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）：主要分布在场址区中部的卡巴拉沟内及两岸，</w:t>
                  </w:r>
                  <w:r>
                    <w:rPr>
                      <w:rFonts w:hint="default" w:ascii="Times New Roman" w:hAnsi="Times New Roman" w:eastAsia="宋体" w:cs="Times New Roman"/>
                      <w:color w:val="000000" w:themeColor="text1"/>
                      <w:sz w:val="21"/>
                      <w:szCs w:val="21"/>
                      <w:highlight w:val="none"/>
                      <w14:textFill>
                        <w14:solidFill>
                          <w14:schemeClr w14:val="tx1"/>
                        </w14:solidFill>
                      </w14:textFill>
                    </w:rPr>
                    <w:t>褐红、褐黄及褐色，颜色较杂，含砾石约25～40%，砾石成分为灰岩、砂岩等，粒径2～20mm，大者200mm；粘土可塑状态为主，局部硬塑状态，湿～稍湿。该层砾石、砂、粘士混杂，粒径差异大，夹杂棱角状、次棱角状碎石，圆形、亚圆形卵石、圆砾，分选极差，层理模糊、不连续，局部段含粘土夹层。层厚差异大</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w:t>
                  </w:r>
                </w:p>
              </w:tc>
            </w:tr>
            <w:tr w14:paraId="165557E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79" w:type="pct"/>
                  <w:vMerge w:val="continue"/>
                  <w:tcBorders>
                    <w:left w:val="single" w:color="auto" w:sz="8" w:space="0"/>
                    <w:right w:val="single" w:color="auto" w:sz="8" w:space="0"/>
                  </w:tcBorders>
                  <w:noWrap w:val="0"/>
                  <w:vAlign w:val="center"/>
                </w:tcPr>
                <w:p w14:paraId="600D2225">
                  <w:pPr>
                    <w:keepNext w:val="0"/>
                    <w:keepLines w:val="0"/>
                    <w:pageBreakBefore w:val="0"/>
                    <w:widowControl w:val="0"/>
                    <w:kinsoku/>
                    <w:wordWrap/>
                    <w:overflowPunct/>
                    <w:topLinePunct w:val="0"/>
                    <w:bidi w:val="0"/>
                    <w:adjustRightInd w:val="0"/>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pPr>
                </w:p>
              </w:tc>
              <w:tc>
                <w:tcPr>
                  <w:tcW w:w="305" w:type="pct"/>
                  <w:vMerge w:val="continue"/>
                  <w:tcBorders>
                    <w:left w:val="single" w:color="auto" w:sz="8" w:space="0"/>
                    <w:right w:val="single" w:color="auto" w:sz="8" w:space="0"/>
                  </w:tcBorders>
                  <w:noWrap w:val="0"/>
                  <w:vAlign w:val="center"/>
                </w:tcPr>
                <w:p w14:paraId="585F6765">
                  <w:pPr>
                    <w:keepNext w:val="0"/>
                    <w:keepLines w:val="0"/>
                    <w:pageBreakBefore w:val="0"/>
                    <w:widowControl w:val="0"/>
                    <w:kinsoku/>
                    <w:wordWrap/>
                    <w:overflowPunct/>
                    <w:topLinePunct w:val="0"/>
                    <w:bidi w:val="0"/>
                    <w:adjustRightInd w:val="0"/>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p>
              </w:tc>
              <w:tc>
                <w:tcPr>
                  <w:tcW w:w="383" w:type="pct"/>
                  <w:vMerge w:val="continue"/>
                  <w:tcBorders>
                    <w:left w:val="single" w:color="auto" w:sz="8" w:space="0"/>
                    <w:right w:val="single" w:color="auto" w:sz="8" w:space="0"/>
                  </w:tcBorders>
                  <w:noWrap w:val="0"/>
                  <w:vAlign w:val="center"/>
                </w:tcPr>
                <w:p w14:paraId="20873F48">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458" w:type="pct"/>
                  <w:tcBorders>
                    <w:top w:val="single" w:color="auto" w:sz="8" w:space="0"/>
                    <w:left w:val="single" w:color="auto" w:sz="8" w:space="0"/>
                    <w:bottom w:val="single" w:color="auto" w:sz="8" w:space="0"/>
                    <w:right w:val="single" w:color="auto" w:sz="8" w:space="0"/>
                  </w:tcBorders>
                  <w:noWrap w:val="0"/>
                  <w:vAlign w:val="center"/>
                </w:tcPr>
                <w:p w14:paraId="756833AF">
                  <w:pPr>
                    <w:keepNext w:val="0"/>
                    <w:keepLines w:val="0"/>
                    <w:pageBreakBefore w:val="0"/>
                    <w:widowControl w:val="0"/>
                    <w:kinsoku/>
                    <w:wordWrap/>
                    <w:overflowPunct/>
                    <w:topLinePunct w:val="0"/>
                    <w:bidi w:val="0"/>
                    <w:adjustRightInd w:val="0"/>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残坡积层</w:t>
                  </w:r>
                </w:p>
              </w:tc>
              <w:tc>
                <w:tcPr>
                  <w:tcW w:w="536" w:type="pct"/>
                  <w:tcBorders>
                    <w:top w:val="single" w:color="auto" w:sz="8" w:space="0"/>
                    <w:left w:val="single" w:color="auto" w:sz="8" w:space="0"/>
                    <w:bottom w:val="single" w:color="auto" w:sz="8" w:space="0"/>
                    <w:right w:val="single" w:color="auto" w:sz="8" w:space="0"/>
                  </w:tcBorders>
                  <w:noWrap w:val="0"/>
                  <w:vAlign w:val="center"/>
                </w:tcPr>
                <w:p w14:paraId="7D6745B5">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Q</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1"/>
                      <w:szCs w:val="21"/>
                      <w:highlight w:val="none"/>
                      <w:vertAlign w:val="superscript"/>
                      <w14:textFill>
                        <w14:solidFill>
                          <w14:schemeClr w14:val="tx1"/>
                        </w14:solidFill>
                      </w14:textFill>
                    </w:rPr>
                    <w:t>el+dl</w:t>
                  </w:r>
                </w:p>
              </w:tc>
              <w:tc>
                <w:tcPr>
                  <w:tcW w:w="612" w:type="pct"/>
                  <w:tcBorders>
                    <w:top w:val="single" w:color="auto" w:sz="8" w:space="0"/>
                    <w:left w:val="single" w:color="auto" w:sz="8" w:space="0"/>
                    <w:bottom w:val="single" w:color="auto" w:sz="8" w:space="0"/>
                    <w:right w:val="single" w:color="auto" w:sz="8" w:space="0"/>
                  </w:tcBorders>
                  <w:noWrap w:val="0"/>
                  <w:vAlign w:val="center"/>
                </w:tcPr>
                <w:p w14:paraId="013D049D">
                  <w:pPr>
                    <w:keepNext w:val="0"/>
                    <w:keepLines w:val="0"/>
                    <w:pageBreakBefore w:val="0"/>
                    <w:widowControl w:val="0"/>
                    <w:kinsoku/>
                    <w:wordWrap/>
                    <w:overflowPunct/>
                    <w:topLinePunct w:val="0"/>
                    <w:bidi w:val="0"/>
                    <w:adjustRightInd w:val="0"/>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一般1.7-7.3；</w:t>
                  </w:r>
                </w:p>
                <w:p w14:paraId="24D4F799">
                  <w:pPr>
                    <w:keepNext w:val="0"/>
                    <w:keepLines w:val="0"/>
                    <w:pageBreakBefore w:val="0"/>
                    <w:widowControl w:val="0"/>
                    <w:kinsoku/>
                    <w:wordWrap/>
                    <w:overflowPunct/>
                    <w:topLinePunct w:val="0"/>
                    <w:bidi w:val="0"/>
                    <w:adjustRightInd w:val="0"/>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厚处14.9</w:t>
                  </w:r>
                </w:p>
              </w:tc>
              <w:tc>
                <w:tcPr>
                  <w:tcW w:w="2423" w:type="pct"/>
                  <w:tcBorders>
                    <w:top w:val="single" w:color="auto" w:sz="8" w:space="0"/>
                    <w:left w:val="single" w:color="auto" w:sz="8" w:space="0"/>
                    <w:bottom w:val="single" w:color="auto" w:sz="8" w:space="0"/>
                    <w:right w:val="single" w:color="auto" w:sz="8" w:space="0"/>
                  </w:tcBorders>
                  <w:noWrap w:val="0"/>
                  <w:vAlign w:val="center"/>
                </w:tcPr>
                <w:p w14:paraId="3CD947C8">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红粘土（单元层代号为③）：主要分布在</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场址区周边斜坡一带，零星分布，</w:t>
                  </w:r>
                  <w:r>
                    <w:rPr>
                      <w:rFonts w:hint="default" w:ascii="Times New Roman" w:hAnsi="Times New Roman" w:eastAsia="宋体" w:cs="Times New Roman"/>
                      <w:color w:val="000000" w:themeColor="text1"/>
                      <w:sz w:val="21"/>
                      <w:szCs w:val="21"/>
                      <w:highlight w:val="none"/>
                      <w14:textFill>
                        <w14:solidFill>
                          <w14:schemeClr w14:val="tx1"/>
                        </w14:solidFill>
                      </w14:textFill>
                    </w:rPr>
                    <w:t>褐红色，可塑～硬塑状态，稍湿。无摇振反应，切面光滑，干强度及韧性中等</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w:t>
                  </w:r>
                </w:p>
              </w:tc>
            </w:tr>
            <w:tr w14:paraId="6DF11BD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79" w:type="pct"/>
                  <w:vMerge w:val="restart"/>
                  <w:tcBorders>
                    <w:left w:val="single" w:color="auto" w:sz="8" w:space="0"/>
                    <w:right w:val="single" w:color="auto" w:sz="8" w:space="0"/>
                  </w:tcBorders>
                  <w:noWrap w:val="0"/>
                  <w:vAlign w:val="center"/>
                </w:tcPr>
                <w:p w14:paraId="43EC37E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古</w:t>
                  </w:r>
                </w:p>
                <w:p w14:paraId="1C1186B4">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生</w:t>
                  </w:r>
                </w:p>
                <w:p w14:paraId="41477BE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界</w:t>
                  </w:r>
                </w:p>
              </w:tc>
              <w:tc>
                <w:tcPr>
                  <w:tcW w:w="305" w:type="pct"/>
                  <w:vMerge w:val="restart"/>
                  <w:tcBorders>
                    <w:top w:val="single" w:color="auto" w:sz="8" w:space="0"/>
                    <w:left w:val="single" w:color="auto" w:sz="8" w:space="0"/>
                    <w:right w:val="single" w:color="auto" w:sz="8" w:space="0"/>
                  </w:tcBorders>
                  <w:noWrap w:val="0"/>
                  <w:vAlign w:val="center"/>
                </w:tcPr>
                <w:p w14:paraId="35DEF0D8">
                  <w:pPr>
                    <w:keepNext w:val="0"/>
                    <w:keepLines w:val="0"/>
                    <w:pageBreakBefore w:val="0"/>
                    <w:widowControl w:val="0"/>
                    <w:kinsoku/>
                    <w:wordWrap/>
                    <w:overflowPunct/>
                    <w:topLinePunct w:val="0"/>
                    <w:bidi w:val="0"/>
                    <w:adjustRightInd w:val="0"/>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二叠系</w:t>
                  </w:r>
                </w:p>
              </w:tc>
              <w:tc>
                <w:tcPr>
                  <w:tcW w:w="383" w:type="pct"/>
                  <w:vMerge w:val="restart"/>
                  <w:tcBorders>
                    <w:top w:val="single" w:color="auto" w:sz="8" w:space="0"/>
                    <w:left w:val="single" w:color="auto" w:sz="8" w:space="0"/>
                    <w:right w:val="single" w:color="auto" w:sz="8" w:space="0"/>
                  </w:tcBorders>
                  <w:noWrap w:val="0"/>
                  <w:vAlign w:val="center"/>
                </w:tcPr>
                <w:p w14:paraId="1FB524A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上</w:t>
                  </w:r>
                </w:p>
                <w:p w14:paraId="16D38391">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下统</w:t>
                  </w:r>
                </w:p>
              </w:tc>
              <w:tc>
                <w:tcPr>
                  <w:tcW w:w="458" w:type="pct"/>
                  <w:vMerge w:val="restart"/>
                  <w:tcBorders>
                    <w:top w:val="single" w:color="auto" w:sz="8" w:space="0"/>
                    <w:left w:val="single" w:color="auto" w:sz="8" w:space="0"/>
                    <w:right w:val="single" w:color="auto" w:sz="8" w:space="0"/>
                  </w:tcBorders>
                  <w:noWrap w:val="0"/>
                  <w:vAlign w:val="center"/>
                </w:tcPr>
                <w:p w14:paraId="165F011F">
                  <w:pPr>
                    <w:keepNext w:val="0"/>
                    <w:keepLines w:val="0"/>
                    <w:pageBreakBefore w:val="0"/>
                    <w:widowControl w:val="0"/>
                    <w:kinsoku/>
                    <w:wordWrap/>
                    <w:overflowPunct/>
                    <w:topLinePunct w:val="0"/>
                    <w:bidi w:val="0"/>
                    <w:adjustRightInd w:val="0"/>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36" w:type="pct"/>
                  <w:vMerge w:val="restart"/>
                  <w:tcBorders>
                    <w:top w:val="single" w:color="auto" w:sz="8" w:space="0"/>
                    <w:left w:val="single" w:color="auto" w:sz="8" w:space="0"/>
                    <w:right w:val="single" w:color="auto" w:sz="8" w:space="0"/>
                  </w:tcBorders>
                  <w:noWrap w:val="0"/>
                  <w:vAlign w:val="center"/>
                </w:tcPr>
                <w:p w14:paraId="0BBB259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P</w:t>
                  </w:r>
                  <w:r>
                    <w:rPr>
                      <w:rFonts w:hint="default" w:ascii="Times New Roman" w:hAnsi="Times New Roman" w:eastAsia="宋体" w:cs="Times New Roman"/>
                      <w:color w:val="000000" w:themeColor="text1"/>
                      <w:sz w:val="21"/>
                      <w:szCs w:val="21"/>
                      <w:highlight w:val="none"/>
                      <w:vertAlign w:val="subscript"/>
                      <w:lang w:bidi="ar"/>
                      <w14:textFill>
                        <w14:solidFill>
                          <w14:schemeClr w14:val="tx1"/>
                        </w14:solidFill>
                      </w14:textFill>
                    </w:rPr>
                    <w:t>1-2</w:t>
                  </w:r>
                  <w:r>
                    <w:rPr>
                      <w:rFonts w:hint="default" w:ascii="Times New Roman" w:hAnsi="Times New Roman" w:eastAsia="宋体" w:cs="Times New Roman"/>
                      <w:color w:val="000000" w:themeColor="text1"/>
                      <w:sz w:val="21"/>
                      <w:szCs w:val="21"/>
                      <w:highlight w:val="none"/>
                      <w:vertAlign w:val="superscript"/>
                      <w:lang w:bidi="ar"/>
                      <w14:textFill>
                        <w14:solidFill>
                          <w14:schemeClr w14:val="tx1"/>
                        </w14:solidFill>
                      </w14:textFill>
                    </w:rPr>
                    <w:t>a</w:t>
                  </w:r>
                </w:p>
              </w:tc>
              <w:tc>
                <w:tcPr>
                  <w:tcW w:w="612" w:type="pct"/>
                  <w:tcBorders>
                    <w:top w:val="single" w:color="auto" w:sz="8" w:space="0"/>
                    <w:left w:val="single" w:color="auto" w:sz="8" w:space="0"/>
                    <w:bottom w:val="single" w:color="auto" w:sz="8" w:space="0"/>
                    <w:right w:val="single" w:color="auto" w:sz="8" w:space="0"/>
                  </w:tcBorders>
                  <w:noWrap w:val="0"/>
                  <w:vAlign w:val="center"/>
                </w:tcPr>
                <w:p w14:paraId="2AD9606E">
                  <w:pPr>
                    <w:keepNext w:val="0"/>
                    <w:keepLines w:val="0"/>
                    <w:pageBreakBefore w:val="0"/>
                    <w:widowControl w:val="0"/>
                    <w:kinsoku/>
                    <w:wordWrap/>
                    <w:overflowPunct/>
                    <w:topLinePunct w:val="0"/>
                    <w:bidi w:val="0"/>
                    <w:adjustRightInd w:val="0"/>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5.0-12.0</w:t>
                  </w:r>
                </w:p>
              </w:tc>
              <w:tc>
                <w:tcPr>
                  <w:tcW w:w="2423" w:type="pct"/>
                  <w:tcBorders>
                    <w:top w:val="single" w:color="auto" w:sz="8" w:space="0"/>
                    <w:left w:val="single" w:color="auto" w:sz="8" w:space="0"/>
                    <w:bottom w:val="single" w:color="auto" w:sz="8" w:space="0"/>
                    <w:right w:val="single" w:color="auto" w:sz="8" w:space="0"/>
                  </w:tcBorders>
                  <w:noWrap w:val="0"/>
                  <w:vAlign w:val="center"/>
                </w:tcPr>
                <w:p w14:paraId="31EE3675">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斜斑玄武岩（单元层代号④</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1"/>
                      <w:szCs w:val="21"/>
                      <w:highlight w:val="none"/>
                      <w14:textFill>
                        <w14:solidFill>
                          <w14:schemeClr w14:val="tx1"/>
                        </w14:solidFill>
                      </w14:textFill>
                    </w:rPr>
                    <w:t>）：主要分布于场地西侧边缘，监测井4#和5#揭露，黄绿、褐色，斑状结构，块状构造，强风化，岩芯呈坚硬土夹碎石状，干钻难钻进。其坚硬程度等级为软岩，完整程度为极破碎，岩石质量指标RQD=0，岩体基本质量等级为Ⅴ类。</w:t>
                  </w:r>
                </w:p>
              </w:tc>
            </w:tr>
            <w:tr w14:paraId="12607034">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79" w:type="pct"/>
                  <w:vMerge w:val="continue"/>
                  <w:tcBorders>
                    <w:left w:val="single" w:color="auto" w:sz="8" w:space="0"/>
                    <w:right w:val="single" w:color="auto" w:sz="8" w:space="0"/>
                  </w:tcBorders>
                  <w:noWrap w:val="0"/>
                  <w:vAlign w:val="center"/>
                </w:tcPr>
                <w:p w14:paraId="1B228E8A">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5" w:type="pct"/>
                  <w:vMerge w:val="continue"/>
                  <w:tcBorders>
                    <w:top w:val="single" w:color="auto" w:sz="8" w:space="0"/>
                    <w:left w:val="single" w:color="auto" w:sz="8" w:space="0"/>
                    <w:right w:val="single" w:color="auto" w:sz="8" w:space="0"/>
                  </w:tcBorders>
                  <w:noWrap w:val="0"/>
                  <w:vAlign w:val="center"/>
                </w:tcPr>
                <w:p w14:paraId="19770543">
                  <w:pPr>
                    <w:keepNext w:val="0"/>
                    <w:keepLines w:val="0"/>
                    <w:pageBreakBefore w:val="0"/>
                    <w:widowControl w:val="0"/>
                    <w:kinsoku/>
                    <w:wordWrap/>
                    <w:overflowPunct/>
                    <w:topLinePunct w:val="0"/>
                    <w:bidi w:val="0"/>
                    <w:adjustRightInd w:val="0"/>
                    <w:snapToGrid w:val="0"/>
                    <w:spacing w:line="240" w:lineRule="auto"/>
                    <w:ind w:left="-82" w:leftChars="-34" w:right="-94" w:rightChars="-39" w:firstLine="0" w:firstLineChars="0"/>
                    <w:jc w:val="center"/>
                    <w:textAlignment w:val="auto"/>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p>
              </w:tc>
              <w:tc>
                <w:tcPr>
                  <w:tcW w:w="383" w:type="pct"/>
                  <w:vMerge w:val="continue"/>
                  <w:tcBorders>
                    <w:left w:val="single" w:color="auto" w:sz="8" w:space="0"/>
                    <w:right w:val="single" w:color="auto" w:sz="8" w:space="0"/>
                  </w:tcBorders>
                  <w:noWrap w:val="0"/>
                  <w:vAlign w:val="center"/>
                </w:tcPr>
                <w:p w14:paraId="4385444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pPr>
                </w:p>
              </w:tc>
              <w:tc>
                <w:tcPr>
                  <w:tcW w:w="458" w:type="pct"/>
                  <w:vMerge w:val="continue"/>
                  <w:tcBorders>
                    <w:left w:val="single" w:color="auto" w:sz="8" w:space="0"/>
                    <w:bottom w:val="single" w:color="auto" w:sz="8" w:space="0"/>
                    <w:right w:val="single" w:color="auto" w:sz="8" w:space="0"/>
                  </w:tcBorders>
                  <w:noWrap w:val="0"/>
                  <w:vAlign w:val="center"/>
                </w:tcPr>
                <w:p w14:paraId="52A70D0E">
                  <w:pPr>
                    <w:keepNext w:val="0"/>
                    <w:keepLines w:val="0"/>
                    <w:pageBreakBefore w:val="0"/>
                    <w:widowControl w:val="0"/>
                    <w:kinsoku/>
                    <w:wordWrap/>
                    <w:overflowPunct/>
                    <w:topLinePunct w:val="0"/>
                    <w:bidi w:val="0"/>
                    <w:adjustRightInd w:val="0"/>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536" w:type="pct"/>
                  <w:vMerge w:val="continue"/>
                  <w:tcBorders>
                    <w:left w:val="single" w:color="auto" w:sz="8" w:space="0"/>
                    <w:bottom w:val="single" w:color="auto" w:sz="8" w:space="0"/>
                    <w:right w:val="single" w:color="auto" w:sz="8" w:space="0"/>
                  </w:tcBorders>
                  <w:noWrap w:val="0"/>
                  <w:vAlign w:val="center"/>
                </w:tcPr>
                <w:p w14:paraId="7B83F40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lang w:bidi="ar"/>
                      <w14:textFill>
                        <w14:solidFill>
                          <w14:schemeClr w14:val="tx1"/>
                        </w14:solidFill>
                      </w14:textFill>
                    </w:rPr>
                  </w:pPr>
                </w:p>
              </w:tc>
              <w:tc>
                <w:tcPr>
                  <w:tcW w:w="612" w:type="pct"/>
                  <w:tcBorders>
                    <w:top w:val="single" w:color="auto" w:sz="8" w:space="0"/>
                    <w:left w:val="single" w:color="auto" w:sz="8" w:space="0"/>
                    <w:bottom w:val="single" w:color="auto" w:sz="8" w:space="0"/>
                    <w:right w:val="single" w:color="auto" w:sz="8" w:space="0"/>
                  </w:tcBorders>
                  <w:noWrap w:val="0"/>
                  <w:vAlign w:val="center"/>
                </w:tcPr>
                <w:p w14:paraId="096936F1">
                  <w:pPr>
                    <w:keepNext w:val="0"/>
                    <w:keepLines w:val="0"/>
                    <w:pageBreakBefore w:val="0"/>
                    <w:widowControl w:val="0"/>
                    <w:kinsoku/>
                    <w:wordWrap/>
                    <w:overflowPunct/>
                    <w:topLinePunct w:val="0"/>
                    <w:bidi w:val="0"/>
                    <w:adjustRightInd w:val="0"/>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17.2-18.3</w:t>
                  </w:r>
                </w:p>
              </w:tc>
              <w:tc>
                <w:tcPr>
                  <w:tcW w:w="2423" w:type="pct"/>
                  <w:tcBorders>
                    <w:top w:val="single" w:color="auto" w:sz="8" w:space="0"/>
                    <w:left w:val="single" w:color="auto" w:sz="8" w:space="0"/>
                    <w:bottom w:val="single" w:color="auto" w:sz="8" w:space="0"/>
                    <w:right w:val="single" w:color="auto" w:sz="8" w:space="0"/>
                  </w:tcBorders>
                  <w:noWrap w:val="0"/>
                  <w:vAlign w:val="center"/>
                </w:tcPr>
                <w:p w14:paraId="186D71E1">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斜斑玄武岩（单元层代号④</w:t>
                  </w:r>
                  <w:r>
                    <w:rPr>
                      <w:rFonts w:hint="default" w:ascii="Times New Roman" w:hAnsi="Times New Roman" w:eastAsia="宋体" w:cs="Times New Roman"/>
                      <w:color w:val="000000" w:themeColor="text1"/>
                      <w:sz w:val="21"/>
                      <w:szCs w:val="21"/>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1"/>
                      <w:szCs w:val="21"/>
                      <w:highlight w:val="none"/>
                      <w14:textFill>
                        <w14:solidFill>
                          <w14:schemeClr w14:val="tx1"/>
                        </w14:solidFill>
                      </w14:textFill>
                    </w:rPr>
                    <w:t>）：主要分布于场地西侧边缘，监测井3#和5#揭露，黑灰、深兰灰色，斑状结构，块状构造，斜长石斑晶含量约5-15%，隐晶质，中风化，岩芯呈柱状、短柱状。坚硬程度等级为坚硬岩，完整程度为较完整～较破碎，岩体基本质量等级为Ⅱ～Ⅲ类。</w:t>
                  </w:r>
                </w:p>
              </w:tc>
            </w:tr>
            <w:tr w14:paraId="4FCF107B">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jc w:val="center"/>
              </w:trPr>
              <w:tc>
                <w:tcPr>
                  <w:tcW w:w="279" w:type="pct"/>
                  <w:vMerge w:val="continue"/>
                  <w:tcBorders>
                    <w:left w:val="single" w:color="auto" w:sz="8" w:space="0"/>
                    <w:right w:val="single" w:color="auto" w:sz="8" w:space="0"/>
                  </w:tcBorders>
                  <w:noWrap w:val="0"/>
                  <w:vAlign w:val="center"/>
                </w:tcPr>
                <w:p w14:paraId="69E3B81B">
                  <w:pPr>
                    <w:keepNext w:val="0"/>
                    <w:keepLines w:val="0"/>
                    <w:pageBreakBefore w:val="0"/>
                    <w:widowControl w:val="0"/>
                    <w:kinsoku/>
                    <w:wordWrap/>
                    <w:overflowPunct/>
                    <w:topLinePunct w:val="0"/>
                    <w:bidi w:val="0"/>
                    <w:adjustRightInd w:val="0"/>
                    <w:snapToGrid w:val="0"/>
                    <w:spacing w:line="240" w:lineRule="auto"/>
                    <w:ind w:firstLine="0" w:firstLineChars="0"/>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05" w:type="pct"/>
                  <w:vMerge w:val="continue"/>
                  <w:tcBorders>
                    <w:left w:val="single" w:color="auto" w:sz="8" w:space="0"/>
                    <w:right w:val="single" w:color="auto" w:sz="8" w:space="0"/>
                  </w:tcBorders>
                  <w:noWrap w:val="0"/>
                  <w:vAlign w:val="center"/>
                </w:tcPr>
                <w:p w14:paraId="01E9825D">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p>
              </w:tc>
              <w:tc>
                <w:tcPr>
                  <w:tcW w:w="383" w:type="pct"/>
                  <w:tcBorders>
                    <w:top w:val="single" w:color="auto" w:sz="8" w:space="0"/>
                    <w:left w:val="single" w:color="auto" w:sz="8" w:space="0"/>
                    <w:right w:val="single" w:color="auto" w:sz="8" w:space="0"/>
                  </w:tcBorders>
                  <w:noWrap w:val="0"/>
                  <w:vAlign w:val="center"/>
                </w:tcPr>
                <w:p w14:paraId="6E5CCA9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pacing w:val="2"/>
                      <w:position w:val="2"/>
                      <w:sz w:val="21"/>
                      <w:szCs w:val="21"/>
                      <w:highlight w:val="none"/>
                      <w:lang w:bidi="ar"/>
                      <w14:textFill>
                        <w14:solidFill>
                          <w14:schemeClr w14:val="tx1"/>
                        </w14:solidFill>
                      </w14:textFill>
                    </w:rPr>
                    <w:t>下统</w:t>
                  </w:r>
                </w:p>
              </w:tc>
              <w:tc>
                <w:tcPr>
                  <w:tcW w:w="458" w:type="pct"/>
                  <w:tcBorders>
                    <w:top w:val="single" w:color="auto" w:sz="8" w:space="0"/>
                    <w:left w:val="single" w:color="auto" w:sz="8" w:space="0"/>
                    <w:bottom w:val="single" w:color="auto" w:sz="8" w:space="0"/>
                    <w:right w:val="single" w:color="auto" w:sz="8" w:space="0"/>
                  </w:tcBorders>
                  <w:noWrap w:val="0"/>
                  <w:vAlign w:val="center"/>
                </w:tcPr>
                <w:p w14:paraId="152CA156">
                  <w:pPr>
                    <w:keepNext w:val="0"/>
                    <w:keepLines w:val="0"/>
                    <w:pageBreakBefore w:val="0"/>
                    <w:widowControl w:val="0"/>
                    <w:kinsoku/>
                    <w:wordWrap/>
                    <w:overflowPunct/>
                    <w:topLinePunct w:val="0"/>
                    <w:bidi w:val="0"/>
                    <w:adjustRightInd w:val="0"/>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栖霞</w:t>
                  </w:r>
                </w:p>
                <w:p w14:paraId="0F21F404">
                  <w:pPr>
                    <w:keepNext w:val="0"/>
                    <w:keepLines w:val="0"/>
                    <w:pageBreakBefore w:val="0"/>
                    <w:widowControl w:val="0"/>
                    <w:kinsoku/>
                    <w:wordWrap/>
                    <w:overflowPunct/>
                    <w:topLinePunct w:val="0"/>
                    <w:bidi w:val="0"/>
                    <w:adjustRightInd w:val="0"/>
                    <w:snapToGrid w:val="0"/>
                    <w:spacing w:line="240" w:lineRule="auto"/>
                    <w:ind w:left="-134" w:leftChars="-56" w:right="-108" w:rightChars="-45"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茅口组</w:t>
                  </w:r>
                </w:p>
              </w:tc>
              <w:tc>
                <w:tcPr>
                  <w:tcW w:w="536" w:type="pct"/>
                  <w:tcBorders>
                    <w:top w:val="single" w:color="auto" w:sz="8" w:space="0"/>
                    <w:left w:val="single" w:color="auto" w:sz="8" w:space="0"/>
                    <w:bottom w:val="single" w:color="auto" w:sz="8" w:space="0"/>
                    <w:right w:val="single" w:color="auto" w:sz="8" w:space="0"/>
                  </w:tcBorders>
                  <w:noWrap w:val="0"/>
                  <w:vAlign w:val="center"/>
                </w:tcPr>
                <w:p w14:paraId="0E92FB82">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P</w:t>
                  </w:r>
                  <w:r>
                    <w:rPr>
                      <w:rFonts w:hint="default" w:ascii="Times New Roman" w:hAnsi="Times New Roman" w:eastAsia="宋体" w:cs="Times New Roman"/>
                      <w:color w:val="000000" w:themeColor="text1"/>
                      <w:sz w:val="21"/>
                      <w:szCs w:val="21"/>
                      <w:highlight w:val="none"/>
                      <w:vertAlign w:val="subscript"/>
                      <w:lang w:bidi="ar"/>
                      <w14:textFill>
                        <w14:solidFill>
                          <w14:schemeClr w14:val="tx1"/>
                        </w14:solidFill>
                      </w14:textFill>
                    </w:rPr>
                    <w:t>1</w:t>
                  </w:r>
                  <w:r>
                    <w:rPr>
                      <w:rFonts w:hint="default" w:ascii="Times New Roman" w:hAnsi="Times New Roman" w:eastAsia="宋体" w:cs="Times New Roman"/>
                      <w:color w:val="000000" w:themeColor="text1"/>
                      <w:sz w:val="21"/>
                      <w:szCs w:val="21"/>
                      <w:highlight w:val="none"/>
                      <w:lang w:bidi="ar"/>
                      <w14:textFill>
                        <w14:solidFill>
                          <w14:schemeClr w14:val="tx1"/>
                        </w14:solidFill>
                      </w14:textFill>
                    </w:rPr>
                    <w:t>q+m</w:t>
                  </w:r>
                </w:p>
              </w:tc>
              <w:tc>
                <w:tcPr>
                  <w:tcW w:w="612" w:type="pct"/>
                  <w:tcBorders>
                    <w:top w:val="single" w:color="auto" w:sz="8" w:space="0"/>
                    <w:left w:val="single" w:color="auto" w:sz="8" w:space="0"/>
                    <w:bottom w:val="single" w:color="auto" w:sz="8" w:space="0"/>
                    <w:right w:val="single" w:color="auto" w:sz="8" w:space="0"/>
                  </w:tcBorders>
                  <w:noWrap w:val="0"/>
                  <w:vAlign w:val="center"/>
                </w:tcPr>
                <w:p w14:paraId="5B6A2260">
                  <w:pPr>
                    <w:keepNext w:val="0"/>
                    <w:keepLines w:val="0"/>
                    <w:pageBreakBefore w:val="0"/>
                    <w:widowControl w:val="0"/>
                    <w:kinsoku/>
                    <w:wordWrap/>
                    <w:overflowPunct/>
                    <w:topLinePunct w:val="0"/>
                    <w:bidi w:val="0"/>
                    <w:adjustRightInd w:val="0"/>
                    <w:snapToGrid w:val="0"/>
                    <w:spacing w:line="240" w:lineRule="auto"/>
                    <w:ind w:left="-134" w:leftChars="-56" w:right="-118" w:rightChars="-49" w:firstLine="0" w:firstLineChars="0"/>
                    <w:jc w:val="center"/>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一般0-15.0；最深41.0</w:t>
                  </w:r>
                </w:p>
              </w:tc>
              <w:tc>
                <w:tcPr>
                  <w:tcW w:w="2423" w:type="pct"/>
                  <w:tcBorders>
                    <w:top w:val="single" w:color="auto" w:sz="8" w:space="0"/>
                    <w:left w:val="single" w:color="auto" w:sz="8" w:space="0"/>
                    <w:bottom w:val="single" w:color="auto" w:sz="8" w:space="0"/>
                    <w:right w:val="single" w:color="auto" w:sz="8" w:space="0"/>
                  </w:tcBorders>
                  <w:noWrap w:val="0"/>
                  <w:vAlign w:val="center"/>
                </w:tcPr>
                <w:p w14:paraId="38F896AB">
                  <w:pPr>
                    <w:keepNext w:val="0"/>
                    <w:keepLines w:val="0"/>
                    <w:pageBreakBefore w:val="0"/>
                    <w:widowControl w:val="0"/>
                    <w:kinsoku/>
                    <w:wordWrap/>
                    <w:overflowPunct/>
                    <w:topLinePunct w:val="0"/>
                    <w:autoSpaceDE w:val="0"/>
                    <w:autoSpaceDN w:val="0"/>
                    <w:bidi w:val="0"/>
                    <w:adjustRightInd w:val="0"/>
                    <w:snapToGrid w:val="0"/>
                    <w:spacing w:line="240" w:lineRule="auto"/>
                    <w:ind w:firstLine="0" w:firstLineChars="0"/>
                    <w:jc w:val="left"/>
                    <w:textAlignment w:val="auto"/>
                    <w:rPr>
                      <w:rFonts w:hint="default" w:ascii="Times New Roman" w:hAnsi="Times New Roman" w:eastAsia="宋体" w:cs="Times New Roman"/>
                      <w:color w:val="000000" w:themeColor="text1"/>
                      <w:sz w:val="21"/>
                      <w:szCs w:val="21"/>
                      <w:highlight w:val="none"/>
                      <w14:textFill>
                        <w14:solidFill>
                          <w14:schemeClr w14:val="tx1"/>
                        </w14:solidFill>
                      </w14:textFill>
                    </w:rPr>
                  </w:pPr>
                  <w:r>
                    <w:rPr>
                      <w:rFonts w:hint="default" w:ascii="Times New Roman" w:hAnsi="Times New Roman" w:eastAsia="宋体" w:cs="Times New Roman"/>
                      <w:color w:val="000000" w:themeColor="text1"/>
                      <w:sz w:val="21"/>
                      <w:szCs w:val="21"/>
                      <w:highlight w:val="none"/>
                      <w14:textFill>
                        <w14:solidFill>
                          <w14:schemeClr w14:val="tx1"/>
                        </w14:solidFill>
                      </w14:textFill>
                    </w:rPr>
                    <w:t>灰岩、白云岩（单元层代号⑤）：在场地区均有分布，为场地内主要地层。灰、灰白及深灰色，隐晶～细晶结构，厚层状、中厚层状构造，中风化，溶蚀裂隙一般发育，岩芯呈块状、短柱状、柱状，节长一般5～55cm，岩石质量指标为较差（RQD=65），岩石饱和单轴抗压强度平均值为46.4MPa，其坚硬程度等级为较硬岩，完整程度为较破碎，岩体基本质量等级为Ⅳ类。</w:t>
                  </w:r>
                </w:p>
              </w:tc>
            </w:tr>
          </w:tbl>
          <w:p w14:paraId="09F625F8">
            <w:pPr>
              <w:widowControl/>
              <w:ind w:firstLine="482"/>
              <w:jc w:val="left"/>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4.5区域地质构造</w:t>
            </w:r>
          </w:p>
          <w:p w14:paraId="60AB2474">
            <w:pPr>
              <w:pStyle w:val="24"/>
              <w:keepNext w:val="0"/>
              <w:keepLines w:val="0"/>
              <w:pageBreakBefore w:val="0"/>
              <w:kinsoku/>
              <w:wordWrap/>
              <w:overflowPunct/>
              <w:topLinePunct w:val="0"/>
              <w:bidi w:val="0"/>
              <w:adjustRightInd w:val="0"/>
              <w:snapToGrid w:val="0"/>
              <w:spacing w:after="0" w:line="360" w:lineRule="auto"/>
              <w:ind w:right="496"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调查区所属区域大地构造位置位于扬子准地台（一级）川滇台背斜（二级）武定—石屏隆断束区，处于南北向普渡河断裂与南北向小江断裂西支嵩明～沧溪断裂的挟持地带（见图2-6）。</w:t>
            </w:r>
          </w:p>
          <w:p w14:paraId="403FD6EC">
            <w:pPr>
              <w:keepNext w:val="0"/>
              <w:keepLines w:val="0"/>
              <w:pageBreakBefore w:val="0"/>
              <w:kinsoku/>
              <w:wordWrap/>
              <w:overflowPunct/>
              <w:topLinePunct w:val="0"/>
              <w:bidi w:val="0"/>
              <w:adjustRightInd w:val="0"/>
              <w:snapToGrid w:val="0"/>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区内地质构造复杂，以断裂构造为主，褶皱较发育，主干构造有：普渡河断裂（⑬）、嵩明～沧溪断裂（</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eq \o\ac(</w:instrText>
            </w:r>
            <w:r>
              <w:rPr>
                <w:rFonts w:hint="default" w:ascii="Times New Roman" w:hAnsi="Times New Roman" w:eastAsia="宋体" w:cs="Times New Roman"/>
                <w:color w:val="000000" w:themeColor="text1"/>
                <w:position w:val="-4"/>
                <w:sz w:val="36"/>
                <w:szCs w:val="24"/>
                <w:highlight w:val="none"/>
                <w14:textFill>
                  <w14:solidFill>
                    <w14:schemeClr w14:val="tx1"/>
                  </w14:solidFill>
                </w14:textFill>
              </w:rPr>
              <w:instrText xml:space="preserve">○</w:instrTex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instrText xml:space="preserve">,40)</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）、鲁戛-麦地冲断裂（</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eq \o\ac(</w:instrText>
            </w:r>
            <w:r>
              <w:rPr>
                <w:rFonts w:hint="default" w:ascii="Times New Roman" w:hAnsi="Times New Roman" w:eastAsia="宋体" w:cs="Times New Roman"/>
                <w:color w:val="000000" w:themeColor="text1"/>
                <w:position w:val="-4"/>
                <w:sz w:val="36"/>
                <w:szCs w:val="24"/>
                <w:highlight w:val="none"/>
                <w14:textFill>
                  <w14:solidFill>
                    <w14:schemeClr w14:val="tx1"/>
                  </w14:solidFill>
                </w14:textFill>
              </w:rPr>
              <w:instrText xml:space="preserve">○</w:instrTex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instrText xml:space="preserve">,30)</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）、大村-门前地断裂（</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eq \o\ac(</w:instrText>
            </w:r>
            <w:r>
              <w:rPr>
                <w:rFonts w:hint="default" w:ascii="Times New Roman" w:hAnsi="Times New Roman" w:eastAsia="宋体" w:cs="Times New Roman"/>
                <w:color w:val="000000" w:themeColor="text1"/>
                <w:position w:val="-4"/>
                <w:sz w:val="36"/>
                <w:szCs w:val="24"/>
                <w:highlight w:val="none"/>
                <w14:textFill>
                  <w14:solidFill>
                    <w14:schemeClr w14:val="tx1"/>
                  </w14:solidFill>
                </w14:textFill>
              </w:rPr>
              <w:instrText xml:space="preserve">○</w:instrTex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instrText xml:space="preserve">,31)</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）、赵家村向斜（30）、鲁戛-鲁洒沛背斜（31），区内主构造线方向为近南北向，并有东西向的压性断裂与之垂直，详见图2-7区域构造纲要图。</w:t>
            </w:r>
          </w:p>
          <w:p w14:paraId="14489E91">
            <w:pPr>
              <w:pStyle w:val="24"/>
              <w:keepNext w:val="0"/>
              <w:keepLines w:val="0"/>
              <w:pageBreakBefore w:val="0"/>
              <w:kinsoku/>
              <w:wordWrap/>
              <w:overflowPunct/>
              <w:topLinePunct w:val="0"/>
              <w:bidi w:val="0"/>
              <w:adjustRightInd w:val="0"/>
              <w:snapToGrid w:val="0"/>
              <w:spacing w:after="0" w:line="360" w:lineRule="auto"/>
              <w:ind w:right="496" w:firstLine="480" w:firstLineChars="200"/>
              <w:rPr>
                <w:rFonts w:hint="default" w:ascii="Times New Roman" w:hAnsi="Times New Roman" w:eastAsia="宋体" w:cs="Times New Roman"/>
                <w:color w:val="000000" w:themeColor="text1"/>
                <w:sz w:val="24"/>
                <w:szCs w:val="24"/>
                <w:highlight w:val="none"/>
                <w:lang w:bidi="en-US"/>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对调查区存在影响的主要构造分述如下：</w:t>
            </w:r>
          </w:p>
          <w:p w14:paraId="03413A4E">
            <w:pPr>
              <w:pStyle w:val="24"/>
              <w:keepNext w:val="0"/>
              <w:keepLines w:val="0"/>
              <w:pageBreakBefore w:val="0"/>
              <w:kinsoku/>
              <w:wordWrap/>
              <w:overflowPunct/>
              <w:topLinePunct w:val="0"/>
              <w:bidi w:val="0"/>
              <w:adjustRightInd w:val="0"/>
              <w:snapToGrid w:val="0"/>
              <w:spacing w:after="0" w:line="360" w:lineRule="auto"/>
              <w:ind w:right="496"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（1）普渡河断裂（⑬）：</w:t>
            </w:r>
          </w:p>
          <w:p w14:paraId="1B1FD4B0">
            <w:pPr>
              <w:pStyle w:val="2"/>
              <w:keepNext w:val="0"/>
              <w:keepLines w:val="0"/>
              <w:pageBreakBefore w:val="0"/>
              <w:widowControl/>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为区域控制性的断裂构造，北起四川宁南，往南大致沿普渡河河谷延伸，至沙坪一带后偏离普渡河河谷，经款庄、沙朗、滇池、剌桐关、玉溪盆地西缘至峨山小街，全长约300km。断裂由一系列大致平行或呈雁行状排列的南北向～北北东向断裂和其派生的次级断裂所组成，曾有过多期构造活动，自古生代以来长期控制着两侧地质构造的发育，成为扬子准地台上川滇台背斜与滇东台褶皱带两个二级大地构造单元的分界。该断裂总体走向近南北，局部偏东10°～20°，倾向东，倾角60°～80°，南段为向东陡倾的张性断层，而北段为东倾高角度的压性断层，说明该断层遭受多次运动改造，断层破碎带宽数十米至数百米，断层地貌清晰，控制了昆明盆地的西部边界。晚新生代以来表现为左旋剪切拉张性质，在昆明盆地地段（长约65.0km），以垂直差异活动为主，西盘上升为中山区，有高达500m的西山断层陡崖分布；东盘下降形成普吉－韩家村凹陷，基岩埋深400～1000余米；水平运动表现为左旋扭动，平均水平运动速度为0.9～2.0mm/a。该断裂为基底断裂，</w:t>
            </w:r>
            <w:r>
              <w:rPr>
                <w:rFonts w:hint="default" w:ascii="Times New Roman" w:hAnsi="Times New Roman" w:eastAsia="宋体" w:cs="Times New Roman"/>
                <w:bCs/>
                <w:color w:val="000000" w:themeColor="text1"/>
                <w:sz w:val="24"/>
                <w:szCs w:val="24"/>
                <w:highlight w:val="none"/>
                <w14:textFill>
                  <w14:solidFill>
                    <w14:schemeClr w14:val="tx1"/>
                  </w14:solidFill>
                </w14:textFill>
              </w:rPr>
              <w:t>属晚更新世活动断裂，不属发震断裂</w:t>
            </w:r>
            <w:r>
              <w:rPr>
                <w:rFonts w:hint="default" w:ascii="Times New Roman" w:hAnsi="Times New Roman" w:eastAsia="宋体" w:cs="Times New Roman"/>
                <w:color w:val="000000" w:themeColor="text1"/>
                <w:sz w:val="24"/>
                <w:szCs w:val="24"/>
                <w:highlight w:val="none"/>
                <w14:textFill>
                  <w14:solidFill>
                    <w14:schemeClr w14:val="tx1"/>
                  </w14:solidFill>
                </w14:textFill>
              </w:rPr>
              <w:t>。该断裂从场地西部约14km处通过，对场地影响较小。</w:t>
            </w:r>
          </w:p>
          <w:p w14:paraId="61C7275F">
            <w:pPr>
              <w:pStyle w:val="24"/>
              <w:keepNext w:val="0"/>
              <w:keepLines w:val="0"/>
              <w:pageBreakBefore w:val="0"/>
              <w:kinsoku/>
              <w:wordWrap/>
              <w:overflowPunct/>
              <w:topLinePunct w:val="0"/>
              <w:bidi w:val="0"/>
              <w:adjustRightInd w:val="0"/>
              <w:snapToGrid w:val="0"/>
              <w:spacing w:after="0" w:line="360" w:lineRule="auto"/>
              <w:ind w:right="496"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（2）嵩明～沧溪断裂（</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eq \o\ac(</w:instrText>
            </w:r>
            <w:r>
              <w:rPr>
                <w:rFonts w:hint="default" w:ascii="Times New Roman" w:hAnsi="Times New Roman" w:eastAsia="宋体" w:cs="Times New Roman"/>
                <w:color w:val="000000" w:themeColor="text1"/>
                <w:position w:val="-4"/>
                <w:sz w:val="36"/>
                <w:szCs w:val="24"/>
                <w:highlight w:val="none"/>
                <w14:textFill>
                  <w14:solidFill>
                    <w14:schemeClr w14:val="tx1"/>
                  </w14:solidFill>
                </w14:textFill>
              </w:rPr>
              <w:instrText xml:space="preserve">○</w:instrTex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instrText xml:space="preserve">,40)</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446286AC">
            <w:pPr>
              <w:keepNext w:val="0"/>
              <w:keepLines w:val="0"/>
              <w:pageBreakBefore w:val="0"/>
              <w:widowControl/>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为小江断裂西支，</w:t>
            </w:r>
            <w:r>
              <w:rPr>
                <w:rFonts w:hint="default" w:ascii="Times New Roman" w:hAnsi="Times New Roman" w:eastAsia="宋体" w:cs="Times New Roman"/>
                <w:color w:val="000000" w:themeColor="text1"/>
                <w:sz w:val="24"/>
                <w:szCs w:val="24"/>
                <w:highlight w:val="none"/>
                <w14:textFill>
                  <w14:solidFill>
                    <w14:schemeClr w14:val="tx1"/>
                  </w14:solidFill>
                </w14:textFill>
              </w:rPr>
              <w:t>北起达朵以北，可能于小江村附近交于东支主干断裂，向南经乌龙盆地、沧溪盆地西缘、甸中盆地西缘、清水海、上游水库、陆良山西，进人嵩明盆地被覆盖。在杨林北再次出露后，经杨林、南冲、冬瓜营、前所、至施家咀人阳宗海，出阳宗海后，经阳宗海盆地南西缘延至澄江盆地西北缘。全长约220km，总体走向近南北，倾向西，倾角较陡。第四纪以来断裂活动十分强烈，沿断裂发育有鸟龙、沧溪、甸中、清水海、嵩明、阳宗海等一系列新近纪一第四纪断陷盆地，其中沧溪、甸中、清水海等为第四纪新生断陷盆地。嵩明盆地为沿断裂发育的规模最大的断陷盆地。沿断裂分布的第四系被断错或第四系内断层发育。沿断裂，断错水系、断错山脊、断错洪积扇、断错阶地、断层陡崖、断层陡坎等断层地貌十分发育。</w:t>
            </w:r>
            <w:r>
              <w:rPr>
                <w:rFonts w:hint="default" w:ascii="Times New Roman" w:hAnsi="Times New Roman" w:eastAsia="宋体" w:cs="Times New Roman"/>
                <w:bCs/>
                <w:color w:val="000000" w:themeColor="text1"/>
                <w:sz w:val="24"/>
                <w:szCs w:val="24"/>
                <w:highlight w:val="none"/>
                <w14:textFill>
                  <w14:solidFill>
                    <w14:schemeClr w14:val="tx1"/>
                  </w14:solidFill>
                </w14:textFill>
              </w:rPr>
              <w:t>该断裂为全新世活动断裂，属发震断裂</w:t>
            </w:r>
            <w:r>
              <w:rPr>
                <w:rFonts w:hint="default" w:ascii="Times New Roman" w:hAnsi="Times New Roman" w:eastAsia="宋体" w:cs="Times New Roman"/>
                <w:color w:val="000000" w:themeColor="text1"/>
                <w:sz w:val="24"/>
                <w:szCs w:val="24"/>
                <w:highlight w:val="none"/>
                <w14:textFill>
                  <w14:solidFill>
                    <w14:schemeClr w14:val="tx1"/>
                  </w14:solidFill>
                </w14:textFill>
              </w:rPr>
              <w:t>，从场地东侧约29km处通过，对场地影响较小。</w:t>
            </w:r>
          </w:p>
          <w:p w14:paraId="0F9F3987">
            <w:pPr>
              <w:pStyle w:val="24"/>
              <w:keepNext w:val="0"/>
              <w:keepLines w:val="0"/>
              <w:pageBreakBefore w:val="0"/>
              <w:kinsoku/>
              <w:wordWrap/>
              <w:overflowPunct/>
              <w:topLinePunct w:val="0"/>
              <w:bidi w:val="0"/>
              <w:adjustRightInd w:val="0"/>
              <w:snapToGrid w:val="0"/>
              <w:spacing w:after="0" w:line="360" w:lineRule="auto"/>
              <w:ind w:right="496"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（3）鲁戛-麦地冲断裂（</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eq \o\ac(</w:instrText>
            </w:r>
            <w:r>
              <w:rPr>
                <w:rFonts w:hint="default" w:ascii="Times New Roman" w:hAnsi="Times New Roman" w:eastAsia="宋体" w:cs="Times New Roman"/>
                <w:color w:val="000000" w:themeColor="text1"/>
                <w:position w:val="-4"/>
                <w:sz w:val="36"/>
                <w:szCs w:val="24"/>
                <w:highlight w:val="none"/>
                <w14:textFill>
                  <w14:solidFill>
                    <w14:schemeClr w14:val="tx1"/>
                  </w14:solidFill>
                </w14:textFill>
              </w:rPr>
              <w:instrText xml:space="preserve">○</w:instrTex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instrText xml:space="preserve">,30)</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77E164D4">
            <w:pPr>
              <w:keepNext w:val="0"/>
              <w:keepLines w:val="0"/>
              <w:pageBreakBefore w:val="0"/>
              <w:widowControl/>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北东起于寻甸西北牛街杨家湾之东，在沧溪北与小江西支断裂交切，往南西经牛街大庆到马街的龙街子附近，又被北西向则邑断裂切错后继续向南延伸，大致沿马街盆地东缘的舒家村到鲁戛、新哨、新发村、麦地冲，止于普渡河断裂带上的散旦花箐附近。断裂全长约68km，平面展布上略显微波形弯曲，总体走向30°，倾向北西，倾角40°</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14:textFill>
                  <w14:solidFill>
                    <w14:schemeClr w14:val="tx1"/>
                  </w14:solidFill>
                </w14:textFill>
              </w:rPr>
              <w:t>60°。断裂破碎带宽数十米至数百米，具压扭性质，两盘均为古生界地层，构造岩特征为断层泥、硅化、绿泥石化，沿断层有辉绿岩分布。该断裂位于调查区中部，从场址区西侧通过，</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导致场地附近岩体破碎</w:t>
            </w:r>
            <w:r>
              <w:rPr>
                <w:rFonts w:hint="default" w:ascii="Times New Roman" w:hAnsi="Times New Roman" w:eastAsia="宋体" w:cs="Times New Roman"/>
                <w:bCs/>
                <w:color w:val="000000" w:themeColor="text1"/>
                <w:sz w:val="24"/>
                <w:szCs w:val="24"/>
                <w:highlight w:val="none"/>
                <w14:textFill>
                  <w14:solidFill>
                    <w14:schemeClr w14:val="tx1"/>
                  </w14:solidFill>
                </w14:textFill>
              </w:rPr>
              <w:t>，对场址区有一定影响。</w:t>
            </w:r>
          </w:p>
          <w:p w14:paraId="59B2F1F0">
            <w:pPr>
              <w:pStyle w:val="24"/>
              <w:keepNext w:val="0"/>
              <w:keepLines w:val="0"/>
              <w:pageBreakBefore w:val="0"/>
              <w:kinsoku/>
              <w:wordWrap/>
              <w:overflowPunct/>
              <w:topLinePunct w:val="0"/>
              <w:bidi w:val="0"/>
              <w:adjustRightInd w:val="0"/>
              <w:snapToGrid w:val="0"/>
              <w:spacing w:after="0" w:line="360" w:lineRule="auto"/>
              <w:ind w:right="496"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（4）大村-门前地断裂（</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eq \o\ac(</w:instrText>
            </w:r>
            <w:r>
              <w:rPr>
                <w:rFonts w:hint="default" w:ascii="Times New Roman" w:hAnsi="Times New Roman" w:eastAsia="宋体" w:cs="Times New Roman"/>
                <w:color w:val="000000" w:themeColor="text1"/>
                <w:position w:val="-4"/>
                <w:sz w:val="36"/>
                <w:szCs w:val="24"/>
                <w:highlight w:val="none"/>
                <w14:textFill>
                  <w14:solidFill>
                    <w14:schemeClr w14:val="tx1"/>
                  </w14:solidFill>
                </w14:textFill>
              </w:rPr>
              <w:instrText xml:space="preserve">○</w:instrTex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instrText xml:space="preserve">,31)</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2D29650F">
            <w:pPr>
              <w:keepNext w:val="0"/>
              <w:keepLines w:val="0"/>
              <w:pageBreakBefore w:val="0"/>
              <w:widowControl/>
              <w:kinsoku/>
              <w:wordWrap/>
              <w:overflowPunct/>
              <w:topLinePunct w:val="0"/>
              <w:bidi w:val="0"/>
              <w:adjustRightInd w:val="0"/>
              <w:snapToGrid w:val="0"/>
              <w:spacing w:line="360" w:lineRule="auto"/>
              <w:ind w:firstLine="480" w:firstLineChars="200"/>
              <w:jc w:val="left"/>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北东起于鲁戛之南的则戛大村，</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沿</w:t>
            </w:r>
            <w:r>
              <w:rPr>
                <w:rFonts w:hint="default" w:ascii="Times New Roman" w:hAnsi="Times New Roman" w:eastAsia="宋体" w:cs="Times New Roman"/>
                <w:bCs/>
                <w:color w:val="000000" w:themeColor="text1"/>
                <w:sz w:val="24"/>
                <w:szCs w:val="24"/>
                <w:highlight w:val="none"/>
                <w14:textFill>
                  <w14:solidFill>
                    <w14:schemeClr w14:val="tx1"/>
                  </w14:solidFill>
                </w14:textFill>
              </w:rPr>
              <w:t>则戛大村</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→新哨→场地东部→向西南延伸</w:t>
            </w:r>
            <w:r>
              <w:rPr>
                <w:rFonts w:hint="default" w:ascii="Times New Roman" w:hAnsi="Times New Roman" w:eastAsia="宋体" w:cs="Times New Roman"/>
                <w:bCs/>
                <w:color w:val="000000" w:themeColor="text1"/>
                <w:sz w:val="24"/>
                <w:szCs w:val="24"/>
                <w:highlight w:val="none"/>
                <w14:textFill>
                  <w14:solidFill>
                    <w14:schemeClr w14:val="tx1"/>
                  </w14:solidFill>
                </w14:textFill>
              </w:rPr>
              <w:t>，止于</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场地西南部约26.8km处的门前地，其中在新哨附近被断层错断。</w:t>
            </w:r>
            <w:r>
              <w:rPr>
                <w:rFonts w:hint="default" w:ascii="Times New Roman" w:hAnsi="Times New Roman" w:eastAsia="宋体" w:cs="Times New Roman"/>
                <w:bCs/>
                <w:color w:val="000000" w:themeColor="text1"/>
                <w:sz w:val="24"/>
                <w:szCs w:val="24"/>
                <w:highlight w:val="none"/>
                <w14:textFill>
                  <w14:solidFill>
                    <w14:schemeClr w14:val="tx1"/>
                  </w14:solidFill>
                </w14:textFill>
              </w:rPr>
              <w:t>全长约43km，总体走向30°，倾向西南，倾角70°。断裂性质不明，具压扭性质。两盘均为古生界地层，构造岩特征为硅化、角砾化，断层南段有辉绿岩侵入。该断裂位于调查区东部，从场址区东部约2.1km处通过，对场地影响较小。</w:t>
            </w:r>
          </w:p>
          <w:p w14:paraId="41866B72">
            <w:pPr>
              <w:pStyle w:val="24"/>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（5）赵家村向斜（30）</w:t>
            </w:r>
            <w:bookmarkStart w:id="46" w:name="_Hlk84952593"/>
          </w:p>
          <w:bookmarkEnd w:id="46"/>
          <w:p w14:paraId="102F8613">
            <w:pPr>
              <w:pStyle w:val="24"/>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展布于马街赵家村、鸡街、乐朗一带，轴部长约35公里，宽约1.5公里。轴线方向40°，平面呈长条状，剖面不对称，中部被北西向断层错动为南北两段，北段被上第三系掩盖。核部地层为古生界二叠系上-下统（</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P</w:t>
            </w:r>
            <w:r>
              <w:rPr>
                <w:rFonts w:hint="default" w:ascii="Times New Roman" w:hAnsi="Times New Roman" w:eastAsia="宋体" w:cs="Times New Roman"/>
                <w:color w:val="000000" w:themeColor="text1"/>
                <w:sz w:val="24"/>
                <w:szCs w:val="24"/>
                <w:highlight w:val="none"/>
                <w:vertAlign w:val="subscript"/>
                <w:lang w:bidi="ar"/>
                <w14:textFill>
                  <w14:solidFill>
                    <w14:schemeClr w14:val="tx1"/>
                  </w14:solidFill>
                </w14:textFill>
              </w:rPr>
              <w:t>1-2</w:t>
            </w:r>
            <w:r>
              <w:rPr>
                <w:rFonts w:hint="default"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c</w:t>
            </w:r>
            <w:r>
              <w:rPr>
                <w:rFonts w:hint="default" w:ascii="Times New Roman" w:hAnsi="Times New Roman" w:eastAsia="宋体" w:cs="Times New Roman"/>
                <w:color w:val="000000" w:themeColor="text1"/>
                <w:sz w:val="24"/>
                <w:szCs w:val="24"/>
                <w:highlight w:val="none"/>
                <w14:textFill>
                  <w14:solidFill>
                    <w14:schemeClr w14:val="tx1"/>
                  </w14:solidFill>
                </w14:textFill>
              </w:rPr>
              <w:t>），翼部地层为古生界二叠系上-下统（</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P</w:t>
            </w:r>
            <w:r>
              <w:rPr>
                <w:rFonts w:hint="default" w:ascii="Times New Roman" w:hAnsi="Times New Roman" w:eastAsia="宋体" w:cs="Times New Roman"/>
                <w:color w:val="000000" w:themeColor="text1"/>
                <w:sz w:val="24"/>
                <w:szCs w:val="24"/>
                <w:highlight w:val="none"/>
                <w:vertAlign w:val="subscript"/>
                <w:lang w:bidi="ar"/>
                <w14:textFill>
                  <w14:solidFill>
                    <w14:schemeClr w14:val="tx1"/>
                  </w14:solidFill>
                </w14:textFill>
              </w:rPr>
              <w:t>1-2</w:t>
            </w:r>
            <w:r>
              <w:rPr>
                <w:rFonts w:hint="default"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b</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P</w:t>
            </w:r>
            <w:r>
              <w:rPr>
                <w:rFonts w:hint="default" w:ascii="Times New Roman" w:hAnsi="Times New Roman" w:eastAsia="宋体" w:cs="Times New Roman"/>
                <w:color w:val="000000" w:themeColor="text1"/>
                <w:sz w:val="24"/>
                <w:szCs w:val="24"/>
                <w:highlight w:val="none"/>
                <w:vertAlign w:val="subscript"/>
                <w:lang w:bidi="ar"/>
                <w14:textFill>
                  <w14:solidFill>
                    <w14:schemeClr w14:val="tx1"/>
                  </w14:solidFill>
                </w14:textFill>
              </w:rPr>
              <w:t>1-2</w:t>
            </w:r>
            <w:r>
              <w:rPr>
                <w:rFonts w:hint="default" w:ascii="Times New Roman" w:hAnsi="Times New Roman" w:eastAsia="宋体" w:cs="Times New Roman"/>
                <w:color w:val="000000" w:themeColor="text1"/>
                <w:sz w:val="24"/>
                <w:szCs w:val="24"/>
                <w:highlight w:val="none"/>
                <w:vertAlign w:val="superscript"/>
                <w:lang w:bidi="ar"/>
                <w14:textFill>
                  <w14:solidFill>
                    <w14:schemeClr w14:val="tx1"/>
                  </w14:solidFill>
                </w14:textFill>
              </w:rPr>
              <w:t>a</w:t>
            </w:r>
            <w:r>
              <w:rPr>
                <w:rFonts w:hint="default" w:ascii="Times New Roman" w:hAnsi="Times New Roman" w:eastAsia="宋体" w:cs="Times New Roman"/>
                <w:color w:val="000000" w:themeColor="text1"/>
                <w:sz w:val="24"/>
                <w:szCs w:val="24"/>
                <w:highlight w:val="none"/>
                <w14:textFill>
                  <w14:solidFill>
                    <w14:schemeClr w14:val="tx1"/>
                  </w14:solidFill>
                </w14:textFill>
              </w:rPr>
              <w:t>），东翼倾向：北西</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∠20</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sym w:font="CommercialPi BT" w:char="F04C"/>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40°；</w:t>
            </w:r>
            <w:r>
              <w:rPr>
                <w:rFonts w:hint="default" w:ascii="Times New Roman" w:hAnsi="Times New Roman" w:eastAsia="宋体" w:cs="Times New Roman"/>
                <w:color w:val="000000" w:themeColor="text1"/>
                <w:sz w:val="24"/>
                <w:szCs w:val="24"/>
                <w:highlight w:val="none"/>
                <w14:textFill>
                  <w14:solidFill>
                    <w14:schemeClr w14:val="tx1"/>
                  </w14:solidFill>
                </w14:textFill>
              </w:rPr>
              <w:t>西翼倾向：北东</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∠15</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sym w:font="CommercialPi BT" w:char="F04C"/>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30°、</w:t>
            </w:r>
            <w:r>
              <w:rPr>
                <w:rFonts w:hint="default" w:ascii="Times New Roman" w:hAnsi="Times New Roman" w:eastAsia="宋体" w:cs="Times New Roman"/>
                <w:color w:val="000000" w:themeColor="text1"/>
                <w:sz w:val="24"/>
                <w:szCs w:val="24"/>
                <w:highlight w:val="none"/>
                <w14:textFill>
                  <w14:solidFill>
                    <w14:schemeClr w14:val="tx1"/>
                  </w14:solidFill>
                </w14:textFill>
              </w:rPr>
              <w:t>南东</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∠5</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sym w:font="CommercialPi BT" w:char="F04C"/>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20°</w:t>
            </w:r>
            <w:r>
              <w:rPr>
                <w:rFonts w:hint="default" w:ascii="Times New Roman" w:hAnsi="Times New Roman" w:eastAsia="宋体" w:cs="Times New Roman"/>
                <w:color w:val="000000" w:themeColor="text1"/>
                <w:sz w:val="24"/>
                <w:szCs w:val="24"/>
                <w:highlight w:val="none"/>
                <w14:textFill>
                  <w14:solidFill>
                    <w14:schemeClr w14:val="tx1"/>
                  </w14:solidFill>
                </w14:textFill>
              </w:rPr>
              <w:t>。场址区位于该向斜东部，距离向斜核部约3.2km。</w:t>
            </w:r>
          </w:p>
          <w:p w14:paraId="0F270A89">
            <w:pPr>
              <w:pStyle w:val="24"/>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（6）鲁戛-鲁洒沛背斜（31）</w:t>
            </w:r>
          </w:p>
          <w:p w14:paraId="5173FDB5">
            <w:pPr>
              <w:pStyle w:val="24"/>
              <w:keepNext w:val="0"/>
              <w:keepLines w:val="0"/>
              <w:pageBreakBefore w:val="0"/>
              <w:widowControl/>
              <w:kinsoku/>
              <w:wordWrap/>
              <w:overflowPunct/>
              <w:topLinePunct w:val="0"/>
              <w:autoSpaceDE/>
              <w:autoSpaceDN/>
              <w:bidi w:val="0"/>
              <w:adjustRightInd w:val="0"/>
              <w:snapToGrid w:val="0"/>
              <w:spacing w:before="0" w:after="0" w:line="360" w:lineRule="auto"/>
              <w:ind w:right="0" w:firstLine="480" w:firstLineChars="200"/>
              <w:jc w:val="left"/>
              <w:textAlignment w:val="auto"/>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位于鲁戛、鲁洒沛、乐朗、老鸭山一带，轴部长约66公里，宽约2公里。轴线方向30～50°，平面呈长条状，剖面不对称，被纵横断层割成五段，向北东倾伏。核部地层为古生界奥陶系下统红石崖组（</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O</w:t>
            </w:r>
            <w:r>
              <w:rPr>
                <w:rFonts w:hint="default" w:ascii="Times New Roman" w:hAnsi="Times New Roman" w:eastAsia="宋体" w:cs="Times New Roman"/>
                <w:color w:val="000000" w:themeColor="text1"/>
                <w:sz w:val="24"/>
                <w:szCs w:val="24"/>
                <w:highlight w:val="none"/>
                <w:vertAlign w:val="subscript"/>
                <w:lang w:bidi="ar"/>
                <w14:textFill>
                  <w14:solidFill>
                    <w14:schemeClr w14:val="tx1"/>
                  </w14:solidFill>
                </w14:textFill>
              </w:rPr>
              <w:t>1</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h</w:t>
            </w:r>
            <w:r>
              <w:rPr>
                <w:rFonts w:hint="default" w:ascii="Times New Roman" w:hAnsi="Times New Roman" w:eastAsia="宋体" w:cs="Times New Roman"/>
                <w:color w:val="000000" w:themeColor="text1"/>
                <w:sz w:val="24"/>
                <w:szCs w:val="24"/>
                <w:highlight w:val="none"/>
                <w14:textFill>
                  <w14:solidFill>
                    <w14:schemeClr w14:val="tx1"/>
                  </w14:solidFill>
                </w14:textFill>
              </w:rPr>
              <w:t>）及</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泥盆系中统（D</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2</w:t>
            </w:r>
            <w:r>
              <w:rPr>
                <w:rFonts w:hint="default" w:ascii="Times New Roman" w:hAnsi="Times New Roman" w:eastAsia="宋体" w:cs="Times New Roman"/>
                <w:i/>
                <w:iCs/>
                <w:color w:val="000000" w:themeColor="text1"/>
                <w:spacing w:val="-10"/>
                <w:sz w:val="24"/>
                <w:szCs w:val="24"/>
                <w:highlight w:val="none"/>
                <w14:textFill>
                  <w14:solidFill>
                    <w14:schemeClr w14:val="tx1"/>
                  </w14:solidFill>
                </w14:textFill>
              </w:rPr>
              <w:t>a</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）、下统（D</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翼部地层为</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石炭系下统（C</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）及二叠系下统（</w:t>
            </w:r>
            <w:r>
              <w:rPr>
                <w:rFonts w:hint="default" w:ascii="Times New Roman" w:hAnsi="Times New Roman" w:eastAsia="宋体" w:cs="Times New Roman"/>
                <w:color w:val="000000" w:themeColor="text1"/>
                <w:sz w:val="24"/>
                <w:szCs w:val="24"/>
                <w:highlight w:val="none"/>
                <w14:textFill>
                  <w14:solidFill>
                    <w14:schemeClr w14:val="tx1"/>
                  </w14:solidFill>
                </w14:textFill>
              </w:rPr>
              <w:t>P</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w:t>
            </w:r>
            <w:r>
              <w:rPr>
                <w:rFonts w:hint="default" w:ascii="Times New Roman" w:hAnsi="Times New Roman" w:eastAsia="宋体" w:cs="Times New Roman"/>
                <w:i/>
                <w:color w:val="000000" w:themeColor="text1"/>
                <w:sz w:val="24"/>
                <w:szCs w:val="24"/>
                <w:highlight w:val="none"/>
                <w14:textFill>
                  <w14:solidFill>
                    <w14:schemeClr w14:val="tx1"/>
                  </w14:solidFill>
                </w14:textFill>
              </w:rPr>
              <w:t>q+m</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）栖霞茅口组</w:t>
            </w:r>
            <w:r>
              <w:rPr>
                <w:rFonts w:hint="default" w:ascii="Times New Roman" w:hAnsi="Times New Roman" w:eastAsia="宋体" w:cs="Times New Roman"/>
                <w:color w:val="000000" w:themeColor="text1"/>
                <w:sz w:val="24"/>
                <w:szCs w:val="24"/>
                <w:highlight w:val="none"/>
                <w14:textFill>
                  <w14:solidFill>
                    <w14:schemeClr w14:val="tx1"/>
                  </w14:solidFill>
                </w14:textFill>
              </w:rPr>
              <w:t>，东翼倾向：东、南东</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∠20</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sym w:font="CommercialPi BT" w:char="F04C"/>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45°；</w:t>
            </w:r>
            <w:r>
              <w:rPr>
                <w:rFonts w:hint="default" w:ascii="Times New Roman" w:hAnsi="Times New Roman" w:eastAsia="宋体" w:cs="Times New Roman"/>
                <w:color w:val="000000" w:themeColor="text1"/>
                <w:sz w:val="24"/>
                <w:szCs w:val="24"/>
                <w:highlight w:val="none"/>
                <w14:textFill>
                  <w14:solidFill>
                    <w14:schemeClr w14:val="tx1"/>
                  </w14:solidFill>
                </w14:textFill>
              </w:rPr>
              <w:t>西翼倾向：西</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∠20</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sym w:font="CommercialPi BT" w:char="F04C"/>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pacing w:val="4"/>
                <w:sz w:val="24"/>
                <w:szCs w:val="24"/>
                <w:highlight w:val="none"/>
                <w14:textFill>
                  <w14:solidFill>
                    <w14:schemeClr w14:val="tx1"/>
                  </w14:solidFill>
                </w14:textFill>
              </w:rPr>
              <w:t>60°</w:t>
            </w:r>
            <w:r>
              <w:rPr>
                <w:rFonts w:hint="default" w:ascii="Times New Roman" w:hAnsi="Times New Roman" w:eastAsia="宋体" w:cs="Times New Roman"/>
                <w:color w:val="000000" w:themeColor="text1"/>
                <w:sz w:val="24"/>
                <w:szCs w:val="24"/>
                <w:highlight w:val="none"/>
                <w14:textFill>
                  <w14:solidFill>
                    <w14:schemeClr w14:val="tx1"/>
                  </w14:solidFill>
                </w14:textFill>
              </w:rPr>
              <w:t>。场址区位于该背斜西部，距离背斜核部约1.2km。</w:t>
            </w:r>
          </w:p>
          <w:p w14:paraId="649409AE">
            <w:pPr>
              <w:spacing w:line="360" w:lineRule="auto"/>
              <w:ind w:leftChars="-152" w:hanging="364" w:hangingChars="152"/>
              <w:jc w:val="center"/>
              <w:rPr>
                <w:rFonts w:hint="eastAsia" w:ascii="宋体" w:hAnsi="宋体" w:eastAsia="宋体" w:cs="宋体"/>
                <w:color w:val="000000" w:themeColor="text1"/>
                <w:highlight w:val="none"/>
                <w14:textFill>
                  <w14:solidFill>
                    <w14:schemeClr w14:val="tx1"/>
                  </w14:solidFill>
                </w14:textFill>
              </w:rPr>
            </w:pPr>
            <w:r>
              <w:rPr>
                <w:color w:val="000000" w:themeColor="text1"/>
                <w14:textFill>
                  <w14:solidFill>
                    <w14:schemeClr w14:val="tx1"/>
                  </w14:solidFill>
                </w14:textFill>
              </w:rPr>
              <w:drawing>
                <wp:inline distT="0" distB="0" distL="114300" distR="114300">
                  <wp:extent cx="4953000" cy="6791325"/>
                  <wp:effectExtent l="0" t="0" r="0" b="9525"/>
                  <wp:docPr id="1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9"/>
                          <pic:cNvPicPr>
                            <a:picLocks noChangeAspect="1"/>
                          </pic:cNvPicPr>
                        </pic:nvPicPr>
                        <pic:blipFill>
                          <a:blip r:embed="rId26"/>
                          <a:stretch>
                            <a:fillRect/>
                          </a:stretch>
                        </pic:blipFill>
                        <pic:spPr>
                          <a:xfrm>
                            <a:off x="0" y="0"/>
                            <a:ext cx="4953000" cy="6791325"/>
                          </a:xfrm>
                          <a:prstGeom prst="rect">
                            <a:avLst/>
                          </a:prstGeom>
                          <a:noFill/>
                          <a:ln>
                            <a:noFill/>
                          </a:ln>
                        </pic:spPr>
                      </pic:pic>
                    </a:graphicData>
                  </a:graphic>
                </wp:inline>
              </w:drawing>
            </w:r>
          </w:p>
          <w:p w14:paraId="3ECBA618">
            <w:pPr>
              <w:pStyle w:val="24"/>
              <w:spacing w:after="0" w:line="360" w:lineRule="auto"/>
              <w:ind w:right="496" w:firstLine="480"/>
              <w:jc w:val="center"/>
              <w:rPr>
                <w:rFonts w:hint="eastAsia" w:ascii="宋体" w:hAnsi="宋体" w:eastAsia="宋体" w:cs="宋体"/>
                <w:b/>
                <w:color w:val="000000" w:themeColor="text1"/>
                <w:kern w:val="24"/>
                <w:sz w:val="24"/>
                <w:highlight w:val="none"/>
                <w14:textFill>
                  <w14:solidFill>
                    <w14:schemeClr w14:val="tx1"/>
                  </w14:solidFill>
                </w14:textFill>
              </w:rPr>
            </w:pPr>
            <w:r>
              <w:rPr>
                <w:rFonts w:hint="eastAsia" w:ascii="宋体" w:hAnsi="宋体" w:eastAsia="宋体" w:cs="宋体"/>
                <w:b/>
                <w:color w:val="000000" w:themeColor="text1"/>
                <w:kern w:val="24"/>
                <w:sz w:val="24"/>
                <w:highlight w:val="none"/>
                <w14:textFill>
                  <w14:solidFill>
                    <w14:schemeClr w14:val="tx1"/>
                  </w14:solidFill>
                </w14:textFill>
              </w:rPr>
              <w:t>图</w:t>
            </w:r>
            <w:r>
              <w:rPr>
                <w:rFonts w:hint="eastAsia" w:ascii="宋体" w:hAnsi="宋体" w:cs="宋体"/>
                <w:b/>
                <w:color w:val="000000" w:themeColor="text1"/>
                <w:kern w:val="24"/>
                <w:sz w:val="24"/>
                <w:highlight w:val="none"/>
                <w:lang w:val="en-US" w:eastAsia="zh-CN"/>
                <w14:textFill>
                  <w14:solidFill>
                    <w14:schemeClr w14:val="tx1"/>
                  </w14:solidFill>
                </w14:textFill>
              </w:rPr>
              <w:t>4-8</w:t>
            </w:r>
            <w:r>
              <w:rPr>
                <w:rFonts w:hint="eastAsia" w:ascii="宋体" w:hAnsi="宋体" w:eastAsia="宋体" w:cs="宋体"/>
                <w:b/>
                <w:color w:val="000000" w:themeColor="text1"/>
                <w:kern w:val="24"/>
                <w:sz w:val="24"/>
                <w:highlight w:val="none"/>
                <w14:textFill>
                  <w14:solidFill>
                    <w14:schemeClr w14:val="tx1"/>
                  </w14:solidFill>
                </w14:textFill>
              </w:rPr>
              <w:t xml:space="preserve">  云南省大地构造分区略图</w:t>
            </w:r>
          </w:p>
          <w:p w14:paraId="3EDF20AC">
            <w:pPr>
              <w:jc w:val="center"/>
              <w:rPr>
                <w:rFonts w:hint="eastAsia" w:ascii="宋体" w:hAnsi="宋体" w:eastAsia="宋体" w:cs="宋体"/>
                <w:b/>
                <w:bCs/>
                <w:color w:val="000000" w:themeColor="text1"/>
                <w:sz w:val="24"/>
                <w:highlight w:val="none"/>
                <w14:textFill>
                  <w14:solidFill>
                    <w14:schemeClr w14:val="tx1"/>
                  </w14:solidFill>
                </w14:textFill>
              </w:rPr>
            </w:pPr>
            <w:r>
              <w:rPr>
                <w:color w:val="000000" w:themeColor="text1"/>
                <w14:textFill>
                  <w14:solidFill>
                    <w14:schemeClr w14:val="tx1"/>
                  </w14:solidFill>
                </w14:textFill>
              </w:rPr>
              <w:drawing>
                <wp:anchor distT="0" distB="0" distL="114300" distR="114300" simplePos="0" relativeHeight="251666432" behindDoc="0" locked="0" layoutInCell="1" allowOverlap="1">
                  <wp:simplePos x="0" y="0"/>
                  <wp:positionH relativeFrom="column">
                    <wp:posOffset>-7620</wp:posOffset>
                  </wp:positionH>
                  <wp:positionV relativeFrom="paragraph">
                    <wp:posOffset>-7221220</wp:posOffset>
                  </wp:positionV>
                  <wp:extent cx="4986020" cy="4886325"/>
                  <wp:effectExtent l="0" t="0" r="5080" b="9525"/>
                  <wp:wrapSquare wrapText="bothSides"/>
                  <wp:docPr id="12"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pic:cNvPicPr>
                            <a:picLocks noChangeAspect="1"/>
                          </pic:cNvPicPr>
                        </pic:nvPicPr>
                        <pic:blipFill>
                          <a:blip r:embed="rId27"/>
                          <a:stretch>
                            <a:fillRect/>
                          </a:stretch>
                        </pic:blipFill>
                        <pic:spPr>
                          <a:xfrm>
                            <a:off x="0" y="0"/>
                            <a:ext cx="4986020" cy="4886325"/>
                          </a:xfrm>
                          <a:prstGeom prst="rect">
                            <a:avLst/>
                          </a:prstGeom>
                          <a:noFill/>
                          <a:ln>
                            <a:noFill/>
                          </a:ln>
                        </pic:spPr>
                      </pic:pic>
                    </a:graphicData>
                  </a:graphic>
                </wp:anchor>
              </w:drawing>
            </w:r>
            <w:r>
              <w:rPr>
                <w:rFonts w:hint="eastAsia" w:ascii="宋体" w:hAnsi="宋体" w:eastAsia="宋体" w:cs="宋体"/>
                <w:b/>
                <w:bCs/>
                <w:color w:val="000000" w:themeColor="text1"/>
                <w:sz w:val="24"/>
                <w:highlight w:val="none"/>
                <w14:textFill>
                  <w14:solidFill>
                    <w14:schemeClr w14:val="tx1"/>
                  </w14:solidFill>
                </w14:textFill>
              </w:rPr>
              <w:t>图</w:t>
            </w:r>
            <w:r>
              <w:rPr>
                <w:rFonts w:hint="eastAsia" w:ascii="宋体" w:hAnsi="宋体" w:cs="宋体"/>
                <w:b/>
                <w:bCs/>
                <w:color w:val="000000" w:themeColor="text1"/>
                <w:sz w:val="24"/>
                <w:highlight w:val="none"/>
                <w:lang w:val="en-US" w:eastAsia="zh-CN"/>
                <w14:textFill>
                  <w14:solidFill>
                    <w14:schemeClr w14:val="tx1"/>
                  </w14:solidFill>
                </w14:textFill>
              </w:rPr>
              <w:t>4-9</w:t>
            </w:r>
            <w:r>
              <w:rPr>
                <w:rFonts w:hint="eastAsia" w:ascii="宋体" w:hAnsi="宋体" w:eastAsia="宋体" w:cs="宋体"/>
                <w:b/>
                <w:bCs/>
                <w:color w:val="000000" w:themeColor="text1"/>
                <w:sz w:val="24"/>
                <w:highlight w:val="none"/>
                <w14:textFill>
                  <w14:solidFill>
                    <w14:schemeClr w14:val="tx1"/>
                  </w14:solidFill>
                </w14:textFill>
              </w:rPr>
              <w:t xml:space="preserve">  调查区域构造纲要图</w:t>
            </w:r>
          </w:p>
          <w:p w14:paraId="3B7D61E5">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（2）项目地质构造</w:t>
            </w:r>
          </w:p>
          <w:p w14:paraId="74A024A1">
            <w:pPr>
              <w:widowControl/>
              <w:ind w:firstLine="480"/>
              <w:jc w:val="left"/>
              <w:rPr>
                <w:rFonts w:hint="default" w:ascii="Times New Roman" w:hAnsi="Times New Roman" w:eastAsia="宋体" w:cs="Times New Roman"/>
                <w:color w:val="000000" w:themeColor="text1"/>
                <w:kern w:val="0"/>
                <w:lang w:bidi="ar"/>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调查区内地质构造较复杂，断裂主要有鲁戛-麦地冲断裂（</w:t>
            </w:r>
            <w:r>
              <w:rPr>
                <w:rFonts w:hint="default" w:ascii="Times New Roman" w:hAnsi="Times New Roman" w:eastAsia="宋体" w:cs="Times New Roman"/>
                <w:color w:val="000000" w:themeColor="text1"/>
                <w:kern w:val="0"/>
                <w:lang w:bidi="ar"/>
                <w14:textFill>
                  <w14:solidFill>
                    <w14:schemeClr w14:val="tx1"/>
                  </w14:solidFill>
                </w14:textFill>
              </w:rPr>
              <w:fldChar w:fldCharType="begin"/>
            </w:r>
            <w:r>
              <w:rPr>
                <w:rFonts w:hint="default" w:ascii="Times New Roman" w:hAnsi="Times New Roman" w:eastAsia="宋体" w:cs="Times New Roman"/>
                <w:color w:val="000000" w:themeColor="text1"/>
                <w:kern w:val="0"/>
                <w:lang w:bidi="ar"/>
                <w14:textFill>
                  <w14:solidFill>
                    <w14:schemeClr w14:val="tx1"/>
                  </w14:solidFill>
                </w14:textFill>
              </w:rPr>
              <w:instrText xml:space="preserve"> eq \o\ac(○,30)</w:instrText>
            </w:r>
            <w:r>
              <w:rPr>
                <w:rFonts w:hint="default" w:ascii="Times New Roman" w:hAnsi="Times New Roman" w:eastAsia="宋体" w:cs="Times New Roman"/>
                <w:color w:val="000000" w:themeColor="text1"/>
                <w:kern w:val="0"/>
                <w:lang w:bidi="ar"/>
                <w14:textFill>
                  <w14:solidFill>
                    <w14:schemeClr w14:val="tx1"/>
                  </w14:solidFill>
                </w14:textFill>
              </w:rPr>
              <w:fldChar w:fldCharType="end"/>
            </w:r>
            <w:r>
              <w:rPr>
                <w:rFonts w:hint="default" w:ascii="Times New Roman" w:hAnsi="Times New Roman" w:eastAsia="宋体" w:cs="Times New Roman"/>
                <w:color w:val="000000" w:themeColor="text1"/>
                <w:kern w:val="0"/>
                <w:lang w:bidi="ar"/>
                <w14:textFill>
                  <w14:solidFill>
                    <w14:schemeClr w14:val="tx1"/>
                  </w14:solidFill>
                </w14:textFill>
              </w:rPr>
              <w:t>）、大村-门前地断裂（</w:t>
            </w:r>
            <w:r>
              <w:rPr>
                <w:rFonts w:hint="default" w:ascii="Times New Roman" w:hAnsi="Times New Roman" w:eastAsia="宋体" w:cs="Times New Roman"/>
                <w:color w:val="000000" w:themeColor="text1"/>
                <w:kern w:val="0"/>
                <w:lang w:bidi="ar"/>
                <w14:textFill>
                  <w14:solidFill>
                    <w14:schemeClr w14:val="tx1"/>
                  </w14:solidFill>
                </w14:textFill>
              </w:rPr>
              <w:fldChar w:fldCharType="begin"/>
            </w:r>
            <w:r>
              <w:rPr>
                <w:rFonts w:hint="default" w:ascii="Times New Roman" w:hAnsi="Times New Roman" w:eastAsia="宋体" w:cs="Times New Roman"/>
                <w:color w:val="000000" w:themeColor="text1"/>
                <w:kern w:val="0"/>
                <w:lang w:bidi="ar"/>
                <w14:textFill>
                  <w14:solidFill>
                    <w14:schemeClr w14:val="tx1"/>
                  </w14:solidFill>
                </w14:textFill>
              </w:rPr>
              <w:instrText xml:space="preserve"> eq \o\ac(○,31)</w:instrText>
            </w:r>
            <w:r>
              <w:rPr>
                <w:rFonts w:hint="default" w:ascii="Times New Roman" w:hAnsi="Times New Roman" w:eastAsia="宋体" w:cs="Times New Roman"/>
                <w:color w:val="000000" w:themeColor="text1"/>
                <w:kern w:val="0"/>
                <w:lang w:bidi="ar"/>
                <w14:textFill>
                  <w14:solidFill>
                    <w14:schemeClr w14:val="tx1"/>
                  </w14:solidFill>
                </w14:textFill>
              </w:rPr>
              <w:fldChar w:fldCharType="end"/>
            </w:r>
            <w:r>
              <w:rPr>
                <w:rFonts w:hint="default" w:ascii="Times New Roman" w:hAnsi="Times New Roman" w:eastAsia="宋体" w:cs="Times New Roman"/>
                <w:color w:val="000000" w:themeColor="text1"/>
                <w:kern w:val="0"/>
                <w:lang w:bidi="ar"/>
                <w14:textFill>
                  <w14:solidFill>
                    <w14:schemeClr w14:val="tx1"/>
                  </w14:solidFill>
                </w14:textFill>
              </w:rPr>
              <w:t>），褶皱主要有赵家村向斜（30）、鲁戛-鲁洒沛背斜（31），详见图3-2，特征如下：</w:t>
            </w:r>
          </w:p>
          <w:p w14:paraId="3824EA1E">
            <w:pPr>
              <w:widowControl/>
              <w:ind w:firstLine="480"/>
              <w:jc w:val="left"/>
              <w:rPr>
                <w:rFonts w:hint="default" w:ascii="Times New Roman" w:hAnsi="Times New Roman" w:eastAsia="宋体" w:cs="Times New Roman"/>
                <w:color w:val="000000" w:themeColor="text1"/>
                <w:kern w:val="0"/>
                <w:lang w:bidi="ar"/>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（1）鲁戛-麦地冲断裂（</w:t>
            </w:r>
            <w:r>
              <w:rPr>
                <w:rFonts w:hint="default" w:ascii="Times New Roman" w:hAnsi="Times New Roman" w:eastAsia="宋体" w:cs="Times New Roman"/>
                <w:color w:val="000000" w:themeColor="text1"/>
                <w:kern w:val="0"/>
                <w:lang w:bidi="ar"/>
                <w14:textFill>
                  <w14:solidFill>
                    <w14:schemeClr w14:val="tx1"/>
                  </w14:solidFill>
                </w14:textFill>
              </w:rPr>
              <w:fldChar w:fldCharType="begin"/>
            </w:r>
            <w:r>
              <w:rPr>
                <w:rFonts w:hint="default" w:ascii="Times New Roman" w:hAnsi="Times New Roman" w:eastAsia="宋体" w:cs="Times New Roman"/>
                <w:color w:val="000000" w:themeColor="text1"/>
                <w:kern w:val="0"/>
                <w:lang w:bidi="ar"/>
                <w14:textFill>
                  <w14:solidFill>
                    <w14:schemeClr w14:val="tx1"/>
                  </w14:solidFill>
                </w14:textFill>
              </w:rPr>
              <w:instrText xml:space="preserve"> eq \o\ac(○,30)</w:instrText>
            </w:r>
            <w:r>
              <w:rPr>
                <w:rFonts w:hint="default" w:ascii="Times New Roman" w:hAnsi="Times New Roman" w:eastAsia="宋体" w:cs="Times New Roman"/>
                <w:color w:val="000000" w:themeColor="text1"/>
                <w:kern w:val="0"/>
                <w:lang w:bidi="ar"/>
                <w14:textFill>
                  <w14:solidFill>
                    <w14:schemeClr w14:val="tx1"/>
                  </w14:solidFill>
                </w14:textFill>
              </w:rPr>
              <w:fldChar w:fldCharType="end"/>
            </w:r>
            <w:r>
              <w:rPr>
                <w:rFonts w:hint="default" w:ascii="Times New Roman" w:hAnsi="Times New Roman" w:eastAsia="宋体" w:cs="Times New Roman"/>
                <w:color w:val="000000" w:themeColor="text1"/>
                <w:kern w:val="0"/>
                <w:lang w:bidi="ar"/>
                <w14:textFill>
                  <w14:solidFill>
                    <w14:schemeClr w14:val="tx1"/>
                  </w14:solidFill>
                </w14:textFill>
              </w:rPr>
              <w:t>）</w:t>
            </w:r>
          </w:p>
          <w:p w14:paraId="2FD0C153">
            <w:pPr>
              <w:widowControl/>
              <w:ind w:firstLine="480"/>
              <w:jc w:val="left"/>
              <w:rPr>
                <w:rFonts w:hint="default" w:ascii="Times New Roman" w:hAnsi="Times New Roman" w:eastAsia="宋体" w:cs="Times New Roman"/>
                <w:color w:val="000000" w:themeColor="text1"/>
                <w:kern w:val="0"/>
                <w:lang w:bidi="ar"/>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北东起于寻甸西北牛街杨家湾之东，在沧溪北与小江西支断裂交切，往南西经牛街大庆到马街的龙街子附近，又被北西向则邑断裂切错后继续向南延伸，大致沿马街盆地东缘的舒家村到鲁戛、新哨、新发村、麦地冲，止于普渡河断裂带上的散旦花箐附近。断裂全长约68km，平面展布上略显微波形弯曲，总体走向30°，倾向北西，倾角40°～60°。断裂破碎带宽数十米至数百米，具压扭性质，两盘均为古生界地层，构造岩特征为断层泥、硅化、绿泥石化，沿断层有辉绿岩分布，胶结较好，未见断裂带有出水等现象，沿断层带均未见泉水出露，断面无浸水。断裂西盘为二叠系上-下统（P1-2a、P1-2b）斜斑玄武岩，透水性中等～微透水，东盘为二叠系下统（P1q+m）栖霞茅口组隐晶灰岩、细晶白云岩、白云岩，属中等透水层。该断裂富水性及导水性较弱-中等，水力联系中等，该断裂位于调查区中部，从场址区西侧通过，对场址区有一定影响。</w:t>
            </w:r>
          </w:p>
          <w:p w14:paraId="711BA756">
            <w:pPr>
              <w:widowControl/>
              <w:ind w:firstLine="480"/>
              <w:jc w:val="left"/>
              <w:rPr>
                <w:rFonts w:hint="default" w:ascii="Times New Roman" w:hAnsi="Times New Roman" w:eastAsia="宋体" w:cs="Times New Roman"/>
                <w:color w:val="000000" w:themeColor="text1"/>
                <w:kern w:val="0"/>
                <w:lang w:bidi="ar"/>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 xml:space="preserve"> （2）大村-门前地断裂（</w:t>
            </w:r>
            <w:r>
              <w:rPr>
                <w:rFonts w:hint="default" w:ascii="Times New Roman" w:hAnsi="Times New Roman" w:eastAsia="宋体" w:cs="Times New Roman"/>
                <w:color w:val="000000" w:themeColor="text1"/>
                <w:kern w:val="0"/>
                <w:lang w:bidi="ar"/>
                <w14:textFill>
                  <w14:solidFill>
                    <w14:schemeClr w14:val="tx1"/>
                  </w14:solidFill>
                </w14:textFill>
              </w:rPr>
              <w:fldChar w:fldCharType="begin"/>
            </w:r>
            <w:r>
              <w:rPr>
                <w:rFonts w:hint="default" w:ascii="Times New Roman" w:hAnsi="Times New Roman" w:eastAsia="宋体" w:cs="Times New Roman"/>
                <w:color w:val="000000" w:themeColor="text1"/>
                <w:kern w:val="0"/>
                <w:lang w:bidi="ar"/>
                <w14:textFill>
                  <w14:solidFill>
                    <w14:schemeClr w14:val="tx1"/>
                  </w14:solidFill>
                </w14:textFill>
              </w:rPr>
              <w:instrText xml:space="preserve"> eq \o\ac(○,31)</w:instrText>
            </w:r>
            <w:r>
              <w:rPr>
                <w:rFonts w:hint="default" w:ascii="Times New Roman" w:hAnsi="Times New Roman" w:eastAsia="宋体" w:cs="Times New Roman"/>
                <w:color w:val="000000" w:themeColor="text1"/>
                <w:kern w:val="0"/>
                <w:lang w:bidi="ar"/>
                <w14:textFill>
                  <w14:solidFill>
                    <w14:schemeClr w14:val="tx1"/>
                  </w14:solidFill>
                </w14:textFill>
              </w:rPr>
              <w:fldChar w:fldCharType="end"/>
            </w:r>
            <w:r>
              <w:rPr>
                <w:rFonts w:hint="default" w:ascii="Times New Roman" w:hAnsi="Times New Roman" w:eastAsia="宋体" w:cs="Times New Roman"/>
                <w:color w:val="000000" w:themeColor="text1"/>
                <w:kern w:val="0"/>
                <w:lang w:bidi="ar"/>
                <w14:textFill>
                  <w14:solidFill>
                    <w14:schemeClr w14:val="tx1"/>
                  </w14:solidFill>
                </w14:textFill>
              </w:rPr>
              <w:t>）</w:t>
            </w:r>
          </w:p>
          <w:p w14:paraId="769AA5BF">
            <w:pPr>
              <w:widowControl/>
              <w:ind w:firstLine="480"/>
              <w:jc w:val="left"/>
              <w:rPr>
                <w:rFonts w:hint="default" w:ascii="Times New Roman" w:hAnsi="Times New Roman" w:eastAsia="宋体" w:cs="Times New Roman"/>
                <w:color w:val="000000" w:themeColor="text1"/>
                <w:kern w:val="0"/>
                <w:lang w:bidi="ar"/>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北东起于鲁戛之南的则戛大村，沿则戛大村→新哨→场地东部→向西南延伸，止于场地西南部约26.8km处的门前地，其中在新哨附近被断层错断。全长约43km，总体走向30°，倾向西南，倾角70°。断裂性质不明，具压扭性质。两盘均为古生界地层，构造岩特征为硅化、角砾化，断层南段有辉绿岩侵入，胶结较好，未见断裂带有出水等现象，沿断层带均未见泉水出露。断裂两盘均为泥盆系中统（D2a）地层，以石英砂岩、页岩为主，属微透水层。该断裂富水性及导水性较弱，水力联系一般，该断裂位于调查区东部，从场址区东部约2.1km处通过，对场地影响较小。</w:t>
            </w:r>
          </w:p>
          <w:p w14:paraId="70BF5D81">
            <w:pPr>
              <w:widowControl/>
              <w:ind w:firstLine="480"/>
              <w:jc w:val="left"/>
              <w:rPr>
                <w:rFonts w:hint="default" w:ascii="Times New Roman" w:hAnsi="Times New Roman" w:eastAsia="宋体" w:cs="Times New Roman"/>
                <w:color w:val="000000" w:themeColor="text1"/>
                <w:kern w:val="0"/>
                <w:lang w:bidi="ar"/>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 xml:space="preserve"> （3）赵家村向斜（30）</w:t>
            </w:r>
          </w:p>
          <w:p w14:paraId="596A7E85">
            <w:pPr>
              <w:widowControl/>
              <w:ind w:firstLine="480"/>
              <w:jc w:val="left"/>
              <w:rPr>
                <w:rFonts w:hint="default" w:ascii="Times New Roman" w:hAnsi="Times New Roman" w:eastAsia="宋体" w:cs="Times New Roman"/>
                <w:color w:val="000000" w:themeColor="text1"/>
                <w:kern w:val="0"/>
                <w:lang w:bidi="ar"/>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展布于马街赵家村、鸡街、乐朗一带，轴部长约35公里，宽约1.5公里。轴线方向40°，平面呈长条状，剖面不对称，中部被北西向断层错动为南北两段，北段被上第三系掩盖，东翼倾向：北西∠20</w:t>
            </w:r>
            <w:r>
              <w:rPr>
                <w:rFonts w:hint="default" w:ascii="Times New Roman" w:hAnsi="Times New Roman" w:eastAsia="宋体" w:cs="Times New Roman"/>
                <w:color w:val="000000" w:themeColor="text1"/>
                <w:kern w:val="0"/>
                <w:lang w:bidi="ar"/>
                <w14:textFill>
                  <w14:solidFill>
                    <w14:schemeClr w14:val="tx1"/>
                  </w14:solidFill>
                </w14:textFill>
              </w:rPr>
              <w:sym w:font="CommercialPi BT" w:char="F04C"/>
            </w:r>
            <w:r>
              <w:rPr>
                <w:rFonts w:hint="default" w:ascii="Times New Roman" w:hAnsi="Times New Roman" w:eastAsia="宋体" w:cs="Times New Roman"/>
                <w:color w:val="000000" w:themeColor="text1"/>
                <w:kern w:val="0"/>
                <w:lang w:bidi="ar"/>
                <w14:textFill>
                  <w14:solidFill>
                    <w14:schemeClr w14:val="tx1"/>
                  </w14:solidFill>
                </w14:textFill>
              </w:rPr>
              <w:t>～40°；西翼倾向：北东∠15</w:t>
            </w:r>
            <w:r>
              <w:rPr>
                <w:rFonts w:hint="default" w:ascii="Times New Roman" w:hAnsi="Times New Roman" w:eastAsia="宋体" w:cs="Times New Roman"/>
                <w:color w:val="000000" w:themeColor="text1"/>
                <w:kern w:val="0"/>
                <w:lang w:bidi="ar"/>
                <w14:textFill>
                  <w14:solidFill>
                    <w14:schemeClr w14:val="tx1"/>
                  </w14:solidFill>
                </w14:textFill>
              </w:rPr>
              <w:sym w:font="CommercialPi BT" w:char="F04C"/>
            </w:r>
            <w:r>
              <w:rPr>
                <w:rFonts w:hint="default" w:ascii="Times New Roman" w:hAnsi="Times New Roman" w:eastAsia="宋体" w:cs="Times New Roman"/>
                <w:color w:val="000000" w:themeColor="text1"/>
                <w:kern w:val="0"/>
                <w:lang w:bidi="ar"/>
                <w14:textFill>
                  <w14:solidFill>
                    <w14:schemeClr w14:val="tx1"/>
                  </w14:solidFill>
                </w14:textFill>
              </w:rPr>
              <w:t>～30°、南东∠5</w:t>
            </w:r>
            <w:r>
              <w:rPr>
                <w:rFonts w:hint="default" w:ascii="Times New Roman" w:hAnsi="Times New Roman" w:eastAsia="宋体" w:cs="Times New Roman"/>
                <w:color w:val="000000" w:themeColor="text1"/>
                <w:kern w:val="0"/>
                <w:lang w:bidi="ar"/>
                <w14:textFill>
                  <w14:solidFill>
                    <w14:schemeClr w14:val="tx1"/>
                  </w14:solidFill>
                </w14:textFill>
              </w:rPr>
              <w:sym w:font="CommercialPi BT" w:char="F04C"/>
            </w:r>
            <w:r>
              <w:rPr>
                <w:rFonts w:hint="default" w:ascii="Times New Roman" w:hAnsi="Times New Roman" w:eastAsia="宋体" w:cs="Times New Roman"/>
                <w:color w:val="000000" w:themeColor="text1"/>
                <w:kern w:val="0"/>
                <w:lang w:bidi="ar"/>
                <w14:textFill>
                  <w14:solidFill>
                    <w14:schemeClr w14:val="tx1"/>
                  </w14:solidFill>
                </w14:textFill>
              </w:rPr>
              <w:t>～20°。核部地层为古生界二叠系上-下统（P1-2c）玄武岩，翼部地层为古生界二叠系上-下统（P1-2b、P1-2a）斜斑玄武岩，透水性中等～微透水，富水性及导水性较弱-中等，场址区位于该向斜东部，距离向斜核部约3.2km，对场地影响较小。</w:t>
            </w:r>
          </w:p>
          <w:p w14:paraId="0C31F18C">
            <w:pPr>
              <w:widowControl/>
              <w:ind w:firstLine="480"/>
              <w:jc w:val="left"/>
              <w:rPr>
                <w:rFonts w:hint="default" w:ascii="Times New Roman" w:hAnsi="Times New Roman" w:eastAsia="宋体" w:cs="Times New Roman"/>
                <w:color w:val="000000" w:themeColor="text1"/>
                <w:kern w:val="0"/>
                <w:lang w:bidi="ar"/>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（4）鲁戛-鲁洒沛背斜（31）</w:t>
            </w:r>
          </w:p>
          <w:p w14:paraId="4C1AB24B">
            <w:pPr>
              <w:widowControl/>
              <w:ind w:firstLine="480"/>
              <w:jc w:val="left"/>
              <w:rPr>
                <w:rFonts w:hint="default" w:ascii="Times New Roman" w:hAnsi="Times New Roman" w:eastAsia="宋体" w:cs="Times New Roman"/>
                <w:color w:val="000000" w:themeColor="text1"/>
                <w:kern w:val="0"/>
                <w:lang w:bidi="ar"/>
                <w14:textFill>
                  <w14:solidFill>
                    <w14:schemeClr w14:val="tx1"/>
                  </w14:solidFill>
                </w14:textFill>
              </w:rPr>
            </w:pPr>
            <w:r>
              <w:rPr>
                <w:rFonts w:hint="default" w:ascii="Times New Roman" w:hAnsi="Times New Roman" w:eastAsia="宋体" w:cs="Times New Roman"/>
                <w:color w:val="000000" w:themeColor="text1"/>
                <w:kern w:val="0"/>
                <w:lang w:bidi="ar"/>
                <w14:textFill>
                  <w14:solidFill>
                    <w14:schemeClr w14:val="tx1"/>
                  </w14:solidFill>
                </w14:textFill>
              </w:rPr>
              <w:t>位于鲁戛、鲁洒沛、乐朗、老鸭山一带，轴部长约66公里，宽约2公里。轴线方向30～50°，平面呈长条状，剖面不对称，被纵横断层割成五段，向北东倾伏，东翼倾向：东、南东∠20</w:t>
            </w:r>
            <w:r>
              <w:rPr>
                <w:rFonts w:hint="default" w:ascii="Times New Roman" w:hAnsi="Times New Roman" w:eastAsia="宋体" w:cs="Times New Roman"/>
                <w:color w:val="000000" w:themeColor="text1"/>
                <w:kern w:val="0"/>
                <w:lang w:bidi="ar"/>
                <w14:textFill>
                  <w14:solidFill>
                    <w14:schemeClr w14:val="tx1"/>
                  </w14:solidFill>
                </w14:textFill>
              </w:rPr>
              <w:sym w:font="CommercialPi BT" w:char="F04C"/>
            </w:r>
            <w:r>
              <w:rPr>
                <w:rFonts w:hint="default" w:ascii="Times New Roman" w:hAnsi="Times New Roman" w:eastAsia="宋体" w:cs="Times New Roman"/>
                <w:color w:val="000000" w:themeColor="text1"/>
                <w:kern w:val="0"/>
                <w:lang w:bidi="ar"/>
                <w14:textFill>
                  <w14:solidFill>
                    <w14:schemeClr w14:val="tx1"/>
                  </w14:solidFill>
                </w14:textFill>
              </w:rPr>
              <w:t>～45°；西翼倾向：西∠20</w:t>
            </w:r>
            <w:r>
              <w:rPr>
                <w:rFonts w:hint="default" w:ascii="Times New Roman" w:hAnsi="Times New Roman" w:eastAsia="宋体" w:cs="Times New Roman"/>
                <w:color w:val="000000" w:themeColor="text1"/>
                <w:kern w:val="0"/>
                <w:lang w:bidi="ar"/>
                <w14:textFill>
                  <w14:solidFill>
                    <w14:schemeClr w14:val="tx1"/>
                  </w14:solidFill>
                </w14:textFill>
              </w:rPr>
              <w:sym w:font="CommercialPi BT" w:char="F04C"/>
            </w:r>
            <w:r>
              <w:rPr>
                <w:rFonts w:hint="default" w:ascii="Times New Roman" w:hAnsi="Times New Roman" w:eastAsia="宋体" w:cs="Times New Roman"/>
                <w:color w:val="000000" w:themeColor="text1"/>
                <w:kern w:val="0"/>
                <w:lang w:bidi="ar"/>
                <w14:textFill>
                  <w14:solidFill>
                    <w14:schemeClr w14:val="tx1"/>
                  </w14:solidFill>
                </w14:textFill>
              </w:rPr>
              <w:t>～60°。核部地层为古生界奥陶系下统红石崖组（O1h）页岩及泥盆系中统（D2a）、下统（D1）石英砂岩、粉砂岩、页岩，形成相对隔水层边界，富水性及导水性较弱，翼部地层为石炭系下统（C1）及二叠系下统（P1q+m）栖霞茅口组。场址区位于该背斜西部，距离背斜核部约1.2km，对场地影响较小。</w:t>
            </w:r>
          </w:p>
          <w:p w14:paraId="41DBEE60">
            <w:pPr>
              <w:widowControl/>
              <w:ind w:firstLine="482"/>
              <w:jc w:val="left"/>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4.6地壳稳定性评价</w:t>
            </w:r>
          </w:p>
          <w:p w14:paraId="0C781D59">
            <w:pPr>
              <w:pStyle w:val="24"/>
              <w:spacing w:after="0" w:line="360" w:lineRule="auto"/>
              <w:ind w:firstLine="480" w:firstLineChars="200"/>
              <w:rPr>
                <w:rFonts w:hint="eastAsia" w:ascii="宋体" w:hAnsi="宋体" w:eastAsia="宋体" w:cs="宋体"/>
                <w:color w:val="000000" w:themeColor="text1"/>
                <w:sz w:val="24"/>
                <w:szCs w:val="24"/>
                <w:highlight w:val="none"/>
                <w14:textFill>
                  <w14:solidFill>
                    <w14:schemeClr w14:val="tx1"/>
                  </w14:solidFill>
                </w14:textFill>
              </w:rPr>
            </w:pPr>
            <w:r>
              <w:rPr>
                <w:rFonts w:hint="eastAsia" w:ascii="宋体" w:hAnsi="宋体" w:eastAsia="宋体" w:cs="宋体"/>
                <w:color w:val="000000" w:themeColor="text1"/>
                <w:sz w:val="24"/>
                <w:szCs w:val="24"/>
                <w:highlight w:val="none"/>
                <w14:textFill>
                  <w14:solidFill>
                    <w14:schemeClr w14:val="tx1"/>
                  </w14:solidFill>
                </w14:textFill>
              </w:rPr>
              <w:t>区域新构造活动自第三系后期以来一直处于上升隆起的阶段，运动强烈，其上升幅度达2000m以上，加之断裂地块间差异性上升明显，因而该地区地震较之频繁且剧烈，人居环境及人民生命财产安全遭受了多次地震活动的破坏（见表2-2）。其中柯渡镇、先锋乡位于小江地震带及普渡河地震带的挟持地带（见图2-8），甸沙乡、金源乡位于小江地震带，地震活动频繁，区域稳定性差，根据地震资料记载，500年以来临近区域发生了多次强烈地震，对场区均有不同程度的影响和破坏。</w:t>
            </w:r>
          </w:p>
          <w:p w14:paraId="2D4AB32F">
            <w:pPr>
              <w:widowControl/>
              <w:ind w:firstLine="0" w:firstLineChars="0"/>
              <w:jc w:val="left"/>
              <w:rPr>
                <w:color w:val="000000" w:themeColor="text1"/>
                <w:kern w:val="0"/>
                <w:lang w:bidi="ar"/>
                <w14:textFill>
                  <w14:solidFill>
                    <w14:schemeClr w14:val="tx1"/>
                  </w14:solidFill>
                </w14:textFill>
              </w:rPr>
            </w:pPr>
            <w:r>
              <w:rPr>
                <w:color w:val="000000" w:themeColor="text1"/>
                <w14:textFill>
                  <w14:solidFill>
                    <w14:schemeClr w14:val="tx1"/>
                  </w14:solidFill>
                </w14:textFill>
              </w:rPr>
              <w:drawing>
                <wp:inline distT="0" distB="0" distL="114300" distR="114300">
                  <wp:extent cx="4980940" cy="4407535"/>
                  <wp:effectExtent l="0" t="0" r="10160" b="12065"/>
                  <wp:docPr id="13"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1"/>
                          <pic:cNvPicPr>
                            <a:picLocks noChangeAspect="1"/>
                          </pic:cNvPicPr>
                        </pic:nvPicPr>
                        <pic:blipFill>
                          <a:blip r:embed="rId28"/>
                          <a:stretch>
                            <a:fillRect/>
                          </a:stretch>
                        </pic:blipFill>
                        <pic:spPr>
                          <a:xfrm>
                            <a:off x="0" y="0"/>
                            <a:ext cx="4980940" cy="4407535"/>
                          </a:xfrm>
                          <a:prstGeom prst="rect">
                            <a:avLst/>
                          </a:prstGeom>
                          <a:noFill/>
                          <a:ln>
                            <a:noFill/>
                          </a:ln>
                        </pic:spPr>
                      </pic:pic>
                    </a:graphicData>
                  </a:graphic>
                </wp:inline>
              </w:drawing>
            </w:r>
          </w:p>
          <w:p w14:paraId="24ED53CC">
            <w:pPr>
              <w:widowControl/>
              <w:ind w:firstLine="0" w:firstLineChars="0"/>
              <w:jc w:val="center"/>
              <w:rPr>
                <w:rFonts w:hint="eastAsia"/>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图4-</w:t>
            </w:r>
            <w:r>
              <w:rPr>
                <w:rFonts w:hint="eastAsia"/>
                <w:b/>
                <w:bCs/>
                <w:color w:val="000000" w:themeColor="text1"/>
                <w:sz w:val="24"/>
                <w:szCs w:val="24"/>
                <w:lang w:val="en-US" w:eastAsia="zh-CN"/>
                <w14:textFill>
                  <w14:solidFill>
                    <w14:schemeClr w14:val="tx1"/>
                  </w14:solidFill>
                </w14:textFill>
              </w:rPr>
              <w:t xml:space="preserve">10  </w:t>
            </w:r>
            <w:r>
              <w:rPr>
                <w:rFonts w:hint="eastAsia"/>
                <w:b/>
                <w:bCs/>
                <w:color w:val="000000" w:themeColor="text1"/>
                <w:sz w:val="24"/>
                <w:szCs w:val="24"/>
                <w14:textFill>
                  <w14:solidFill>
                    <w14:schemeClr w14:val="tx1"/>
                  </w14:solidFill>
                </w14:textFill>
              </w:rPr>
              <w:t>区域地壳稳定性分区图</w:t>
            </w:r>
          </w:p>
          <w:p w14:paraId="1ECFE2D7">
            <w:pPr>
              <w:pStyle w:val="39"/>
              <w:keepNext w:val="0"/>
              <w:keepLines w:val="0"/>
              <w:pageBreakBefore w:val="0"/>
              <w:widowControl w:val="0"/>
              <w:kinsoku/>
              <w:wordWrap/>
              <w:overflowPunct/>
              <w:topLinePunct w:val="0"/>
              <w:autoSpaceDE/>
              <w:autoSpaceDN/>
              <w:bidi w:val="0"/>
              <w:adjustRightInd w:val="0"/>
              <w:snapToGrid w:val="0"/>
              <w:spacing w:after="0"/>
              <w:ind w:left="0" w:leftChars="0"/>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根据 1：400 万《中国地震动参数区划图》（GB18306-2015）和《建筑抗震设计规范》（GB50011—2010，2016 版），项目区所处寻甸县鸡街镇抗震设防烈度为9度，设计基本地震加速度值为 0.20g，地震反应谱特征周期0.45s，设计地震分组为第一组。根据《云南国土资源遥感综合调查报告》（1：100万）云南省区域地壳稳定性评价图，项目区属于区域地壳次稳定区。</w:t>
            </w:r>
          </w:p>
          <w:p w14:paraId="12C97F20">
            <w:pPr>
              <w:widowControl/>
              <w:ind w:firstLine="482"/>
              <w:jc w:val="left"/>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4.7区域水文地质单元特征</w:t>
            </w:r>
          </w:p>
          <w:p w14:paraId="678C1030">
            <w:pPr>
              <w:spacing w:line="360" w:lineRule="auto"/>
              <w:ind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47" w:name="_Hlk201522203"/>
            <w:r>
              <w:rPr>
                <w:rFonts w:hint="default" w:ascii="Times New Roman" w:hAnsi="Times New Roman" w:eastAsia="宋体" w:cs="Times New Roman"/>
                <w:color w:val="000000" w:themeColor="text1"/>
                <w:sz w:val="24"/>
                <w:szCs w:val="24"/>
                <w:highlight w:val="none"/>
                <w14:textFill>
                  <w14:solidFill>
                    <w14:schemeClr w14:val="tx1"/>
                  </w14:solidFill>
                </w14:textFill>
              </w:rPr>
              <w:t>根据场址区内出露的地层岩性及含水介质特征，可将区内含水层分为三类，即第四系松散堆积层孔隙含水层、基岩裂隙含水层及岩溶裂隙含水层。现根据地层顺序从上至下叙述如下：</w:t>
            </w:r>
          </w:p>
          <w:p w14:paraId="052AD4F6">
            <w:pPr>
              <w:spacing w:line="360" w:lineRule="auto"/>
              <w:ind w:firstLine="482" w:firstLineChars="200"/>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（1）第四系松散堆积层孔隙含水层</w:t>
            </w:r>
          </w:p>
          <w:p w14:paraId="4F7EEF3B">
            <w:pPr>
              <w:autoSpaceDE w:val="0"/>
              <w:autoSpaceDN w:val="0"/>
              <w:spacing w:line="360" w:lineRule="auto"/>
              <w:ind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指赋存于第四系松散层孔隙中的地下水，以土颗粒间隙、裂隙为存储空间及运移通道。场址区内含水层主要为第四系人工堆积（Q</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pd</w:t>
            </w:r>
            <w:r>
              <w:rPr>
                <w:rFonts w:hint="default" w:ascii="Times New Roman" w:hAnsi="Times New Roman" w:eastAsia="宋体" w:cs="Times New Roman"/>
                <w:color w:val="000000" w:themeColor="text1"/>
                <w:sz w:val="24"/>
                <w:szCs w:val="24"/>
                <w:highlight w:val="none"/>
                <w14:textFill>
                  <w14:solidFill>
                    <w14:schemeClr w14:val="tx1"/>
                  </w14:solidFill>
                </w14:textFill>
              </w:rPr>
              <w:t>）形成的耕土、（Q</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ml</w:t>
            </w:r>
            <w:r>
              <w:rPr>
                <w:rFonts w:hint="default" w:ascii="Times New Roman" w:hAnsi="Times New Roman" w:eastAsia="宋体" w:cs="Times New Roman"/>
                <w:color w:val="000000" w:themeColor="text1"/>
                <w:sz w:val="24"/>
                <w:szCs w:val="24"/>
                <w:highlight w:val="none"/>
                <w14:textFill>
                  <w14:solidFill>
                    <w14:schemeClr w14:val="tx1"/>
                  </w14:solidFill>
                </w14:textFill>
              </w:rPr>
              <w:t>）填土，第四系坡洪积层（Q</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dl+pl</w:t>
            </w:r>
            <w:r>
              <w:rPr>
                <w:rFonts w:hint="default" w:ascii="Times New Roman" w:hAnsi="Times New Roman" w:eastAsia="宋体" w:cs="Times New Roman"/>
                <w:color w:val="000000" w:themeColor="text1"/>
                <w:sz w:val="24"/>
                <w:szCs w:val="24"/>
                <w:highlight w:val="none"/>
                <w14:textFill>
                  <w14:solidFill>
                    <w14:schemeClr w14:val="tx1"/>
                  </w14:solidFill>
                </w14:textFill>
              </w:rPr>
              <w:t>）形成的含砾粘土和第四系残坡积层（Q</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el+dl</w:t>
            </w:r>
            <w:r>
              <w:rPr>
                <w:rFonts w:hint="default" w:ascii="Times New Roman" w:hAnsi="Times New Roman" w:eastAsia="宋体" w:cs="Times New Roman"/>
                <w:color w:val="000000" w:themeColor="text1"/>
                <w:sz w:val="24"/>
                <w:szCs w:val="24"/>
                <w:highlight w:val="none"/>
                <w14:textFill>
                  <w14:solidFill>
                    <w14:schemeClr w14:val="tx1"/>
                  </w14:solidFill>
                </w14:textFill>
              </w:rPr>
              <w:t>）形成的粘土。因其岩性及其所处地形、地貌部位不同，富水程度差异较大，地下水位主要受季节性降水影响，仅在谷底、溪沟沟口段及采场坑底雨季时局部存在不连续的脉状包气带水，水量微弱，旱季即蒸发疏干。大部分勘探点揭露此层地下水，稳定水位埋深介于0.4～17.9m，高程介于2059.99～2098.75m。其中第四系人工堆积角砾素填土层（①</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）渗透系数K平均值为1.56×10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cm/s，属中等-强透水层；粘土素填土层（单元层代号为①</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）渗透系数K平均值为2.36×10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cm/s，属微透水层；第四系坡洪积层（Q</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dl+pl</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含砾粘土（</w:t>
            </w:r>
            <w:r>
              <w:rPr>
                <w:rFonts w:hint="default" w:ascii="Times New Roman" w:hAnsi="Times New Roman" w:eastAsia="宋体" w:cs="Times New Roman"/>
                <w:color w:val="000000" w:themeColor="text1"/>
                <w:sz w:val="24"/>
                <w:szCs w:val="24"/>
                <w:highlight w:val="none"/>
                <w14:textFill>
                  <w14:solidFill>
                    <w14:schemeClr w14:val="tx1"/>
                  </w14:solidFill>
                </w14:textFill>
              </w:rPr>
              <w:t>②</w:t>
            </w:r>
            <w:r>
              <w:rPr>
                <w:rFonts w:hint="default" w:ascii="Times New Roman" w:hAnsi="Times New Roman" w:eastAsia="宋体" w:cs="Times New Roman"/>
                <w:color w:val="000000" w:themeColor="text1"/>
                <w:sz w:val="24"/>
                <w:szCs w:val="24"/>
                <w:highlight w:val="none"/>
                <w:lang w:bidi="ar"/>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渗透系数K平均值为9.56×10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cm/s，属弱透水层；第四系残坡积层（Q</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el+dl</w:t>
            </w:r>
            <w:r>
              <w:rPr>
                <w:rFonts w:hint="default" w:ascii="Times New Roman" w:hAnsi="Times New Roman" w:eastAsia="宋体" w:cs="Times New Roman"/>
                <w:color w:val="000000" w:themeColor="text1"/>
                <w:sz w:val="24"/>
                <w:szCs w:val="24"/>
                <w:highlight w:val="none"/>
                <w14:textFill>
                  <w14:solidFill>
                    <w14:schemeClr w14:val="tx1"/>
                  </w14:solidFill>
                </w14:textFill>
              </w:rPr>
              <w:t>）红粘土（③）渗透系数K平均值为9.14×10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cm/s，属微透水层。该层含水层总体富水性弱-中等。</w:t>
            </w:r>
          </w:p>
          <w:p w14:paraId="5BE4AEFB">
            <w:pPr>
              <w:spacing w:line="360" w:lineRule="auto"/>
              <w:ind w:firstLine="482" w:firstLineChars="200"/>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（2）基岩裂隙含水层</w:t>
            </w:r>
          </w:p>
          <w:p w14:paraId="78459255">
            <w:pPr>
              <w:spacing w:line="360" w:lineRule="auto"/>
              <w:ind w:firstLine="44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由古生界二叠系上-下统（P</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1-2</w:t>
            </w:r>
            <w:r>
              <w:rPr>
                <w:rFonts w:hint="default" w:ascii="Times New Roman" w:hAnsi="Times New Roman" w:eastAsia="宋体" w:cs="Times New Roman"/>
                <w:i/>
                <w:iCs/>
                <w:color w:val="000000" w:themeColor="text1"/>
                <w:spacing w:val="-10"/>
                <w:sz w:val="24"/>
                <w:szCs w:val="24"/>
                <w:highlight w:val="none"/>
                <w:vertAlign w:val="superscript"/>
                <w14:textFill>
                  <w14:solidFill>
                    <w14:schemeClr w14:val="tx1"/>
                  </w14:solidFill>
                </w14:textFill>
              </w:rPr>
              <w:t>a</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）风化基岩裂隙含水层组成，</w:t>
            </w:r>
            <w:r>
              <w:rPr>
                <w:rFonts w:hint="default" w:ascii="Times New Roman" w:hAnsi="Times New Roman" w:eastAsia="宋体" w:cs="Times New Roman"/>
                <w:color w:val="000000" w:themeColor="text1"/>
                <w:sz w:val="24"/>
                <w:szCs w:val="24"/>
                <w:highlight w:val="none"/>
                <w14:textFill>
                  <w14:solidFill>
                    <w14:schemeClr w14:val="tx1"/>
                  </w14:solidFill>
                </w14:textFill>
              </w:rPr>
              <w:t>主要分布于场地西侧边缘，勘察期间仅在监测井3#、4#、5#揭露，岩性为斜斑玄武岩。地下水主要赋存于强～中等风化岩带风化裂隙孔隙中，其富水性强弱与风化裂隙发育程度、填充程度、补给条件密切相关。由于节理裂隙较发育，随基岩风化程度的降低，透水性呈弱～微透水的特征，强～中风化岩层具有一定的富水性，由于该段岩层地势均较高，其富水性相对较弱，所含水量较少，节理裂隙闭合地段无地下水分布；未风化岩层富水性极弱，所含水量极微。强风化斜斑玄武岩（④</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）渗透系数K平均值为3.45×10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w:t>
            </w:r>
            <w:r>
              <w:rPr>
                <w:rFonts w:hint="default" w:ascii="Times New Roman" w:hAnsi="Times New Roman" w:eastAsia="宋体" w:cs="Times New Roman"/>
                <w:color w:val="000000" w:themeColor="text1"/>
                <w:sz w:val="24"/>
                <w:szCs w:val="24"/>
                <w:highlight w:val="none"/>
                <w:vertAlign w:val="superscript"/>
                <w:lang w:val="en-US" w:eastAsia="zh-CN"/>
                <w14:textFill>
                  <w14:solidFill>
                    <w14:schemeClr w14:val="tx1"/>
                  </w14:solidFill>
                </w14:textFill>
              </w:rPr>
              <w:t>5</w:t>
            </w:r>
            <w:r>
              <w:rPr>
                <w:rFonts w:hint="default" w:ascii="Times New Roman" w:hAnsi="Times New Roman" w:eastAsia="宋体" w:cs="Times New Roman"/>
                <w:color w:val="000000" w:themeColor="text1"/>
                <w:sz w:val="24"/>
                <w:szCs w:val="24"/>
                <w:highlight w:val="none"/>
                <w14:textFill>
                  <w14:solidFill>
                    <w14:schemeClr w14:val="tx1"/>
                  </w14:solidFill>
                </w14:textFill>
              </w:rPr>
              <w:t>cm/s，属</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弱</w:t>
            </w:r>
            <w:r>
              <w:rPr>
                <w:rFonts w:hint="default" w:ascii="Times New Roman" w:hAnsi="Times New Roman" w:eastAsia="宋体" w:cs="Times New Roman"/>
                <w:color w:val="000000" w:themeColor="text1"/>
                <w:sz w:val="24"/>
                <w:szCs w:val="24"/>
                <w:highlight w:val="none"/>
                <w14:textFill>
                  <w14:solidFill>
                    <w14:schemeClr w14:val="tx1"/>
                  </w14:solidFill>
                </w14:textFill>
              </w:rPr>
              <w:t>等透水层。中风化斜斑玄武岩（④</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）渗透系数K平均值为2.28×10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-6</w:t>
            </w:r>
            <w:r>
              <w:rPr>
                <w:rFonts w:hint="default" w:ascii="Times New Roman" w:hAnsi="Times New Roman" w:eastAsia="宋体" w:cs="Times New Roman"/>
                <w:color w:val="000000" w:themeColor="text1"/>
                <w:sz w:val="24"/>
                <w:szCs w:val="24"/>
                <w:highlight w:val="none"/>
                <w14:textFill>
                  <w14:solidFill>
                    <w14:schemeClr w14:val="tx1"/>
                  </w14:solidFill>
                </w14:textFill>
              </w:rPr>
              <w:t>cm/s，属</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弱</w:t>
            </w:r>
            <w:r>
              <w:rPr>
                <w:rFonts w:hint="default" w:ascii="Times New Roman" w:hAnsi="Times New Roman" w:eastAsia="宋体" w:cs="Times New Roman"/>
                <w:color w:val="000000" w:themeColor="text1"/>
                <w:sz w:val="24"/>
                <w:szCs w:val="24"/>
                <w:highlight w:val="none"/>
                <w14:textFill>
                  <w14:solidFill>
                    <w14:schemeClr w14:val="tx1"/>
                  </w14:solidFill>
                </w14:textFill>
              </w:rPr>
              <w:t>透水层。根据</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区域水文地质资料</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地下径流模数0.5-2.6升/秒·平方公里，泉水流量0.1-0.5升/秒，富水性较弱</w:t>
            </w:r>
            <w:r>
              <w:rPr>
                <w:rFonts w:hint="default" w:ascii="Times New Roman" w:hAnsi="Times New Roman" w:eastAsia="宋体" w:cs="Times New Roman"/>
                <w:color w:val="000000" w:themeColor="text1"/>
                <w:sz w:val="24"/>
                <w:szCs w:val="24"/>
                <w:highlight w:val="none"/>
                <w14:textFill>
                  <w14:solidFill>
                    <w14:schemeClr w14:val="tx1"/>
                  </w14:solidFill>
                </w14:textFill>
              </w:rPr>
              <w:t>。水化学类型主要表现为 HCO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--Ca·Mg 型，矿化度＜1.0g/</w:t>
            </w:r>
            <w:r>
              <w:rPr>
                <w:rFonts w:hint="default" w:ascii="Times New Roman" w:hAnsi="Times New Roman" w:eastAsia="宋体" w:cs="Times New Roman"/>
                <w:i/>
                <w:color w:val="000000" w:themeColor="text1"/>
                <w:sz w:val="24"/>
                <w:szCs w:val="24"/>
                <w:highlight w:val="none"/>
                <w14:textFill>
                  <w14:solidFill>
                    <w14:schemeClr w14:val="tx1"/>
                  </w14:solidFill>
                </w14:textFill>
              </w:rPr>
              <w:t>l</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0C16D9FC">
            <w:pPr>
              <w:spacing w:line="360" w:lineRule="auto"/>
              <w:ind w:firstLine="482" w:firstLineChars="200"/>
              <w:rPr>
                <w:rFonts w:hint="default" w:ascii="Times New Roman" w:hAnsi="Times New Roman" w:eastAsia="宋体" w:cs="Times New Roman"/>
                <w:b/>
                <w:color w:val="000000" w:themeColor="text1"/>
                <w:sz w:val="24"/>
                <w:szCs w:val="24"/>
                <w:highlight w:val="none"/>
                <w14:textFill>
                  <w14:solidFill>
                    <w14:schemeClr w14:val="tx1"/>
                  </w14:solidFill>
                </w14:textFill>
              </w:rPr>
            </w:pPr>
            <w:r>
              <w:rPr>
                <w:rFonts w:hint="default" w:ascii="Times New Roman" w:hAnsi="Times New Roman" w:eastAsia="宋体" w:cs="Times New Roman"/>
                <w:b/>
                <w:color w:val="000000" w:themeColor="text1"/>
                <w:sz w:val="24"/>
                <w:szCs w:val="24"/>
                <w:highlight w:val="none"/>
                <w14:textFill>
                  <w14:solidFill>
                    <w14:schemeClr w14:val="tx1"/>
                  </w14:solidFill>
                </w14:textFill>
              </w:rPr>
              <w:t>（3）岩溶裂隙含水层</w:t>
            </w:r>
          </w:p>
          <w:p w14:paraId="3248421C">
            <w:pPr>
              <w:widowControl/>
              <w:ind w:firstLine="482"/>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由二叠系下统（</w:t>
            </w:r>
            <w:r>
              <w:rPr>
                <w:rFonts w:hint="default" w:ascii="Times New Roman" w:hAnsi="Times New Roman" w:eastAsia="宋体" w:cs="Times New Roman"/>
                <w:color w:val="000000" w:themeColor="text1"/>
                <w:sz w:val="24"/>
                <w:szCs w:val="24"/>
                <w:highlight w:val="none"/>
                <w14:textFill>
                  <w14:solidFill>
                    <w14:schemeClr w14:val="tx1"/>
                  </w14:solidFill>
                </w14:textFill>
              </w:rPr>
              <w:t>P</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w:t>
            </w:r>
            <w:r>
              <w:rPr>
                <w:rFonts w:hint="default" w:ascii="Times New Roman" w:hAnsi="Times New Roman" w:eastAsia="宋体" w:cs="Times New Roman"/>
                <w:i/>
                <w:color w:val="000000" w:themeColor="text1"/>
                <w:sz w:val="24"/>
                <w:szCs w:val="24"/>
                <w:highlight w:val="none"/>
                <w14:textFill>
                  <w14:solidFill>
                    <w14:schemeClr w14:val="tx1"/>
                  </w14:solidFill>
                </w14:textFill>
              </w:rPr>
              <w:t>q+m</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）栖霞茅口组岩溶裂隙含水层组成，</w:t>
            </w:r>
            <w:r>
              <w:rPr>
                <w:rFonts w:hint="default" w:ascii="Times New Roman" w:hAnsi="Times New Roman" w:eastAsia="宋体" w:cs="Times New Roman"/>
                <w:color w:val="000000" w:themeColor="text1"/>
                <w:sz w:val="24"/>
                <w:szCs w:val="24"/>
                <w:highlight w:val="none"/>
                <w14:textFill>
                  <w14:solidFill>
                    <w14:schemeClr w14:val="tx1"/>
                  </w14:solidFill>
                </w14:textFill>
              </w:rPr>
              <w:t>该地层在场地区均有分布，为场地内主要地层，岩性为浅灰色隐晶灰岩、细晶白云岩、白云岩，</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地下水主要赋存于中风化岩带的溶蚀裂隙中，其富水性强弱与溶蚀裂隙发育程度、填充程度及补给条件密切相关。本层含水层属裸露纯层型，</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裂隙溶洞强烈发育</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，大部分勘探点揭露此层地下水。</w:t>
            </w:r>
            <w:r>
              <w:rPr>
                <w:rFonts w:hint="default" w:ascii="Times New Roman" w:hAnsi="Times New Roman" w:eastAsia="宋体" w:cs="Times New Roman"/>
                <w:color w:val="000000" w:themeColor="text1"/>
                <w:sz w:val="24"/>
                <w:szCs w:val="24"/>
                <w:highlight w:val="none"/>
                <w14:textFill>
                  <w14:solidFill>
                    <w14:schemeClr w14:val="tx1"/>
                  </w14:solidFill>
                </w14:textFill>
              </w:rPr>
              <w:t>中风化灰岩、白云岩（⑤）渗透系数K平均值为7.53×10</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14:textFill>
                  <w14:solidFill>
                    <w14:schemeClr w14:val="tx1"/>
                  </w14:solidFill>
                </w14:textFill>
              </w:rPr>
              <w:t>cm/s，属中等透水层。根据</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区域水文地质资料，该类型地下水属碳酸盐岩岩溶水，</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地下径流模数5.0-10.0升/秒·平方公里，暗河大泉流量一般＞100升/秒，最大650升/秒，钻孔单位涌水量0.74-1.22升/秒·米</w:t>
            </w:r>
            <w:r>
              <w:rPr>
                <w:rFonts w:hint="default" w:ascii="Times New Roman" w:hAnsi="Times New Roman" w:eastAsia="宋体" w:cs="Times New Roman"/>
                <w:color w:val="000000" w:themeColor="text1"/>
                <w:sz w:val="24"/>
                <w:szCs w:val="24"/>
                <w:highlight w:val="none"/>
                <w14:textFill>
                  <w14:solidFill>
                    <w14:schemeClr w14:val="tx1"/>
                  </w14:solidFill>
                </w14:textFill>
              </w:rPr>
              <w:t>，富水性强。水化学类型主要表现为 HCO</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--Ca·Mg 型，矿化度＜0.5g/</w:t>
            </w:r>
            <w:r>
              <w:rPr>
                <w:rFonts w:hint="default" w:ascii="Times New Roman" w:hAnsi="Times New Roman" w:eastAsia="宋体" w:cs="Times New Roman"/>
                <w:i/>
                <w:color w:val="000000" w:themeColor="text1"/>
                <w:sz w:val="24"/>
                <w:szCs w:val="24"/>
                <w:highlight w:val="none"/>
                <w14:textFill>
                  <w14:solidFill>
                    <w14:schemeClr w14:val="tx1"/>
                  </w14:solidFill>
                </w14:textFill>
              </w:rPr>
              <w:t>l</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2223A891">
            <w:pPr>
              <w:spacing w:line="360" w:lineRule="auto"/>
              <w:ind w:firstLine="482" w:firstLineChars="200"/>
              <w:jc w:val="left"/>
              <w:rPr>
                <w:rFonts w:hint="default" w:ascii="Times New Roman" w:hAnsi="Times New Roman" w:eastAsia="宋体" w:cs="Times New Roman"/>
                <w:b/>
                <w:bCs/>
                <w:color w:val="000000" w:themeColor="text1"/>
                <w:sz w:val="24"/>
                <w:szCs w:val="24"/>
                <w:highlight w:val="none"/>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lang w:val="en-US" w:eastAsia="zh-CN"/>
                <w14:textFill>
                  <w14:solidFill>
                    <w14:schemeClr w14:val="tx1"/>
                  </w14:solidFill>
                </w14:textFill>
              </w:rPr>
              <w:t>4.8</w:t>
            </w:r>
            <w:r>
              <w:rPr>
                <w:rFonts w:hint="default" w:ascii="Times New Roman" w:hAnsi="Times New Roman" w:eastAsia="宋体" w:cs="Times New Roman"/>
                <w:b/>
                <w:bCs/>
                <w:color w:val="000000" w:themeColor="text1"/>
                <w:sz w:val="24"/>
                <w:szCs w:val="24"/>
                <w:highlight w:val="none"/>
                <w14:textFill>
                  <w14:solidFill>
                    <w14:schemeClr w14:val="tx1"/>
                  </w14:solidFill>
                </w14:textFill>
              </w:rPr>
              <w:t>场址区附近断层的性质及导水性</w:t>
            </w:r>
          </w:p>
          <w:p w14:paraId="6CE0665D">
            <w:pPr>
              <w:spacing w:line="360" w:lineRule="auto"/>
              <w:ind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调查区内地质构造较复杂，断裂主要有鲁戛-麦地冲断裂（</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eq \o\ac(</w:instrText>
            </w:r>
            <w:r>
              <w:rPr>
                <w:rFonts w:hint="default" w:ascii="Times New Roman" w:hAnsi="Times New Roman" w:eastAsia="宋体" w:cs="Times New Roman"/>
                <w:color w:val="000000" w:themeColor="text1"/>
                <w:position w:val="-4"/>
                <w:sz w:val="36"/>
                <w:szCs w:val="24"/>
                <w:highlight w:val="none"/>
                <w14:textFill>
                  <w14:solidFill>
                    <w14:schemeClr w14:val="tx1"/>
                  </w14:solidFill>
                </w14:textFill>
              </w:rPr>
              <w:instrText xml:space="preserve">○</w:instrTex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instrText xml:space="preserve">,30)</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）、大村-门前地断裂（</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eq \o\ac(</w:instrText>
            </w:r>
            <w:r>
              <w:rPr>
                <w:rFonts w:hint="default" w:ascii="Times New Roman" w:hAnsi="Times New Roman" w:eastAsia="宋体" w:cs="Times New Roman"/>
                <w:color w:val="000000" w:themeColor="text1"/>
                <w:position w:val="-4"/>
                <w:sz w:val="36"/>
                <w:szCs w:val="24"/>
                <w:highlight w:val="none"/>
                <w14:textFill>
                  <w14:solidFill>
                    <w14:schemeClr w14:val="tx1"/>
                  </w14:solidFill>
                </w14:textFill>
              </w:rPr>
              <w:instrText xml:space="preserve">○</w:instrTex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instrText xml:space="preserve">,31)</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），褶皱主要有赵家村向斜（30）、鲁戛-鲁洒沛背斜（31），特征如下：</w:t>
            </w:r>
          </w:p>
          <w:p w14:paraId="3F811BA8">
            <w:pPr>
              <w:pStyle w:val="24"/>
              <w:spacing w:after="0" w:line="360" w:lineRule="auto"/>
              <w:ind w:right="496"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（1）鲁戛-麦地冲断裂（</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eq \o\ac(</w:instrText>
            </w:r>
            <w:r>
              <w:rPr>
                <w:rFonts w:hint="default" w:ascii="Times New Roman" w:hAnsi="Times New Roman" w:eastAsia="宋体" w:cs="Times New Roman"/>
                <w:color w:val="000000" w:themeColor="text1"/>
                <w:position w:val="-4"/>
                <w:sz w:val="36"/>
                <w:szCs w:val="24"/>
                <w:highlight w:val="none"/>
                <w14:textFill>
                  <w14:solidFill>
                    <w14:schemeClr w14:val="tx1"/>
                  </w14:solidFill>
                </w14:textFill>
              </w:rPr>
              <w:instrText xml:space="preserve">○</w:instrTex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instrText xml:space="preserve">,30)</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478F2C3B">
            <w:pPr>
              <w:widowControl/>
              <w:spacing w:line="360" w:lineRule="auto"/>
              <w:ind w:firstLine="480" w:firstLineChars="200"/>
              <w:jc w:val="left"/>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北东起于寻甸西北牛街杨家湾之东，在沧溪北与小江西支断裂交切，往南西经牛街大庆到马街的龙街子附近，又被北西向则邑断裂切错后继续向南延伸，大致沿马街盆地东缘的舒家村到鲁戛、新哨、新发村、麦地冲，止于普渡河断裂带上的散旦花箐附近。断裂全长约68km，平面展布上略显微波形弯曲，总体走向30°，倾向北西，倾角40°</w:t>
            </w:r>
            <w:r>
              <w:rPr>
                <w:rFonts w:hint="default" w:ascii="Times New Roman" w:hAnsi="Times New Roman" w:eastAsia="宋体" w:cs="Times New Roman"/>
                <w:color w:val="000000" w:themeColor="text1"/>
                <w:sz w:val="24"/>
                <w:szCs w:val="24"/>
                <w:highlight w:val="none"/>
                <w14:textFill>
                  <w14:solidFill>
                    <w14:schemeClr w14:val="tx1"/>
                  </w14:solidFill>
                </w14:textFill>
              </w:rPr>
              <w:t>～</w:t>
            </w:r>
            <w:r>
              <w:rPr>
                <w:rFonts w:hint="default" w:ascii="Times New Roman" w:hAnsi="Times New Roman" w:eastAsia="宋体" w:cs="Times New Roman"/>
                <w:bCs/>
                <w:color w:val="000000" w:themeColor="text1"/>
                <w:sz w:val="24"/>
                <w:szCs w:val="24"/>
                <w:highlight w:val="none"/>
                <w14:textFill>
                  <w14:solidFill>
                    <w14:schemeClr w14:val="tx1"/>
                  </w14:solidFill>
                </w14:textFill>
              </w:rPr>
              <w:t>60°。断裂破碎带宽数十米至数百米，具压扭性质，两盘均为古生界地层，构造岩特征为断层泥、硅化、绿泥石化，沿断层有辉绿岩分布，胶结较好，未见断裂带有出水等现象，</w:t>
            </w:r>
            <w:r>
              <w:rPr>
                <w:rFonts w:hint="default" w:ascii="Times New Roman" w:hAnsi="Times New Roman" w:eastAsia="宋体" w:cs="Times New Roman"/>
                <w:color w:val="000000" w:themeColor="text1"/>
                <w:sz w:val="24"/>
                <w:szCs w:val="24"/>
                <w:highlight w:val="none"/>
                <w14:textFill>
                  <w14:solidFill>
                    <w14:schemeClr w14:val="tx1"/>
                  </w14:solidFill>
                </w14:textFill>
              </w:rPr>
              <w:t>沿断层带均未见泉水出露，断面无浸水</w:t>
            </w:r>
            <w:r>
              <w:rPr>
                <w:rFonts w:hint="default" w:ascii="Times New Roman" w:hAnsi="Times New Roman" w:eastAsia="宋体" w:cs="Times New Roman"/>
                <w:bCs/>
                <w:color w:val="000000" w:themeColor="text1"/>
                <w:sz w:val="24"/>
                <w:szCs w:val="24"/>
                <w:highlight w:val="none"/>
                <w14:textFill>
                  <w14:solidFill>
                    <w14:schemeClr w14:val="tx1"/>
                  </w14:solidFill>
                </w14:textFill>
              </w:rPr>
              <w:t>。断裂西盘为</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二叠系上-下统（P</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1-2</w:t>
            </w:r>
            <w:r>
              <w:rPr>
                <w:rFonts w:hint="default" w:ascii="Times New Roman" w:hAnsi="Times New Roman" w:eastAsia="宋体" w:cs="Times New Roman"/>
                <w:i/>
                <w:iCs/>
                <w:color w:val="000000" w:themeColor="text1"/>
                <w:spacing w:val="-10"/>
                <w:sz w:val="24"/>
                <w:szCs w:val="24"/>
                <w:highlight w:val="none"/>
                <w:vertAlign w:val="superscript"/>
                <w14:textFill>
                  <w14:solidFill>
                    <w14:schemeClr w14:val="tx1"/>
                  </w14:solidFill>
                </w14:textFill>
              </w:rPr>
              <w:t>a</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、P</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1-2</w:t>
            </w:r>
            <w:r>
              <w:rPr>
                <w:rFonts w:hint="default" w:ascii="Times New Roman" w:hAnsi="Times New Roman" w:eastAsia="宋体" w:cs="Times New Roman"/>
                <w:i/>
                <w:iCs/>
                <w:color w:val="000000" w:themeColor="text1"/>
                <w:spacing w:val="-10"/>
                <w:sz w:val="24"/>
                <w:szCs w:val="24"/>
                <w:highlight w:val="none"/>
                <w:vertAlign w:val="superscript"/>
                <w14:textFill>
                  <w14:solidFill>
                    <w14:schemeClr w14:val="tx1"/>
                  </w14:solidFill>
                </w14:textFill>
              </w:rPr>
              <w:t>b</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斜斑玄武岩，透水性中等～微透水，东盘为</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二叠系下统（</w:t>
            </w:r>
            <w:r>
              <w:rPr>
                <w:rFonts w:hint="default" w:ascii="Times New Roman" w:hAnsi="Times New Roman" w:eastAsia="宋体" w:cs="Times New Roman"/>
                <w:color w:val="000000" w:themeColor="text1"/>
                <w:sz w:val="24"/>
                <w:szCs w:val="24"/>
                <w:highlight w:val="none"/>
                <w14:textFill>
                  <w14:solidFill>
                    <w14:schemeClr w14:val="tx1"/>
                  </w14:solidFill>
                </w14:textFill>
              </w:rPr>
              <w:t>P</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w:t>
            </w:r>
            <w:r>
              <w:rPr>
                <w:rFonts w:hint="default" w:ascii="Times New Roman" w:hAnsi="Times New Roman" w:eastAsia="宋体" w:cs="Times New Roman"/>
                <w:i/>
                <w:color w:val="000000" w:themeColor="text1"/>
                <w:sz w:val="24"/>
                <w:szCs w:val="24"/>
                <w:highlight w:val="none"/>
                <w14:textFill>
                  <w14:solidFill>
                    <w14:schemeClr w14:val="tx1"/>
                  </w14:solidFill>
                </w14:textFill>
              </w:rPr>
              <w:t>q+m</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）栖霞茅口组</w:t>
            </w:r>
            <w:r>
              <w:rPr>
                <w:rFonts w:hint="default" w:ascii="Times New Roman" w:hAnsi="Times New Roman" w:eastAsia="宋体" w:cs="Times New Roman"/>
                <w:color w:val="000000" w:themeColor="text1"/>
                <w:sz w:val="24"/>
                <w:szCs w:val="24"/>
                <w:highlight w:val="none"/>
                <w14:textFill>
                  <w14:solidFill>
                    <w14:schemeClr w14:val="tx1"/>
                  </w14:solidFill>
                </w14:textFill>
              </w:rPr>
              <w:t>隐晶灰岩、细晶白云岩、白云岩，属中等透水层。该断裂富水性及导水性较弱-中等，水力联系中等，</w:t>
            </w:r>
            <w:r>
              <w:rPr>
                <w:rFonts w:hint="default" w:ascii="Times New Roman" w:hAnsi="Times New Roman" w:eastAsia="宋体" w:cs="Times New Roman"/>
                <w:bCs/>
                <w:color w:val="000000" w:themeColor="text1"/>
                <w:sz w:val="24"/>
                <w:szCs w:val="24"/>
                <w:highlight w:val="none"/>
                <w14:textFill>
                  <w14:solidFill>
                    <w14:schemeClr w14:val="tx1"/>
                  </w14:solidFill>
                </w14:textFill>
              </w:rPr>
              <w:t>该断裂位于调查区中部，从场址区西侧通过，对场址区有一定影响。</w:t>
            </w:r>
          </w:p>
          <w:p w14:paraId="1557B38E">
            <w:pPr>
              <w:pStyle w:val="24"/>
              <w:spacing w:after="0" w:line="360" w:lineRule="auto"/>
              <w:ind w:right="496"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（2）大村-门前地断裂（</w: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begin"/>
            </w:r>
            <w:r>
              <w:rPr>
                <w:rFonts w:hint="default" w:ascii="Times New Roman" w:hAnsi="Times New Roman" w:eastAsia="宋体" w:cs="Times New Roman"/>
                <w:color w:val="000000" w:themeColor="text1"/>
                <w:sz w:val="24"/>
                <w:szCs w:val="24"/>
                <w:highlight w:val="none"/>
                <w14:textFill>
                  <w14:solidFill>
                    <w14:schemeClr w14:val="tx1"/>
                  </w14:solidFill>
                </w14:textFill>
              </w:rPr>
              <w:instrText xml:space="preserve"> eq \o\ac(</w:instrText>
            </w:r>
            <w:r>
              <w:rPr>
                <w:rFonts w:hint="default" w:ascii="Times New Roman" w:hAnsi="Times New Roman" w:eastAsia="宋体" w:cs="Times New Roman"/>
                <w:color w:val="000000" w:themeColor="text1"/>
                <w:position w:val="-4"/>
                <w:sz w:val="36"/>
                <w:szCs w:val="24"/>
                <w:highlight w:val="none"/>
                <w14:textFill>
                  <w14:solidFill>
                    <w14:schemeClr w14:val="tx1"/>
                  </w14:solidFill>
                </w14:textFill>
              </w:rPr>
              <w:instrText xml:space="preserve">○</w:instrText>
            </w:r>
            <w:r>
              <w:rPr>
                <w:rFonts w:hint="default" w:ascii="Times New Roman" w:hAnsi="Times New Roman" w:eastAsia="宋体" w:cs="Times New Roman"/>
                <w:color w:val="000000" w:themeColor="text1"/>
                <w:position w:val="0"/>
                <w:sz w:val="24"/>
                <w:szCs w:val="24"/>
                <w:highlight w:val="none"/>
                <w14:textFill>
                  <w14:solidFill>
                    <w14:schemeClr w14:val="tx1"/>
                  </w14:solidFill>
                </w14:textFill>
              </w:rPr>
              <w:instrText xml:space="preserve">,31)</w:instrText>
            </w:r>
            <w:r>
              <w:rPr>
                <w:rFonts w:hint="default" w:ascii="Times New Roman" w:hAnsi="Times New Roman" w:eastAsia="宋体" w:cs="Times New Roman"/>
                <w:color w:val="000000" w:themeColor="text1"/>
                <w:sz w:val="24"/>
                <w:szCs w:val="24"/>
                <w:highlight w:val="none"/>
                <w14:textFill>
                  <w14:solidFill>
                    <w14:schemeClr w14:val="tx1"/>
                  </w14:solidFill>
                </w14:textFill>
              </w:rPr>
              <w:fldChar w:fldCharType="end"/>
            </w:r>
            <w:r>
              <w:rPr>
                <w:rFonts w:hint="default" w:ascii="Times New Roman" w:hAnsi="Times New Roman" w:eastAsia="宋体" w:cs="Times New Roman"/>
                <w:color w:val="000000" w:themeColor="text1"/>
                <w:sz w:val="24"/>
                <w:szCs w:val="24"/>
                <w:highlight w:val="none"/>
                <w14:textFill>
                  <w14:solidFill>
                    <w14:schemeClr w14:val="tx1"/>
                  </w14:solidFill>
                </w14:textFill>
              </w:rPr>
              <w:t>）</w:t>
            </w:r>
          </w:p>
          <w:p w14:paraId="3E0D355C">
            <w:pPr>
              <w:widowControl/>
              <w:spacing w:line="360" w:lineRule="auto"/>
              <w:ind w:firstLine="480" w:firstLineChars="200"/>
              <w:jc w:val="left"/>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北东起于鲁戛之南的则戛大村，</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沿</w:t>
            </w:r>
            <w:r>
              <w:rPr>
                <w:rFonts w:hint="default" w:ascii="Times New Roman" w:hAnsi="Times New Roman" w:eastAsia="宋体" w:cs="Times New Roman"/>
                <w:bCs/>
                <w:color w:val="000000" w:themeColor="text1"/>
                <w:sz w:val="24"/>
                <w:szCs w:val="24"/>
                <w:highlight w:val="none"/>
                <w14:textFill>
                  <w14:solidFill>
                    <w14:schemeClr w14:val="tx1"/>
                  </w14:solidFill>
                </w14:textFill>
              </w:rPr>
              <w:t>则戛大村</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→新哨→场地东部→向西南延伸</w:t>
            </w:r>
            <w:r>
              <w:rPr>
                <w:rFonts w:hint="default" w:ascii="Times New Roman" w:hAnsi="Times New Roman" w:eastAsia="宋体" w:cs="Times New Roman"/>
                <w:bCs/>
                <w:color w:val="000000" w:themeColor="text1"/>
                <w:sz w:val="24"/>
                <w:szCs w:val="24"/>
                <w:highlight w:val="none"/>
                <w14:textFill>
                  <w14:solidFill>
                    <w14:schemeClr w14:val="tx1"/>
                  </w14:solidFill>
                </w14:textFill>
              </w:rPr>
              <w:t>，止于</w:t>
            </w:r>
            <w:r>
              <w:rPr>
                <w:rFonts w:hint="default" w:ascii="Times New Roman" w:hAnsi="Times New Roman" w:eastAsia="宋体" w:cs="Times New Roman"/>
                <w:color w:val="000000" w:themeColor="text1"/>
                <w:kern w:val="24"/>
                <w:sz w:val="24"/>
                <w:szCs w:val="24"/>
                <w:highlight w:val="none"/>
                <w14:textFill>
                  <w14:solidFill>
                    <w14:schemeClr w14:val="tx1"/>
                  </w14:solidFill>
                </w14:textFill>
              </w:rPr>
              <w:t>场地西南部约26.8km处的门前地，其中在新哨附近被断层错断。</w:t>
            </w:r>
            <w:r>
              <w:rPr>
                <w:rFonts w:hint="default" w:ascii="Times New Roman" w:hAnsi="Times New Roman" w:eastAsia="宋体" w:cs="Times New Roman"/>
                <w:bCs/>
                <w:color w:val="000000" w:themeColor="text1"/>
                <w:sz w:val="24"/>
                <w:szCs w:val="24"/>
                <w:highlight w:val="none"/>
                <w14:textFill>
                  <w14:solidFill>
                    <w14:schemeClr w14:val="tx1"/>
                  </w14:solidFill>
                </w14:textFill>
              </w:rPr>
              <w:t>全长约43km，总体走向30°，倾向西南，倾角70°。断裂性质不明，具压扭性质。两盘均为古生界地层，构造岩特征为硅化、角砾化，断层南段有辉绿岩侵入，胶结较好，未见断裂带有出水等现象，</w:t>
            </w:r>
            <w:r>
              <w:rPr>
                <w:rFonts w:hint="default" w:ascii="Times New Roman" w:hAnsi="Times New Roman" w:eastAsia="宋体" w:cs="Times New Roman"/>
                <w:color w:val="000000" w:themeColor="text1"/>
                <w:sz w:val="24"/>
                <w:szCs w:val="24"/>
                <w:highlight w:val="none"/>
                <w14:textFill>
                  <w14:solidFill>
                    <w14:schemeClr w14:val="tx1"/>
                  </w14:solidFill>
                </w14:textFill>
              </w:rPr>
              <w:t>沿断层带均未见泉水出露</w:t>
            </w:r>
            <w:r>
              <w:rPr>
                <w:rFonts w:hint="default" w:ascii="Times New Roman" w:hAnsi="Times New Roman" w:eastAsia="宋体" w:cs="Times New Roman"/>
                <w:bCs/>
                <w:color w:val="000000" w:themeColor="text1"/>
                <w:sz w:val="24"/>
                <w:szCs w:val="24"/>
                <w:highlight w:val="none"/>
                <w14:textFill>
                  <w14:solidFill>
                    <w14:schemeClr w14:val="tx1"/>
                  </w14:solidFill>
                </w14:textFill>
              </w:rPr>
              <w:t>。断裂两盘均为</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泥盆系中统（D</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2</w:t>
            </w:r>
            <w:r>
              <w:rPr>
                <w:rFonts w:hint="default" w:ascii="Times New Roman" w:hAnsi="Times New Roman" w:eastAsia="宋体" w:cs="Times New Roman"/>
                <w:i/>
                <w:iCs/>
                <w:color w:val="000000" w:themeColor="text1"/>
                <w:spacing w:val="-10"/>
                <w:sz w:val="24"/>
                <w:szCs w:val="24"/>
                <w:highlight w:val="none"/>
                <w14:textFill>
                  <w14:solidFill>
                    <w14:schemeClr w14:val="tx1"/>
                  </w14:solidFill>
                </w14:textFill>
              </w:rPr>
              <w:t>a</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）地层，以石英砂岩、页岩为主，属微</w:t>
            </w:r>
            <w:r>
              <w:rPr>
                <w:rFonts w:hint="default" w:ascii="Times New Roman" w:hAnsi="Times New Roman" w:eastAsia="宋体" w:cs="Times New Roman"/>
                <w:color w:val="000000" w:themeColor="text1"/>
                <w:sz w:val="24"/>
                <w:szCs w:val="24"/>
                <w:highlight w:val="none"/>
                <w14:textFill>
                  <w14:solidFill>
                    <w14:schemeClr w14:val="tx1"/>
                  </w14:solidFill>
                </w14:textFill>
              </w:rPr>
              <w:t>透水层。该断裂富水性及导水性较弱，水力联系一般，</w:t>
            </w:r>
            <w:r>
              <w:rPr>
                <w:rFonts w:hint="default" w:ascii="Times New Roman" w:hAnsi="Times New Roman" w:eastAsia="宋体" w:cs="Times New Roman"/>
                <w:bCs/>
                <w:color w:val="000000" w:themeColor="text1"/>
                <w:sz w:val="24"/>
                <w:szCs w:val="24"/>
                <w:highlight w:val="none"/>
                <w14:textFill>
                  <w14:solidFill>
                    <w14:schemeClr w14:val="tx1"/>
                  </w14:solidFill>
                </w14:textFill>
              </w:rPr>
              <w:t>该断裂位于调查区东部，从场址区东部约2.1km处通过，对场地影响较小。</w:t>
            </w:r>
          </w:p>
          <w:p w14:paraId="20BC6E0A">
            <w:pPr>
              <w:pStyle w:val="24"/>
              <w:spacing w:after="0" w:line="360" w:lineRule="auto"/>
              <w:ind w:right="496" w:firstLine="48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 xml:space="preserve"> （3）赵家村向斜（30）</w:t>
            </w:r>
          </w:p>
          <w:p w14:paraId="611D1CB5">
            <w:pPr>
              <w:widowControl/>
              <w:spacing w:line="360" w:lineRule="auto"/>
              <w:ind w:firstLine="480" w:firstLineChars="200"/>
              <w:jc w:val="left"/>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展布于马街赵家村、鸡街、乐朗一带，轴部长约35公里，宽约1.5公里。轴线方向40°，平面呈长条状，剖面不对称，中部被北西向断层错动为南北两段，北段被上第三系掩盖，东翼倾向：北西∠20</w:t>
            </w:r>
            <w:r>
              <w:rPr>
                <w:rFonts w:hint="default" w:ascii="Times New Roman" w:hAnsi="Times New Roman" w:eastAsia="宋体" w:cs="Times New Roman"/>
                <w:bCs/>
                <w:color w:val="000000" w:themeColor="text1"/>
                <w:sz w:val="24"/>
                <w:szCs w:val="24"/>
                <w:highlight w:val="none"/>
                <w14:textFill>
                  <w14:solidFill>
                    <w14:schemeClr w14:val="tx1"/>
                  </w14:solidFill>
                </w14:textFill>
              </w:rPr>
              <w:sym w:font="CommercialPi BT" w:char="F04C"/>
            </w:r>
            <w:r>
              <w:rPr>
                <w:rFonts w:hint="default" w:ascii="Times New Roman" w:hAnsi="Times New Roman" w:eastAsia="宋体" w:cs="Times New Roman"/>
                <w:bCs/>
                <w:color w:val="000000" w:themeColor="text1"/>
                <w:sz w:val="24"/>
                <w:szCs w:val="24"/>
                <w:highlight w:val="none"/>
                <w14:textFill>
                  <w14:solidFill>
                    <w14:schemeClr w14:val="tx1"/>
                  </w14:solidFill>
                </w14:textFill>
              </w:rPr>
              <w:t>～40°；西翼倾向：北东∠15</w:t>
            </w:r>
            <w:r>
              <w:rPr>
                <w:rFonts w:hint="default" w:ascii="Times New Roman" w:hAnsi="Times New Roman" w:eastAsia="宋体" w:cs="Times New Roman"/>
                <w:bCs/>
                <w:color w:val="000000" w:themeColor="text1"/>
                <w:sz w:val="24"/>
                <w:szCs w:val="24"/>
                <w:highlight w:val="none"/>
                <w14:textFill>
                  <w14:solidFill>
                    <w14:schemeClr w14:val="tx1"/>
                  </w14:solidFill>
                </w14:textFill>
              </w:rPr>
              <w:sym w:font="CommercialPi BT" w:char="F04C"/>
            </w:r>
            <w:r>
              <w:rPr>
                <w:rFonts w:hint="default" w:ascii="Times New Roman" w:hAnsi="Times New Roman" w:eastAsia="宋体" w:cs="Times New Roman"/>
                <w:bCs/>
                <w:color w:val="000000" w:themeColor="text1"/>
                <w:sz w:val="24"/>
                <w:szCs w:val="24"/>
                <w:highlight w:val="none"/>
                <w14:textFill>
                  <w14:solidFill>
                    <w14:schemeClr w14:val="tx1"/>
                  </w14:solidFill>
                </w14:textFill>
              </w:rPr>
              <w:t>～30°、南东∠5</w:t>
            </w:r>
            <w:r>
              <w:rPr>
                <w:rFonts w:hint="default" w:ascii="Times New Roman" w:hAnsi="Times New Roman" w:eastAsia="宋体" w:cs="Times New Roman"/>
                <w:bCs/>
                <w:color w:val="000000" w:themeColor="text1"/>
                <w:sz w:val="24"/>
                <w:szCs w:val="24"/>
                <w:highlight w:val="none"/>
                <w14:textFill>
                  <w14:solidFill>
                    <w14:schemeClr w14:val="tx1"/>
                  </w14:solidFill>
                </w14:textFill>
              </w:rPr>
              <w:sym w:font="CommercialPi BT" w:char="F04C"/>
            </w:r>
            <w:r>
              <w:rPr>
                <w:rFonts w:hint="default" w:ascii="Times New Roman" w:hAnsi="Times New Roman" w:eastAsia="宋体" w:cs="Times New Roman"/>
                <w:bCs/>
                <w:color w:val="000000" w:themeColor="text1"/>
                <w:sz w:val="24"/>
                <w:szCs w:val="24"/>
                <w:highlight w:val="none"/>
                <w14:textFill>
                  <w14:solidFill>
                    <w14:schemeClr w14:val="tx1"/>
                  </w14:solidFill>
                </w14:textFill>
              </w:rPr>
              <w:t>～20°。核部地层为古生界二叠系上-下统（P1-2c）玄武岩，翼部地层为古生界二叠系上-下统（P1-2b、P1-2a）斜斑玄武岩，透水性中等～微透水，富水性及导水性较弱-中等，场址区位于该向斜东部，距离向斜核部约3.2km，对场地影响较小。</w:t>
            </w:r>
          </w:p>
          <w:p w14:paraId="3B9BA122">
            <w:pPr>
              <w:widowControl/>
              <w:spacing w:line="360" w:lineRule="auto"/>
              <w:ind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（4）鲁戛-鲁洒沛背斜（31）</w:t>
            </w:r>
          </w:p>
          <w:p w14:paraId="372C4C8B">
            <w:pPr>
              <w:widowControl/>
              <w:spacing w:line="360" w:lineRule="auto"/>
              <w:ind w:firstLine="480" w:firstLineChars="200"/>
              <w:jc w:val="left"/>
              <w:rPr>
                <w:rFonts w:hint="default" w:ascii="Times New Roman" w:hAnsi="Times New Roman" w:eastAsia="宋体" w:cs="Times New Roman"/>
                <w:bCs/>
                <w:color w:val="000000" w:themeColor="text1"/>
                <w:sz w:val="24"/>
                <w:szCs w:val="24"/>
                <w:highlight w:val="none"/>
                <w14:textFill>
                  <w14:solidFill>
                    <w14:schemeClr w14:val="tx1"/>
                  </w14:solidFill>
                </w14:textFill>
              </w:rPr>
            </w:pPr>
            <w:r>
              <w:rPr>
                <w:rFonts w:hint="default" w:ascii="Times New Roman" w:hAnsi="Times New Roman" w:eastAsia="宋体" w:cs="Times New Roman"/>
                <w:bCs/>
                <w:color w:val="000000" w:themeColor="text1"/>
                <w:sz w:val="24"/>
                <w:szCs w:val="24"/>
                <w:highlight w:val="none"/>
                <w14:textFill>
                  <w14:solidFill>
                    <w14:schemeClr w14:val="tx1"/>
                  </w14:solidFill>
                </w14:textFill>
              </w:rPr>
              <w:t>位于鲁戛、鲁洒沛、乐朗、老鸭山一带，轴部长约66公里，宽约2公里。轴线方向30～50°，平面呈长条状，剖面不对称，被纵横断层割成五段，向北东倾伏，东翼倾向：东、南东∠20</w:t>
            </w:r>
            <w:r>
              <w:rPr>
                <w:rFonts w:hint="default" w:ascii="Times New Roman" w:hAnsi="Times New Roman" w:eastAsia="宋体" w:cs="Times New Roman"/>
                <w:bCs/>
                <w:color w:val="000000" w:themeColor="text1"/>
                <w:sz w:val="24"/>
                <w:szCs w:val="24"/>
                <w:highlight w:val="none"/>
                <w14:textFill>
                  <w14:solidFill>
                    <w14:schemeClr w14:val="tx1"/>
                  </w14:solidFill>
                </w14:textFill>
              </w:rPr>
              <w:sym w:font="CommercialPi BT" w:char="F04C"/>
            </w:r>
            <w:r>
              <w:rPr>
                <w:rFonts w:hint="default" w:ascii="Times New Roman" w:hAnsi="Times New Roman" w:eastAsia="宋体" w:cs="Times New Roman"/>
                <w:bCs/>
                <w:color w:val="000000" w:themeColor="text1"/>
                <w:sz w:val="24"/>
                <w:szCs w:val="24"/>
                <w:highlight w:val="none"/>
                <w14:textFill>
                  <w14:solidFill>
                    <w14:schemeClr w14:val="tx1"/>
                  </w14:solidFill>
                </w14:textFill>
              </w:rPr>
              <w:t>～45°；西翼倾向：西∠20</w:t>
            </w:r>
            <w:r>
              <w:rPr>
                <w:rFonts w:hint="default" w:ascii="Times New Roman" w:hAnsi="Times New Roman" w:eastAsia="宋体" w:cs="Times New Roman"/>
                <w:bCs/>
                <w:color w:val="000000" w:themeColor="text1"/>
                <w:sz w:val="24"/>
                <w:szCs w:val="24"/>
                <w:highlight w:val="none"/>
                <w14:textFill>
                  <w14:solidFill>
                    <w14:schemeClr w14:val="tx1"/>
                  </w14:solidFill>
                </w14:textFill>
              </w:rPr>
              <w:sym w:font="CommercialPi BT" w:char="F04C"/>
            </w:r>
            <w:r>
              <w:rPr>
                <w:rFonts w:hint="default" w:ascii="Times New Roman" w:hAnsi="Times New Roman" w:eastAsia="宋体" w:cs="Times New Roman"/>
                <w:bCs/>
                <w:color w:val="000000" w:themeColor="text1"/>
                <w:sz w:val="24"/>
                <w:szCs w:val="24"/>
                <w:highlight w:val="none"/>
                <w14:textFill>
                  <w14:solidFill>
                    <w14:schemeClr w14:val="tx1"/>
                  </w14:solidFill>
                </w14:textFill>
              </w:rPr>
              <w:t>～60°。核部地层为古生界奥陶系下统红石崖组（O1h）页岩及泥盆系中统（D2a）、下统（D1）石英砂岩、粉砂岩、页岩，形成相对隔水层边界，富水性及导水性较弱，翼部地层为石炭系下统（C1）及二叠系下统（P1q+m）栖霞茅口组。场址区位于该背斜西部，距离背斜核部约1.2km，对场地影响较小。</w:t>
            </w:r>
          </w:p>
          <w:p w14:paraId="6618BAA1">
            <w:pPr>
              <w:widowControl/>
              <w:ind w:firstLine="482"/>
              <w:jc w:val="left"/>
              <w:rPr>
                <w:b/>
                <w:bCs/>
                <w:color w:val="000000" w:themeColor="text1"/>
                <w:szCs w:val="28"/>
                <w14:textFill>
                  <w14:solidFill>
                    <w14:schemeClr w14:val="tx1"/>
                  </w14:solidFill>
                </w14:textFill>
              </w:rPr>
            </w:pPr>
            <w:r>
              <w:rPr>
                <w:rFonts w:hint="eastAsia"/>
                <w:b/>
                <w:bCs/>
                <w:color w:val="000000" w:themeColor="text1"/>
                <w:szCs w:val="28"/>
                <w14:textFill>
                  <w14:solidFill>
                    <w14:schemeClr w14:val="tx1"/>
                  </w14:solidFill>
                </w14:textFill>
              </w:rPr>
              <w:t>4.</w:t>
            </w:r>
            <w:bookmarkStart w:id="48" w:name="_Toc25020"/>
            <w:bookmarkStart w:id="49" w:name="_Toc3929"/>
            <w:r>
              <w:rPr>
                <w:rFonts w:hint="eastAsia"/>
                <w:b/>
                <w:bCs/>
                <w:color w:val="000000" w:themeColor="text1"/>
                <w:szCs w:val="28"/>
                <w:lang w:val="en-US" w:eastAsia="zh-CN"/>
                <w14:textFill>
                  <w14:solidFill>
                    <w14:schemeClr w14:val="tx1"/>
                  </w14:solidFill>
                </w14:textFill>
              </w:rPr>
              <w:t>9</w:t>
            </w:r>
            <w:r>
              <w:rPr>
                <w:rFonts w:hint="eastAsia"/>
                <w:b/>
                <w:bCs/>
                <w:color w:val="000000" w:themeColor="text1"/>
                <w14:textFill>
                  <w14:solidFill>
                    <w14:schemeClr w14:val="tx1"/>
                  </w14:solidFill>
                </w14:textFill>
              </w:rPr>
              <w:t>区域地下水补、径、排特征</w:t>
            </w:r>
            <w:bookmarkEnd w:id="48"/>
            <w:bookmarkEnd w:id="49"/>
          </w:p>
          <w:p w14:paraId="51347261">
            <w:pPr>
              <w:widowControl/>
              <w:spacing w:line="360" w:lineRule="auto"/>
              <w:ind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bookmarkStart w:id="50" w:name="_Toc14429"/>
            <w:bookmarkStart w:id="51" w:name="_Toc29401"/>
            <w:r>
              <w:rPr>
                <w:rFonts w:hint="default" w:ascii="Times New Roman" w:hAnsi="Times New Roman" w:eastAsia="宋体" w:cs="Times New Roman"/>
                <w:color w:val="000000" w:themeColor="text1"/>
                <w:sz w:val="24"/>
                <w:szCs w:val="24"/>
                <w:highlight w:val="none"/>
                <w14:textFill>
                  <w14:solidFill>
                    <w14:schemeClr w14:val="tx1"/>
                  </w14:solidFill>
                </w14:textFill>
              </w:rPr>
              <w:t>场址区属于相对完整的水文地质单元，含水层在其露头区接受大气降水下渗补给后，径流方向受构造及地形控制，一般由地形高处向地形低洼处径流，总体流向为东北—西南向，在地形、岩性有利部位分散排泄，最终排泄至西南部的地下暗河</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出口</w:t>
            </w:r>
            <w:r>
              <w:rPr>
                <w:rFonts w:hint="default" w:ascii="Times New Roman" w:hAnsi="Times New Roman" w:eastAsia="宋体" w:cs="Times New Roman"/>
                <w:color w:val="000000" w:themeColor="text1"/>
                <w:sz w:val="24"/>
                <w:szCs w:val="24"/>
                <w:highlight w:val="none"/>
                <w14:textFill>
                  <w14:solidFill>
                    <w14:schemeClr w14:val="tx1"/>
                  </w14:solidFill>
                </w14:textFill>
              </w:rPr>
              <w:t>，属水文地质单元的补给、径流区。</w:t>
            </w:r>
            <w:r>
              <w:rPr>
                <w:rFonts w:hint="default" w:ascii="Times New Roman" w:hAnsi="Times New Roman" w:eastAsia="宋体" w:cs="Times New Roman"/>
                <w:color w:val="000000" w:themeColor="text1"/>
                <w:kern w:val="0"/>
                <w:sz w:val="24"/>
                <w:szCs w:val="24"/>
                <w:highlight w:val="none"/>
                <w:lang w:bidi="en-US"/>
                <w14:textFill>
                  <w14:solidFill>
                    <w14:schemeClr w14:val="tx1"/>
                  </w14:solidFill>
                </w14:textFill>
              </w:rPr>
              <w:t>现</w:t>
            </w:r>
            <w:r>
              <w:rPr>
                <w:rFonts w:hint="default" w:ascii="Times New Roman" w:hAnsi="Times New Roman" w:eastAsia="宋体" w:cs="Times New Roman"/>
                <w:bCs/>
                <w:color w:val="000000" w:themeColor="text1"/>
                <w:sz w:val="24"/>
                <w:szCs w:val="24"/>
                <w:highlight w:val="none"/>
                <w14:textFill>
                  <w14:solidFill>
                    <w14:schemeClr w14:val="tx1"/>
                  </w14:solidFill>
                </w14:textFill>
              </w:rPr>
              <w:t>按地层岩性及含水层类型，地下水补给、径流、排泄条件</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分述如下：</w:t>
            </w:r>
          </w:p>
          <w:p w14:paraId="41B3FB93">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（1）第四系松散堆积层孔隙含水层</w:t>
            </w:r>
          </w:p>
          <w:p w14:paraId="316013EB">
            <w:pPr>
              <w:pStyle w:val="24"/>
              <w:spacing w:after="0" w:line="360" w:lineRule="auto"/>
              <w:ind w:right="-44" w:firstLine="480"/>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主要赋存于第四系松散层（人工堆积层（Q</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ml</w:t>
            </w:r>
            <w:r>
              <w:rPr>
                <w:rFonts w:hint="default" w:ascii="Times New Roman" w:hAnsi="Times New Roman" w:eastAsia="宋体" w:cs="Times New Roman"/>
                <w:color w:val="000000" w:themeColor="text1"/>
                <w:sz w:val="24"/>
                <w:szCs w:val="24"/>
                <w:highlight w:val="none"/>
                <w14:textFill>
                  <w14:solidFill>
                    <w14:schemeClr w14:val="tx1"/>
                  </w14:solidFill>
                </w14:textFill>
              </w:rPr>
              <w:t>）、坡洪积层（Q</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dl+pl</w:t>
            </w:r>
            <w:r>
              <w:rPr>
                <w:rFonts w:hint="default" w:ascii="Times New Roman" w:hAnsi="Times New Roman" w:eastAsia="宋体" w:cs="Times New Roman"/>
                <w:color w:val="000000" w:themeColor="text1"/>
                <w:sz w:val="24"/>
                <w:szCs w:val="24"/>
                <w:highlight w:val="none"/>
                <w14:textFill>
                  <w14:solidFill>
                    <w14:schemeClr w14:val="tx1"/>
                  </w14:solidFill>
                </w14:textFill>
              </w:rPr>
              <w:t>）、残坡积层（Q</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el+dl</w:t>
            </w:r>
            <w:r>
              <w:rPr>
                <w:rFonts w:hint="default" w:ascii="Times New Roman" w:hAnsi="Times New Roman" w:eastAsia="宋体" w:cs="Times New Roman"/>
                <w:color w:val="000000" w:themeColor="text1"/>
                <w:sz w:val="24"/>
                <w:szCs w:val="24"/>
                <w:highlight w:val="none"/>
                <w14:textFill>
                  <w14:solidFill>
                    <w14:schemeClr w14:val="tx1"/>
                  </w14:solidFill>
                </w14:textFill>
              </w:rPr>
              <w:t>））孔隙中，地下水</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主要接受大气降水的补给，局部接受溪沟补给，雨季一部分向溪沟排泄，以渗溢形式为主；另一部分沿岩石裂隙系统径流在谷底以地下水形式补给下伏基岩含水层。地下水渗流、蒸发排泄快。</w:t>
            </w:r>
            <w:r>
              <w:rPr>
                <w:rFonts w:hint="default" w:ascii="Times New Roman" w:hAnsi="Times New Roman" w:eastAsia="宋体" w:cs="Times New Roman"/>
                <w:snapToGrid w:val="0"/>
                <w:color w:val="000000" w:themeColor="text1"/>
                <w:kern w:val="0"/>
                <w:sz w:val="24"/>
                <w:szCs w:val="24"/>
                <w:highlight w:val="none"/>
                <w14:textFill>
                  <w14:solidFill>
                    <w14:schemeClr w14:val="tx1"/>
                  </w14:solidFill>
                </w14:textFill>
              </w:rPr>
              <w:t>本含水层组一般具径流距离短、水交替强烈、就近排泄的特点。</w:t>
            </w:r>
          </w:p>
          <w:p w14:paraId="252FA6AA">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（2）火成岩类裂隙含水层</w:t>
            </w:r>
          </w:p>
          <w:p w14:paraId="4858C9E2">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主要赋存于</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二叠系上-下统（P</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1-2</w:t>
            </w:r>
            <w:r>
              <w:rPr>
                <w:rFonts w:hint="default" w:ascii="Times New Roman" w:hAnsi="Times New Roman" w:eastAsia="宋体" w:cs="Times New Roman"/>
                <w:i/>
                <w:iCs/>
                <w:color w:val="000000" w:themeColor="text1"/>
                <w:spacing w:val="-10"/>
                <w:sz w:val="24"/>
                <w:szCs w:val="24"/>
                <w:highlight w:val="none"/>
                <w:vertAlign w:val="superscript"/>
                <w14:textFill>
                  <w14:solidFill>
                    <w14:schemeClr w14:val="tx1"/>
                  </w14:solidFill>
                </w14:textFill>
              </w:rPr>
              <w:t>a</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强～中等风化岩带风化裂隙孔隙中，地下水补给主要为大气降水，场区主要为垂向补给。大气降水后大部分直接由地面流走，小部分沿第四系土层垂向渗入基岩面，并沿节理裂隙所组成的裂隙网络等往地下渗入。场地的基岩裂隙水赋存于玄武岩基岩之中，水量、径流、排泄受岩体中结构面的分布密度、宽度、充填程度控制。强风化岩体中结构面发育，宽度较大，充填程度一般；中等风化岩体中结构面一般发育，宽度小，充填程度高。因此，从整体上看，地下水的埋藏较深；在强风化岩体中，地下水径流途径较短，在中等风化岩体中径流途径相对长一些。降雨垂直渗入到弱透水岩层段（深度约20m）后转向水平径流，径流方向为西向。补给强度主要取决于含水层出露面积、地形坡度及裂隙的发育程度。火成岩裂隙具有裂隙延伸长、闭合性较好、充填胶结物较多、连通性较差的特征，透水性弱。</w:t>
            </w:r>
          </w:p>
          <w:p w14:paraId="588155E5">
            <w:pPr>
              <w:spacing w:line="360" w:lineRule="auto"/>
              <w:ind w:firstLine="480" w:firstLineChars="2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（3）</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碳酸盐岩类岩溶裂隙含水层</w:t>
            </w:r>
          </w:p>
          <w:p w14:paraId="52519EFE">
            <w:pPr>
              <w:pStyle w:val="24"/>
              <w:spacing w:after="0" w:line="360" w:lineRule="auto"/>
              <w:ind w:right="-44" w:firstLine="480"/>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主要赋存于</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二叠系下统（</w:t>
            </w:r>
            <w:r>
              <w:rPr>
                <w:rFonts w:hint="default" w:ascii="Times New Roman" w:hAnsi="Times New Roman" w:eastAsia="宋体" w:cs="Times New Roman"/>
                <w:color w:val="000000" w:themeColor="text1"/>
                <w:sz w:val="24"/>
                <w:szCs w:val="24"/>
                <w:highlight w:val="none"/>
                <w14:textFill>
                  <w14:solidFill>
                    <w14:schemeClr w14:val="tx1"/>
                  </w14:solidFill>
                </w14:textFill>
              </w:rPr>
              <w:t>P</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w:t>
            </w:r>
            <w:r>
              <w:rPr>
                <w:rFonts w:hint="default" w:ascii="Times New Roman" w:hAnsi="Times New Roman" w:eastAsia="宋体" w:cs="Times New Roman"/>
                <w:i/>
                <w:color w:val="000000" w:themeColor="text1"/>
                <w:sz w:val="24"/>
                <w:szCs w:val="24"/>
                <w:highlight w:val="none"/>
                <w14:textFill>
                  <w14:solidFill>
                    <w14:schemeClr w14:val="tx1"/>
                  </w14:solidFill>
                </w14:textFill>
              </w:rPr>
              <w:t>q+m</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）栖霞茅口组中风化岩带的溶蚀裂隙中，</w:t>
            </w:r>
            <w:r>
              <w:rPr>
                <w:rFonts w:hint="default" w:ascii="Times New Roman" w:hAnsi="Times New Roman" w:eastAsia="宋体" w:cs="Times New Roman"/>
                <w:color w:val="000000" w:themeColor="text1"/>
                <w:sz w:val="24"/>
                <w:szCs w:val="24"/>
                <w:highlight w:val="none"/>
                <w14:textFill>
                  <w14:solidFill>
                    <w14:schemeClr w14:val="tx1"/>
                  </w14:solidFill>
                </w14:textFill>
              </w:rPr>
              <w:t>地下水补给主要为大气降水，场区主要为垂向补给。大气降水后小部分直接由地面流走，大部分沿第四系土层垂向渗入基岩面，并沿溶蚀裂隙往地下渗入。场地的溶蚀裂隙岩溶水赋存于灰岩、白云岩基岩之中，水量、径流、排泄受岩体中结构面、溶蚀裂隙的分布密度、宽度、充填程度控制。从整体上看，地下水的埋藏较深。降雨垂直渗入到岩层一定深度后转向水平径流，</w:t>
            </w: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地下水</w:t>
            </w:r>
            <w:r>
              <w:rPr>
                <w:rFonts w:hint="default" w:ascii="Times New Roman" w:hAnsi="Times New Roman" w:eastAsia="宋体" w:cs="Times New Roman"/>
                <w:color w:val="000000" w:themeColor="text1"/>
                <w:sz w:val="24"/>
                <w:szCs w:val="24"/>
                <w:highlight w:val="none"/>
                <w14:textFill>
                  <w14:solidFill>
                    <w14:schemeClr w14:val="tx1"/>
                  </w14:solidFill>
                </w14:textFill>
              </w:rPr>
              <w:t>径流方向总体为西南向。补给强度主要取决于含水层出露面积、地形坡度及裂隙的发育程度。裂隙强烈发育、闭合性差、充填物少、连通性好的特征，透水性强</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w:t>
            </w:r>
          </w:p>
          <w:p w14:paraId="33D6E87C">
            <w:pPr>
              <w:widowControl/>
              <w:ind w:firstLine="482"/>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评价区各含水层地下水主要接受大气降水入渗补给，由山坡区高处向低处径流，其中F</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30</w:t>
            </w:r>
            <w:r>
              <w:rPr>
                <w:rFonts w:hint="default" w:ascii="Times New Roman" w:hAnsi="Times New Roman" w:eastAsia="宋体" w:cs="Times New Roman"/>
                <w:color w:val="000000" w:themeColor="text1"/>
                <w:sz w:val="24"/>
                <w:szCs w:val="24"/>
                <w:highlight w:val="none"/>
                <w14:textFill>
                  <w14:solidFill>
                    <w14:schemeClr w14:val="tx1"/>
                  </w14:solidFill>
                </w14:textFill>
              </w:rPr>
              <w:t>断裂以西玄武岩含水层地下水总体由东向西运移，排泄至九龙河中。F</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30</w:t>
            </w:r>
            <w:r>
              <w:rPr>
                <w:rFonts w:hint="default" w:ascii="Times New Roman" w:hAnsi="Times New Roman" w:eastAsia="宋体" w:cs="Times New Roman"/>
                <w:color w:val="000000" w:themeColor="text1"/>
                <w:sz w:val="24"/>
                <w:szCs w:val="24"/>
                <w:highlight w:val="none"/>
                <w14:textFill>
                  <w14:solidFill>
                    <w14:schemeClr w14:val="tx1"/>
                  </w14:solidFill>
                </w14:textFill>
              </w:rPr>
              <w:t>断裂东部以碳酸盐岩-灰岩、白云岩为主，由于西部玄武岩有阻水作用；F</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30</w:t>
            </w:r>
            <w:r>
              <w:rPr>
                <w:rFonts w:hint="default" w:ascii="Times New Roman" w:hAnsi="Times New Roman" w:eastAsia="宋体" w:cs="Times New Roman"/>
                <w:color w:val="000000" w:themeColor="text1"/>
                <w:sz w:val="24"/>
                <w:szCs w:val="24"/>
                <w:highlight w:val="none"/>
                <w14:textFill>
                  <w14:solidFill>
                    <w14:schemeClr w14:val="tx1"/>
                  </w14:solidFill>
                </w14:textFill>
              </w:rPr>
              <w:t>断裂富水性及导水性较弱-中等，评价区F</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30</w:t>
            </w:r>
            <w:r>
              <w:rPr>
                <w:rFonts w:hint="default" w:ascii="Times New Roman" w:hAnsi="Times New Roman" w:eastAsia="宋体" w:cs="Times New Roman"/>
                <w:color w:val="000000" w:themeColor="text1"/>
                <w:sz w:val="24"/>
                <w:szCs w:val="24"/>
                <w:highlight w:val="none"/>
                <w14:textFill>
                  <w14:solidFill>
                    <w14:schemeClr w14:val="tx1"/>
                  </w14:solidFill>
                </w14:textFill>
              </w:rPr>
              <w:t>断裂以东碳酸盐岩含水层地下水总体由东北向西南径流，最终排泄至区外西南部新发村西侧的138号地下暗河。</w:t>
            </w:r>
          </w:p>
          <w:bookmarkEnd w:id="50"/>
          <w:bookmarkEnd w:id="51"/>
          <w:p w14:paraId="290901E5">
            <w:pPr>
              <w:widowControl/>
              <w:ind w:firstLine="482"/>
              <w:jc w:val="left"/>
              <w:rPr>
                <w:rFonts w:hint="eastAsia" w:ascii="Times New Roman" w:hAnsi="Times New Roman" w:eastAsia="宋体" w:cs="Times New Roman"/>
                <w:b/>
                <w:bCs/>
                <w:color w:val="000000" w:themeColor="text1"/>
                <w:kern w:val="0"/>
                <w:lang w:bidi="ar"/>
                <w14:textFill>
                  <w14:solidFill>
                    <w14:schemeClr w14:val="tx1"/>
                  </w14:solidFill>
                </w14:textFill>
              </w:rPr>
            </w:pPr>
            <w:bookmarkStart w:id="52" w:name="_Toc2448"/>
            <w:bookmarkStart w:id="53" w:name="_Toc11103"/>
            <w:r>
              <w:rPr>
                <w:rFonts w:hint="eastAsia" w:ascii="Times New Roman" w:hAnsi="Times New Roman" w:eastAsia="宋体" w:cs="Times New Roman"/>
                <w:b/>
                <w:bCs/>
                <w:color w:val="000000" w:themeColor="text1"/>
                <w:kern w:val="0"/>
                <w:lang w:val="en-US" w:eastAsia="zh-CN" w:bidi="ar"/>
                <w14:textFill>
                  <w14:solidFill>
                    <w14:schemeClr w14:val="tx1"/>
                  </w14:solidFill>
                </w14:textFill>
              </w:rPr>
              <w:t>4.10</w:t>
            </w:r>
            <w:r>
              <w:rPr>
                <w:rFonts w:hint="eastAsia" w:ascii="Times New Roman" w:hAnsi="Times New Roman" w:eastAsia="宋体" w:cs="Times New Roman"/>
                <w:b/>
                <w:bCs/>
                <w:color w:val="000000" w:themeColor="text1"/>
                <w:kern w:val="0"/>
                <w:lang w:bidi="ar"/>
                <w14:textFill>
                  <w14:solidFill>
                    <w14:schemeClr w14:val="tx1"/>
                  </w14:solidFill>
                </w14:textFill>
              </w:rPr>
              <w:t>地下水动态特征</w:t>
            </w:r>
            <w:bookmarkStart w:id="54" w:name="_Hlk116660787"/>
          </w:p>
          <w:p w14:paraId="3BE20253">
            <w:pPr>
              <w:spacing w:line="360" w:lineRule="auto"/>
              <w:ind w:firstLine="60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地下水动态特征：水文地质调查和勘察资料显示，场址区第四系松散层（人工堆积层（Q</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ml</w:t>
            </w:r>
            <w:r>
              <w:rPr>
                <w:rFonts w:hint="default" w:ascii="Times New Roman" w:hAnsi="Times New Roman" w:eastAsia="宋体" w:cs="Times New Roman"/>
                <w:color w:val="000000" w:themeColor="text1"/>
                <w:sz w:val="24"/>
                <w:szCs w:val="24"/>
                <w:highlight w:val="none"/>
                <w14:textFill>
                  <w14:solidFill>
                    <w14:schemeClr w14:val="tx1"/>
                  </w14:solidFill>
                </w14:textFill>
              </w:rPr>
              <w:t>）、坡洪积层（Q</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dl+pl</w:t>
            </w:r>
            <w:r>
              <w:rPr>
                <w:rFonts w:hint="default" w:ascii="Times New Roman" w:hAnsi="Times New Roman" w:eastAsia="宋体" w:cs="Times New Roman"/>
                <w:color w:val="000000" w:themeColor="text1"/>
                <w:sz w:val="24"/>
                <w:szCs w:val="24"/>
                <w:highlight w:val="none"/>
                <w14:textFill>
                  <w14:solidFill>
                    <w14:schemeClr w14:val="tx1"/>
                  </w14:solidFill>
                </w14:textFill>
              </w:rPr>
              <w:t>）、残坡积层（Q</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4</w:t>
            </w:r>
            <w:r>
              <w:rPr>
                <w:rFonts w:hint="default" w:ascii="Times New Roman" w:hAnsi="Times New Roman" w:eastAsia="宋体" w:cs="Times New Roman"/>
                <w:color w:val="000000" w:themeColor="text1"/>
                <w:sz w:val="24"/>
                <w:szCs w:val="24"/>
                <w:highlight w:val="none"/>
                <w:vertAlign w:val="superscript"/>
                <w14:textFill>
                  <w14:solidFill>
                    <w14:schemeClr w14:val="tx1"/>
                  </w14:solidFill>
                </w14:textFill>
              </w:rPr>
              <w:t>el+dl</w:t>
            </w:r>
            <w:r>
              <w:rPr>
                <w:rFonts w:hint="default" w:ascii="Times New Roman" w:hAnsi="Times New Roman" w:eastAsia="宋体" w:cs="Times New Roman"/>
                <w:color w:val="000000" w:themeColor="text1"/>
                <w:sz w:val="24"/>
                <w:szCs w:val="24"/>
                <w:highlight w:val="none"/>
                <w14:textFill>
                  <w14:solidFill>
                    <w14:schemeClr w14:val="tx1"/>
                  </w14:solidFill>
                </w14:textFill>
              </w:rPr>
              <w:t>））孔隙水无连续分布，具有上层滞水性质；稳定地下水主要为岩溶水，赋存于</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二叠系下统（</w:t>
            </w:r>
            <w:r>
              <w:rPr>
                <w:rFonts w:hint="default" w:ascii="Times New Roman" w:hAnsi="Times New Roman" w:eastAsia="宋体" w:cs="Times New Roman"/>
                <w:color w:val="000000" w:themeColor="text1"/>
                <w:sz w:val="24"/>
                <w:szCs w:val="24"/>
                <w:highlight w:val="none"/>
                <w14:textFill>
                  <w14:solidFill>
                    <w14:schemeClr w14:val="tx1"/>
                  </w14:solidFill>
                </w14:textFill>
              </w:rPr>
              <w:t>P</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w:t>
            </w:r>
            <w:r>
              <w:rPr>
                <w:rFonts w:hint="default" w:ascii="Times New Roman" w:hAnsi="Times New Roman" w:eastAsia="宋体" w:cs="Times New Roman"/>
                <w:i/>
                <w:color w:val="000000" w:themeColor="text1"/>
                <w:sz w:val="24"/>
                <w:szCs w:val="24"/>
                <w:highlight w:val="none"/>
                <w14:textFill>
                  <w14:solidFill>
                    <w14:schemeClr w14:val="tx1"/>
                  </w14:solidFill>
                </w14:textFill>
              </w:rPr>
              <w:t>q+m</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）栖霞茅口组</w:t>
            </w:r>
            <w:r>
              <w:rPr>
                <w:rFonts w:hint="default" w:ascii="Times New Roman" w:hAnsi="Times New Roman" w:eastAsia="宋体" w:cs="Times New Roman"/>
                <w:color w:val="000000" w:themeColor="text1"/>
                <w:sz w:val="24"/>
                <w:szCs w:val="24"/>
                <w:highlight w:val="none"/>
                <w14:textFill>
                  <w14:solidFill>
                    <w14:schemeClr w14:val="tx1"/>
                  </w14:solidFill>
                </w14:textFill>
              </w:rPr>
              <w:t>地层中，水位监测以水文地质单元为对象，考虑了补径排的基本特点来设计评价区地下水水位动态监测孔，场地整体处于山体斜坡或山麓地带，为区域地下水的补给、径流区，地下水类型以基岩裂隙水和岩溶水为主。场地内第四系覆盖层堆积体较厚，大气降水对基岩岩溶水、裂隙水补给速度较慢，因此季节对地下水位变化有一定影响，雨季地下水位有所上升，旱季有所降低，但场址区</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栖霞茅口组（</w:t>
            </w:r>
            <w:r>
              <w:rPr>
                <w:rFonts w:hint="default" w:ascii="Times New Roman" w:hAnsi="Times New Roman" w:eastAsia="宋体" w:cs="Times New Roman"/>
                <w:color w:val="000000" w:themeColor="text1"/>
                <w:sz w:val="24"/>
                <w:szCs w:val="24"/>
                <w:highlight w:val="none"/>
                <w14:textFill>
                  <w14:solidFill>
                    <w14:schemeClr w14:val="tx1"/>
                  </w14:solidFill>
                </w14:textFill>
              </w:rPr>
              <w:t>P</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w:t>
            </w:r>
            <w:r>
              <w:rPr>
                <w:rFonts w:hint="default" w:ascii="Times New Roman" w:hAnsi="Times New Roman" w:eastAsia="宋体" w:cs="Times New Roman"/>
                <w:i/>
                <w:color w:val="000000" w:themeColor="text1"/>
                <w:sz w:val="24"/>
                <w:szCs w:val="24"/>
                <w:highlight w:val="none"/>
                <w14:textFill>
                  <w14:solidFill>
                    <w14:schemeClr w14:val="tx1"/>
                  </w14:solidFill>
                </w14:textFill>
              </w:rPr>
              <w:t>q+m</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地层中渗透性较强，有利于地下水运移，总体处于一个稳定的水平，推测地下水位全年变幅在1--3m之间。</w:t>
            </w:r>
          </w:p>
          <w:p w14:paraId="31B917BD">
            <w:pPr>
              <w:widowControl/>
              <w:ind w:firstLine="482"/>
              <w:jc w:val="left"/>
              <w:rPr>
                <w:rFonts w:hint="default" w:ascii="Times New Roman" w:hAnsi="Times New Roman" w:eastAsia="宋体" w:cs="Times New Roman"/>
                <w:b/>
                <w:bCs/>
                <w:color w:val="000000" w:themeColor="text1"/>
                <w:kern w:val="0"/>
                <w:lang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14:textFill>
                  <w14:solidFill>
                    <w14:schemeClr w14:val="tx1"/>
                  </w14:solidFill>
                </w14:textFill>
              </w:rPr>
              <w:t>场址区地下水位静水位标高2034.5-2070.2m，动水位标高2036.0-2072.2m。</w:t>
            </w:r>
          </w:p>
          <w:bookmarkEnd w:id="54"/>
          <w:p w14:paraId="2E0D4FFD">
            <w:pPr>
              <w:widowControl/>
              <w:ind w:firstLine="482"/>
              <w:jc w:val="left"/>
              <w:rPr>
                <w:rFonts w:hint="eastAsia" w:ascii="Times New Roman" w:hAnsi="Times New Roman" w:eastAsia="宋体" w:cs="Times New Roman"/>
                <w:b/>
                <w:bCs/>
                <w:color w:val="000000" w:themeColor="text1"/>
                <w:kern w:val="0"/>
                <w:lang w:bidi="ar"/>
                <w14:textFill>
                  <w14:solidFill>
                    <w14:schemeClr w14:val="tx1"/>
                  </w14:solidFill>
                </w14:textFill>
              </w:rPr>
            </w:pPr>
            <w:r>
              <w:rPr>
                <w:rFonts w:hint="eastAsia" w:ascii="Times New Roman" w:hAnsi="Times New Roman" w:eastAsia="宋体" w:cs="Times New Roman"/>
                <w:b/>
                <w:bCs/>
                <w:color w:val="000000" w:themeColor="text1"/>
                <w:kern w:val="0"/>
                <w:lang w:bidi="ar"/>
                <w14:textFill>
                  <w14:solidFill>
                    <w14:schemeClr w14:val="tx1"/>
                  </w14:solidFill>
                </w14:textFill>
              </w:rPr>
              <w:t>4.11</w:t>
            </w:r>
            <w:bookmarkEnd w:id="52"/>
            <w:bookmarkEnd w:id="53"/>
            <w:r>
              <w:rPr>
                <w:rFonts w:hint="eastAsia" w:ascii="Times New Roman" w:hAnsi="Times New Roman" w:eastAsia="宋体" w:cs="Times New Roman"/>
                <w:b/>
                <w:bCs/>
                <w:color w:val="000000" w:themeColor="text1"/>
                <w:kern w:val="0"/>
                <w:lang w:bidi="ar"/>
                <w14:textFill>
                  <w14:solidFill>
                    <w14:schemeClr w14:val="tx1"/>
                  </w14:solidFill>
                </w14:textFill>
              </w:rPr>
              <w:t>岩溶发育规律及特征及勘察调查成果</w:t>
            </w:r>
          </w:p>
          <w:p w14:paraId="4D03F47A">
            <w:pPr>
              <w:widowControl/>
              <w:spacing w:line="360" w:lineRule="auto"/>
              <w:ind w:firstLine="480" w:firstLineChars="200"/>
              <w:jc w:val="left"/>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highlight w:val="none"/>
                <w14:textFill>
                  <w14:solidFill>
                    <w14:schemeClr w14:val="tx1"/>
                  </w14:solidFill>
                </w14:textFill>
              </w:rPr>
              <w:t>调查区碳酸盐岩地层主要有</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古生界二叠系下统（</w:t>
            </w:r>
            <w:r>
              <w:rPr>
                <w:rFonts w:hint="default" w:ascii="Times New Roman" w:hAnsi="Times New Roman" w:eastAsia="宋体" w:cs="Times New Roman"/>
                <w:color w:val="000000" w:themeColor="text1"/>
                <w:sz w:val="24"/>
                <w:szCs w:val="24"/>
                <w:highlight w:val="none"/>
                <w14:textFill>
                  <w14:solidFill>
                    <w14:schemeClr w14:val="tx1"/>
                  </w14:solidFill>
                </w14:textFill>
              </w:rPr>
              <w:t>P</w:t>
            </w:r>
            <w:r>
              <w:rPr>
                <w:rFonts w:hint="default" w:ascii="Times New Roman" w:hAnsi="Times New Roman" w:eastAsia="宋体" w:cs="Times New Roman"/>
                <w:color w:val="000000" w:themeColor="text1"/>
                <w:sz w:val="24"/>
                <w:szCs w:val="24"/>
                <w:highlight w:val="none"/>
                <w:vertAlign w:val="subscript"/>
                <w14:textFill>
                  <w14:solidFill>
                    <w14:schemeClr w14:val="tx1"/>
                  </w14:solidFill>
                </w14:textFill>
              </w:rPr>
              <w:t>1</w:t>
            </w:r>
            <w:r>
              <w:rPr>
                <w:rFonts w:hint="default" w:ascii="Times New Roman" w:hAnsi="Times New Roman" w:eastAsia="宋体" w:cs="Times New Roman"/>
                <w:i/>
                <w:color w:val="000000" w:themeColor="text1"/>
                <w:sz w:val="24"/>
                <w:szCs w:val="24"/>
                <w:highlight w:val="none"/>
                <w14:textFill>
                  <w14:solidFill>
                    <w14:schemeClr w14:val="tx1"/>
                  </w14:solidFill>
                </w14:textFill>
              </w:rPr>
              <w:t>q+m</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）栖霞茅口组、石炭系上-中统（C</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2-3</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）、下统（C</w:t>
            </w:r>
            <w:r>
              <w:rPr>
                <w:rFonts w:hint="default" w:ascii="Times New Roman" w:hAnsi="Times New Roman" w:eastAsia="宋体" w:cs="Times New Roman"/>
                <w:color w:val="000000" w:themeColor="text1"/>
                <w:spacing w:val="-10"/>
                <w:sz w:val="24"/>
                <w:szCs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pacing w:val="-10"/>
                <w:sz w:val="24"/>
                <w:szCs w:val="24"/>
                <w:highlight w:val="none"/>
                <w14:textFill>
                  <w14:solidFill>
                    <w14:schemeClr w14:val="tx1"/>
                  </w14:solidFill>
                </w14:textFill>
              </w:rPr>
              <w:t>）</w:t>
            </w:r>
            <w:r>
              <w:rPr>
                <w:rFonts w:hint="default" w:ascii="Times New Roman" w:hAnsi="Times New Roman" w:eastAsia="宋体" w:cs="Times New Roman"/>
                <w:color w:val="000000" w:themeColor="text1"/>
                <w:sz w:val="24"/>
                <w:szCs w:val="24"/>
                <w:highlight w:val="none"/>
                <w14:textFill>
                  <w14:solidFill>
                    <w14:schemeClr w14:val="tx1"/>
                  </w14:solidFill>
                </w14:textFill>
              </w:rPr>
              <w:t>，岩性以隐晶灰岩、灰岩、白云质灰岩、细晶白云岩、白云岩为主。根据工勘报告资料，为了查清场地内基岩的埋深及碳酸盐岩的岩溶发育程度，除钻孔及探井外，还布置了高密度电法勘探。</w:t>
            </w:r>
          </w:p>
          <w:p w14:paraId="0328705A">
            <w:pPr>
              <w:spacing w:line="360" w:lineRule="auto"/>
              <w:ind w:firstLine="600" w:firstLineChars="250"/>
              <w:rPr>
                <w:rFonts w:hint="default" w:ascii="Times New Roman" w:hAnsi="Times New Roman" w:eastAsia="宋体" w:cs="Times New Roman"/>
                <w:color w:val="000000" w:themeColor="text1"/>
                <w:sz w:val="24"/>
                <w:szCs w:val="24"/>
                <w:highlight w:val="none"/>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highlight w:val="none"/>
                <w14:textFill>
                  <w14:solidFill>
                    <w14:schemeClr w14:val="tx1"/>
                  </w14:solidFill>
                </w14:textFill>
              </w:rPr>
              <w:t>根据高密度电法勘探（见物探报告）</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r>
              <w:rPr>
                <w:rFonts w:hint="default" w:ascii="Times New Roman" w:hAnsi="Times New Roman" w:eastAsia="宋体" w:cs="Times New Roman"/>
                <w:color w:val="000000" w:themeColor="text1"/>
                <w:kern w:val="0"/>
                <w:sz w:val="24"/>
                <w:szCs w:val="24"/>
                <w:highlight w:val="none"/>
                <w14:textFill>
                  <w14:solidFill>
                    <w14:schemeClr w14:val="tx1"/>
                  </w14:solidFill>
                </w14:textFill>
              </w:rPr>
              <w:t>昆明市寻甸县鸡街镇大旋塘南部采石场生态修复治理工程物探勘察共布置14条物探测线。</w:t>
            </w:r>
            <w:r>
              <w:rPr>
                <w:rFonts w:hint="default" w:ascii="Times New Roman" w:hAnsi="Times New Roman" w:eastAsia="宋体" w:cs="Times New Roman"/>
                <w:color w:val="000000" w:themeColor="text1"/>
                <w:sz w:val="24"/>
                <w:szCs w:val="24"/>
                <w:highlight w:val="none"/>
                <w14:textFill>
                  <w14:solidFill>
                    <w14:schemeClr w14:val="tx1"/>
                  </w14:solidFill>
                </w14:textFill>
              </w:rPr>
              <w:t>物探勘察结果：测区第四系盖层厚度约0～41.5m，剖面上未发现明显的岩溶异常，本次探测深度范围内未发现明显的构造异常。</w:t>
            </w:r>
          </w:p>
          <w:p w14:paraId="170C163F">
            <w:pPr>
              <w:widowControl/>
              <w:ind w:firstLine="480"/>
              <w:jc w:val="left"/>
              <w:rPr>
                <w:rFonts w:hint="default" w:ascii="Times New Roman" w:hAnsi="Times New Roman" w:eastAsia="宋体" w:cs="Times New Roman"/>
                <w:color w:val="000000" w:themeColor="text1"/>
                <w:kern w:val="0"/>
                <w:sz w:val="24"/>
                <w:szCs w:val="24"/>
                <w:lang w:eastAsia="zh-CN" w:bidi="ar"/>
                <w14:textFill>
                  <w14:solidFill>
                    <w14:schemeClr w14:val="tx1"/>
                  </w14:solidFill>
                </w14:textFill>
              </w:rPr>
            </w:pPr>
            <w:r>
              <w:rPr>
                <w:rFonts w:hint="default" w:ascii="Times New Roman" w:hAnsi="Times New Roman" w:eastAsia="宋体" w:cs="Times New Roman"/>
                <w:color w:val="000000" w:themeColor="text1"/>
                <w:sz w:val="24"/>
                <w:szCs w:val="24"/>
                <w:highlight w:val="none"/>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highlight w:val="none"/>
                <w14:textFill>
                  <w14:solidFill>
                    <w14:schemeClr w14:val="tx1"/>
                  </w14:solidFill>
                </w14:textFill>
              </w:rPr>
              <w:t>场地西部为玄武岩分布区，东部为碳酸盐岩分布区，生态修复范围为碳酸盐岩分布区。碳酸盐岩部分地段覆盖了第四系土层，下伏可溶岩，部分地段基岩裸露，生态修复场地为岩溶场地。由于受地质构造作用的影响，岩体裂隙发育，主要以陡倾裂隙为主，裂隙发育状况为场地岩溶的发育提供了条件。场地内基岩表面岩溶发育，岩溶形态以隐伏溶沟、溶槽、石芽（笋）为主，以及石芽（笋）脱离岩石基座所形成的孤石；局部位置形成溶洞和落水洞。溶沟（槽）内大部分充填有硬塑状态粘性土，少部分地段混有少量碎石。场地浅表型岩溶的发育造成基岩面起伏较大</w:t>
            </w:r>
            <w:r>
              <w:rPr>
                <w:rFonts w:hint="default" w:ascii="Times New Roman" w:hAnsi="Times New Roman" w:eastAsia="宋体" w:cs="Times New Roman"/>
                <w:color w:val="000000" w:themeColor="text1"/>
                <w:sz w:val="24"/>
                <w:szCs w:val="24"/>
                <w:highlight w:val="none"/>
                <w:lang w:eastAsia="zh-CN"/>
                <w14:textFill>
                  <w14:solidFill>
                    <w14:schemeClr w14:val="tx1"/>
                  </w14:solidFill>
                </w14:textFill>
              </w:rPr>
              <w:t>。</w:t>
            </w:r>
          </w:p>
          <w:p w14:paraId="608A14A0">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根据水文勘察报告可知项目场下伏处于岩溶区，地层由二叠系阳新组（P</w:t>
            </w:r>
            <w:r>
              <w:rPr>
                <w:rFonts w:hint="eastAsia"/>
                <w:color w:val="000000" w:themeColor="text1"/>
                <w:kern w:val="0"/>
                <w:sz w:val="12"/>
                <w:szCs w:val="12"/>
                <w:lang w:bidi="ar"/>
                <w14:textFill>
                  <w14:solidFill>
                    <w14:schemeClr w14:val="tx1"/>
                  </w14:solidFill>
                </w14:textFill>
              </w:rPr>
              <w:t>1</w:t>
            </w:r>
            <w:r>
              <w:rPr>
                <w:rFonts w:hint="eastAsia"/>
                <w:color w:val="000000" w:themeColor="text1"/>
                <w:kern w:val="0"/>
                <w:lang w:bidi="ar"/>
                <w14:textFill>
                  <w14:solidFill>
                    <w14:schemeClr w14:val="tx1"/>
                  </w14:solidFill>
                </w14:textFill>
              </w:rPr>
              <w:t>y）灰岩组成。该层为碳酸盐岩地层，其岩石化学成分以钙、镁为主与其他成分组合，属可溶性岩类，具备岩溶发育的条件。</w:t>
            </w:r>
          </w:p>
          <w:p w14:paraId="29AE90E5">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区物探勘察共布置7条高密度电法测线、4条瞬变电磁法测线，物探勘察结果，测区存在19个物探异常区，异常区主要为沿测线有一定宽度的相对低阻区。推测为灰岩溶蚀裂隙较发育并充填粘性土、岩体破碎，详情见下表。</w:t>
            </w:r>
          </w:p>
          <w:p w14:paraId="41A78C5B">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表4-</w:t>
            </w:r>
            <w:r>
              <w:rPr>
                <w:rFonts w:hint="eastAsia" w:ascii="宋体" w:hAnsi="宋体" w:eastAsia="宋体" w:cs="宋体"/>
                <w:b/>
                <w:color w:val="000000" w:themeColor="text1"/>
                <w:sz w:val="24"/>
                <w:highlight w:val="none"/>
                <w:lang w:val="en-US" w:eastAsia="zh-CN"/>
                <w14:textFill>
                  <w14:solidFill>
                    <w14:schemeClr w14:val="tx1"/>
                  </w14:solidFill>
                </w14:textFill>
              </w:rPr>
              <w:t xml:space="preserve">9 </w:t>
            </w:r>
            <w:r>
              <w:rPr>
                <w:rFonts w:hint="eastAsia" w:ascii="宋体" w:hAnsi="宋体" w:eastAsia="宋体" w:cs="宋体"/>
                <w:b/>
                <w:color w:val="000000" w:themeColor="text1"/>
                <w:sz w:val="24"/>
                <w:highlight w:val="none"/>
                <w14:textFill>
                  <w14:solidFill>
                    <w14:schemeClr w14:val="tx1"/>
                  </w14:solidFill>
                </w14:textFill>
              </w:rPr>
              <w:t xml:space="preserve"> 测区物探异常区统计表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1"/>
              <w:gridCol w:w="957"/>
              <w:gridCol w:w="2911"/>
              <w:gridCol w:w="1565"/>
              <w:gridCol w:w="1565"/>
            </w:tblGrid>
            <w:tr w14:paraId="0949D3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6EC12FD2">
                  <w:pPr>
                    <w:widowControl/>
                    <w:adjustRightInd w:val="0"/>
                    <w:snapToGrid w:val="0"/>
                    <w:spacing w:line="240" w:lineRule="auto"/>
                    <w:ind w:firstLine="0" w:firstLineChars="0"/>
                    <w:jc w:val="center"/>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编号</w:t>
                  </w:r>
                </w:p>
              </w:tc>
              <w:tc>
                <w:tcPr>
                  <w:tcW w:w="612" w:type="pct"/>
                  <w:vAlign w:val="center"/>
                </w:tcPr>
                <w:p w14:paraId="45934A63">
                  <w:pPr>
                    <w:widowControl/>
                    <w:adjustRightInd w:val="0"/>
                    <w:snapToGrid w:val="0"/>
                    <w:spacing w:line="240" w:lineRule="auto"/>
                    <w:ind w:firstLine="0" w:firstLineChars="0"/>
                    <w:jc w:val="center"/>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测线</w:t>
                  </w:r>
                </w:p>
              </w:tc>
              <w:tc>
                <w:tcPr>
                  <w:tcW w:w="1860" w:type="pct"/>
                  <w:vAlign w:val="center"/>
                </w:tcPr>
                <w:p w14:paraId="326ACEEA">
                  <w:pPr>
                    <w:widowControl/>
                    <w:adjustRightInd w:val="0"/>
                    <w:snapToGrid w:val="0"/>
                    <w:spacing w:line="240" w:lineRule="auto"/>
                    <w:ind w:firstLine="0" w:firstLineChars="0"/>
                    <w:jc w:val="center"/>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范围</w:t>
                  </w:r>
                </w:p>
              </w:tc>
              <w:tc>
                <w:tcPr>
                  <w:tcW w:w="1000" w:type="pct"/>
                  <w:vAlign w:val="center"/>
                </w:tcPr>
                <w:p w14:paraId="27D2ED58">
                  <w:pPr>
                    <w:widowControl/>
                    <w:adjustRightInd w:val="0"/>
                    <w:snapToGrid w:val="0"/>
                    <w:spacing w:line="240" w:lineRule="auto"/>
                    <w:ind w:firstLine="0" w:firstLineChars="0"/>
                    <w:jc w:val="center"/>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物探方法</w:t>
                  </w:r>
                </w:p>
              </w:tc>
              <w:tc>
                <w:tcPr>
                  <w:tcW w:w="1000" w:type="pct"/>
                  <w:vAlign w:val="center"/>
                </w:tcPr>
                <w:p w14:paraId="55DCF3C9">
                  <w:pPr>
                    <w:widowControl/>
                    <w:adjustRightInd w:val="0"/>
                    <w:snapToGrid w:val="0"/>
                    <w:spacing w:line="240" w:lineRule="auto"/>
                    <w:ind w:firstLine="0" w:firstLineChars="0"/>
                    <w:jc w:val="center"/>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解释</w:t>
                  </w:r>
                </w:p>
              </w:tc>
            </w:tr>
            <w:tr w14:paraId="3A7349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74B908D1">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w:t>
                  </w:r>
                </w:p>
              </w:tc>
              <w:tc>
                <w:tcPr>
                  <w:tcW w:w="612" w:type="pct"/>
                  <w:vAlign w:val="center"/>
                </w:tcPr>
                <w:p w14:paraId="0F519350">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D2</w:t>
                  </w:r>
                </w:p>
              </w:tc>
              <w:tc>
                <w:tcPr>
                  <w:tcW w:w="1860" w:type="pct"/>
                  <w:vAlign w:val="center"/>
                </w:tcPr>
                <w:p w14:paraId="61E008B7">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测线段354～365m</w:t>
                  </w:r>
                </w:p>
              </w:tc>
              <w:tc>
                <w:tcPr>
                  <w:tcW w:w="1000" w:type="pct"/>
                  <w:vMerge w:val="restart"/>
                  <w:vAlign w:val="center"/>
                </w:tcPr>
                <w:p w14:paraId="1BDF3219">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高密度电法</w:t>
                  </w:r>
                </w:p>
              </w:tc>
              <w:tc>
                <w:tcPr>
                  <w:tcW w:w="1000" w:type="pct"/>
                  <w:vMerge w:val="restart"/>
                  <w:vAlign w:val="center"/>
                </w:tcPr>
                <w:p w14:paraId="0630B8D6">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灰岩裂隙较发育并充填粘性土、岩体破碎</w:t>
                  </w:r>
                </w:p>
              </w:tc>
            </w:tr>
            <w:tr w14:paraId="15C8A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22766175">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c>
                <w:tcPr>
                  <w:tcW w:w="612" w:type="pct"/>
                  <w:vAlign w:val="center"/>
                </w:tcPr>
                <w:p w14:paraId="7DDD6BF8">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D3</w:t>
                  </w:r>
                </w:p>
              </w:tc>
              <w:tc>
                <w:tcPr>
                  <w:tcW w:w="1860" w:type="pct"/>
                  <w:vAlign w:val="center"/>
                </w:tcPr>
                <w:p w14:paraId="212FED51">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测线段315～322m</w:t>
                  </w:r>
                </w:p>
              </w:tc>
              <w:tc>
                <w:tcPr>
                  <w:tcW w:w="1000" w:type="pct"/>
                  <w:vMerge w:val="continue"/>
                  <w:vAlign w:val="center"/>
                </w:tcPr>
                <w:p w14:paraId="1B3A1A3C">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c>
                <w:tcPr>
                  <w:tcW w:w="1000" w:type="pct"/>
                  <w:vMerge w:val="continue"/>
                  <w:vAlign w:val="center"/>
                </w:tcPr>
                <w:p w14:paraId="15A938C5">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r>
            <w:tr w14:paraId="5C2F9B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347A6AAC">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w:t>
                  </w:r>
                </w:p>
              </w:tc>
              <w:tc>
                <w:tcPr>
                  <w:tcW w:w="612" w:type="pct"/>
                  <w:vAlign w:val="center"/>
                </w:tcPr>
                <w:p w14:paraId="5B5F587E">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D3</w:t>
                  </w:r>
                </w:p>
              </w:tc>
              <w:tc>
                <w:tcPr>
                  <w:tcW w:w="1860" w:type="pct"/>
                  <w:vAlign w:val="center"/>
                </w:tcPr>
                <w:p w14:paraId="3BEE0131">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测线段352～365m</w:t>
                  </w:r>
                </w:p>
              </w:tc>
              <w:tc>
                <w:tcPr>
                  <w:tcW w:w="1000" w:type="pct"/>
                  <w:vMerge w:val="continue"/>
                  <w:vAlign w:val="center"/>
                </w:tcPr>
                <w:p w14:paraId="49D2BD72">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c>
                <w:tcPr>
                  <w:tcW w:w="1000" w:type="pct"/>
                  <w:vMerge w:val="continue"/>
                  <w:vAlign w:val="center"/>
                </w:tcPr>
                <w:p w14:paraId="03B6C1D8">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r>
            <w:tr w14:paraId="4728E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31AAE938">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w:t>
                  </w:r>
                </w:p>
              </w:tc>
              <w:tc>
                <w:tcPr>
                  <w:tcW w:w="612" w:type="pct"/>
                  <w:vAlign w:val="center"/>
                </w:tcPr>
                <w:p w14:paraId="43DD3CFF">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D4</w:t>
                  </w:r>
                </w:p>
              </w:tc>
              <w:tc>
                <w:tcPr>
                  <w:tcW w:w="1860" w:type="pct"/>
                  <w:vAlign w:val="center"/>
                </w:tcPr>
                <w:p w14:paraId="1350050D">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测线段337～367m</w:t>
                  </w:r>
                </w:p>
              </w:tc>
              <w:tc>
                <w:tcPr>
                  <w:tcW w:w="1000" w:type="pct"/>
                  <w:vMerge w:val="continue"/>
                  <w:vAlign w:val="center"/>
                </w:tcPr>
                <w:p w14:paraId="098BF0D0">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c>
                <w:tcPr>
                  <w:tcW w:w="1000" w:type="pct"/>
                  <w:vMerge w:val="continue"/>
                  <w:vAlign w:val="center"/>
                </w:tcPr>
                <w:p w14:paraId="3309711A">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r>
            <w:tr w14:paraId="4294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1D165617">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5</w:t>
                  </w:r>
                </w:p>
              </w:tc>
              <w:tc>
                <w:tcPr>
                  <w:tcW w:w="612" w:type="pct"/>
                  <w:vAlign w:val="center"/>
                </w:tcPr>
                <w:p w14:paraId="059EA22B">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D5</w:t>
                  </w:r>
                </w:p>
              </w:tc>
              <w:tc>
                <w:tcPr>
                  <w:tcW w:w="1860" w:type="pct"/>
                  <w:vAlign w:val="center"/>
                </w:tcPr>
                <w:p w14:paraId="72376A24">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测线段313～333m</w:t>
                  </w:r>
                </w:p>
              </w:tc>
              <w:tc>
                <w:tcPr>
                  <w:tcW w:w="1000" w:type="pct"/>
                  <w:vMerge w:val="continue"/>
                  <w:vAlign w:val="center"/>
                </w:tcPr>
                <w:p w14:paraId="54C9EE72">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c>
                <w:tcPr>
                  <w:tcW w:w="1000" w:type="pct"/>
                  <w:vMerge w:val="continue"/>
                  <w:vAlign w:val="center"/>
                </w:tcPr>
                <w:p w14:paraId="09A4333B">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r>
            <w:tr w14:paraId="1878A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03F17CEF">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6</w:t>
                  </w:r>
                </w:p>
              </w:tc>
              <w:tc>
                <w:tcPr>
                  <w:tcW w:w="612" w:type="pct"/>
                  <w:vAlign w:val="center"/>
                </w:tcPr>
                <w:p w14:paraId="0FF4FFDD">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D8</w:t>
                  </w:r>
                </w:p>
              </w:tc>
              <w:tc>
                <w:tcPr>
                  <w:tcW w:w="1860" w:type="pct"/>
                  <w:vAlign w:val="center"/>
                </w:tcPr>
                <w:p w14:paraId="19FF260E">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测线段82～88m</w:t>
                  </w:r>
                </w:p>
              </w:tc>
              <w:tc>
                <w:tcPr>
                  <w:tcW w:w="1000" w:type="pct"/>
                  <w:vMerge w:val="restart"/>
                  <w:vAlign w:val="center"/>
                </w:tcPr>
                <w:p w14:paraId="09C05AA5">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瞬变电磁法</w:t>
                  </w:r>
                </w:p>
              </w:tc>
              <w:tc>
                <w:tcPr>
                  <w:tcW w:w="1000" w:type="pct"/>
                  <w:vMerge w:val="continue"/>
                  <w:vAlign w:val="center"/>
                </w:tcPr>
                <w:p w14:paraId="507D908E">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r>
            <w:tr w14:paraId="3D48A1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40F4C42A">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7</w:t>
                  </w:r>
                </w:p>
              </w:tc>
              <w:tc>
                <w:tcPr>
                  <w:tcW w:w="612" w:type="pct"/>
                  <w:vAlign w:val="center"/>
                </w:tcPr>
                <w:p w14:paraId="33434AE6">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D8</w:t>
                  </w:r>
                </w:p>
              </w:tc>
              <w:tc>
                <w:tcPr>
                  <w:tcW w:w="1860" w:type="pct"/>
                  <w:vAlign w:val="center"/>
                </w:tcPr>
                <w:p w14:paraId="5D2DFE2A">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测线段97～103m</w:t>
                  </w:r>
                </w:p>
              </w:tc>
              <w:tc>
                <w:tcPr>
                  <w:tcW w:w="1000" w:type="pct"/>
                  <w:vMerge w:val="continue"/>
                  <w:vAlign w:val="center"/>
                </w:tcPr>
                <w:p w14:paraId="71A2CCEA">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c>
                <w:tcPr>
                  <w:tcW w:w="1000" w:type="pct"/>
                  <w:vMerge w:val="continue"/>
                  <w:vAlign w:val="center"/>
                </w:tcPr>
                <w:p w14:paraId="4FA6CBA9">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r>
            <w:tr w14:paraId="108C08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1335363B">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8</w:t>
                  </w:r>
                </w:p>
              </w:tc>
              <w:tc>
                <w:tcPr>
                  <w:tcW w:w="612" w:type="pct"/>
                  <w:vAlign w:val="center"/>
                </w:tcPr>
                <w:p w14:paraId="7BE2E299">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D8</w:t>
                  </w:r>
                </w:p>
              </w:tc>
              <w:tc>
                <w:tcPr>
                  <w:tcW w:w="1860" w:type="pct"/>
                  <w:vAlign w:val="center"/>
                </w:tcPr>
                <w:p w14:paraId="600A2F39">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测线段306～313m</w:t>
                  </w:r>
                </w:p>
              </w:tc>
              <w:tc>
                <w:tcPr>
                  <w:tcW w:w="1000" w:type="pct"/>
                  <w:vMerge w:val="continue"/>
                  <w:vAlign w:val="center"/>
                </w:tcPr>
                <w:p w14:paraId="41491F4E">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c>
                <w:tcPr>
                  <w:tcW w:w="1000" w:type="pct"/>
                  <w:vMerge w:val="continue"/>
                  <w:vAlign w:val="center"/>
                </w:tcPr>
                <w:p w14:paraId="3431C2E6">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r>
            <w:tr w14:paraId="2AA203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06E05D63">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9</w:t>
                  </w:r>
                </w:p>
              </w:tc>
              <w:tc>
                <w:tcPr>
                  <w:tcW w:w="612" w:type="pct"/>
                  <w:vAlign w:val="center"/>
                </w:tcPr>
                <w:p w14:paraId="2E8F92BC">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D8</w:t>
                  </w:r>
                </w:p>
              </w:tc>
              <w:tc>
                <w:tcPr>
                  <w:tcW w:w="1860" w:type="pct"/>
                  <w:vAlign w:val="center"/>
                </w:tcPr>
                <w:p w14:paraId="582DFD24">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测线段366～373m</w:t>
                  </w:r>
                </w:p>
              </w:tc>
              <w:tc>
                <w:tcPr>
                  <w:tcW w:w="1000" w:type="pct"/>
                  <w:vMerge w:val="continue"/>
                  <w:vAlign w:val="center"/>
                </w:tcPr>
                <w:p w14:paraId="53B3ED61">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c>
                <w:tcPr>
                  <w:tcW w:w="1000" w:type="pct"/>
                  <w:vMerge w:val="continue"/>
                  <w:vAlign w:val="center"/>
                </w:tcPr>
                <w:p w14:paraId="737E2623">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r>
            <w:tr w14:paraId="1F5727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4213FB23">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10</w:t>
                  </w:r>
                </w:p>
              </w:tc>
              <w:tc>
                <w:tcPr>
                  <w:tcW w:w="612" w:type="pct"/>
                  <w:vAlign w:val="center"/>
                </w:tcPr>
                <w:p w14:paraId="7729DACB">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D9</w:t>
                  </w:r>
                </w:p>
              </w:tc>
              <w:tc>
                <w:tcPr>
                  <w:tcW w:w="1860" w:type="pct"/>
                  <w:vAlign w:val="center"/>
                </w:tcPr>
                <w:p w14:paraId="114CF48E">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测线段99～103m</w:t>
                  </w:r>
                </w:p>
              </w:tc>
              <w:tc>
                <w:tcPr>
                  <w:tcW w:w="1000" w:type="pct"/>
                  <w:vMerge w:val="continue"/>
                  <w:vAlign w:val="center"/>
                </w:tcPr>
                <w:p w14:paraId="68B69945">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c>
                <w:tcPr>
                  <w:tcW w:w="1000" w:type="pct"/>
                  <w:vMerge w:val="continue"/>
                  <w:vAlign w:val="center"/>
                </w:tcPr>
                <w:p w14:paraId="7C6008E3">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r>
            <w:tr w14:paraId="183283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6F72D609">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11</w:t>
                  </w:r>
                </w:p>
              </w:tc>
              <w:tc>
                <w:tcPr>
                  <w:tcW w:w="612" w:type="pct"/>
                  <w:vAlign w:val="center"/>
                </w:tcPr>
                <w:p w14:paraId="7696DC39">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D9</w:t>
                  </w:r>
                </w:p>
              </w:tc>
              <w:tc>
                <w:tcPr>
                  <w:tcW w:w="1860" w:type="pct"/>
                  <w:vAlign w:val="center"/>
                </w:tcPr>
                <w:p w14:paraId="644A9C67">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测线段275～282m</w:t>
                  </w:r>
                </w:p>
              </w:tc>
              <w:tc>
                <w:tcPr>
                  <w:tcW w:w="1000" w:type="pct"/>
                  <w:vMerge w:val="continue"/>
                  <w:vAlign w:val="center"/>
                </w:tcPr>
                <w:p w14:paraId="3041F065">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c>
                <w:tcPr>
                  <w:tcW w:w="1000" w:type="pct"/>
                  <w:vMerge w:val="continue"/>
                  <w:vAlign w:val="center"/>
                </w:tcPr>
                <w:p w14:paraId="4F0437EA">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r>
            <w:tr w14:paraId="1CEA7A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1C22F79A">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12</w:t>
                  </w:r>
                </w:p>
              </w:tc>
              <w:tc>
                <w:tcPr>
                  <w:tcW w:w="612" w:type="pct"/>
                  <w:vAlign w:val="center"/>
                </w:tcPr>
                <w:p w14:paraId="54835B94">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D9</w:t>
                  </w:r>
                </w:p>
              </w:tc>
              <w:tc>
                <w:tcPr>
                  <w:tcW w:w="1860" w:type="pct"/>
                  <w:vAlign w:val="center"/>
                </w:tcPr>
                <w:p w14:paraId="1FF03A39">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测线段393～396m</w:t>
                  </w:r>
                </w:p>
              </w:tc>
              <w:tc>
                <w:tcPr>
                  <w:tcW w:w="1000" w:type="pct"/>
                  <w:vMerge w:val="continue"/>
                  <w:vAlign w:val="center"/>
                </w:tcPr>
                <w:p w14:paraId="4974AD4B">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c>
                <w:tcPr>
                  <w:tcW w:w="1000" w:type="pct"/>
                  <w:vMerge w:val="continue"/>
                  <w:vAlign w:val="center"/>
                </w:tcPr>
                <w:p w14:paraId="34ECA9F4">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r>
            <w:tr w14:paraId="16B9F6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054800D7">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13</w:t>
                  </w:r>
                </w:p>
              </w:tc>
              <w:tc>
                <w:tcPr>
                  <w:tcW w:w="612" w:type="pct"/>
                  <w:vAlign w:val="center"/>
                </w:tcPr>
                <w:p w14:paraId="40F0415F">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D10</w:t>
                  </w:r>
                </w:p>
              </w:tc>
              <w:tc>
                <w:tcPr>
                  <w:tcW w:w="1860" w:type="pct"/>
                  <w:vAlign w:val="center"/>
                </w:tcPr>
                <w:p w14:paraId="00EA64BF">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测线段65～70m</w:t>
                  </w:r>
                </w:p>
              </w:tc>
              <w:tc>
                <w:tcPr>
                  <w:tcW w:w="1000" w:type="pct"/>
                  <w:vMerge w:val="continue"/>
                  <w:vAlign w:val="center"/>
                </w:tcPr>
                <w:p w14:paraId="361C60CB">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c>
                <w:tcPr>
                  <w:tcW w:w="1000" w:type="pct"/>
                  <w:vMerge w:val="continue"/>
                  <w:vAlign w:val="center"/>
                </w:tcPr>
                <w:p w14:paraId="6E7EF471">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r>
            <w:tr w14:paraId="631D33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1ACF3E5C">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14</w:t>
                  </w:r>
                </w:p>
              </w:tc>
              <w:tc>
                <w:tcPr>
                  <w:tcW w:w="612" w:type="pct"/>
                  <w:vAlign w:val="center"/>
                </w:tcPr>
                <w:p w14:paraId="4F1443AD">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D10</w:t>
                  </w:r>
                </w:p>
              </w:tc>
              <w:tc>
                <w:tcPr>
                  <w:tcW w:w="1860" w:type="pct"/>
                  <w:vAlign w:val="center"/>
                </w:tcPr>
                <w:p w14:paraId="0ED397D9">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测线段115～117m</w:t>
                  </w:r>
                </w:p>
              </w:tc>
              <w:tc>
                <w:tcPr>
                  <w:tcW w:w="1000" w:type="pct"/>
                  <w:vMerge w:val="continue"/>
                  <w:vAlign w:val="center"/>
                </w:tcPr>
                <w:p w14:paraId="046757E2">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c>
                <w:tcPr>
                  <w:tcW w:w="1000" w:type="pct"/>
                  <w:vMerge w:val="continue"/>
                  <w:vAlign w:val="center"/>
                </w:tcPr>
                <w:p w14:paraId="006A3B13">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r>
            <w:tr w14:paraId="7BF71F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3FA26616">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15</w:t>
                  </w:r>
                </w:p>
              </w:tc>
              <w:tc>
                <w:tcPr>
                  <w:tcW w:w="612" w:type="pct"/>
                  <w:vAlign w:val="center"/>
                </w:tcPr>
                <w:p w14:paraId="46490AB5">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D10</w:t>
                  </w:r>
                </w:p>
              </w:tc>
              <w:tc>
                <w:tcPr>
                  <w:tcW w:w="1860" w:type="pct"/>
                  <w:vAlign w:val="center"/>
                </w:tcPr>
                <w:p w14:paraId="21B54E06">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测线段172～177m</w:t>
                  </w:r>
                </w:p>
              </w:tc>
              <w:tc>
                <w:tcPr>
                  <w:tcW w:w="1000" w:type="pct"/>
                  <w:vMerge w:val="continue"/>
                  <w:vAlign w:val="center"/>
                </w:tcPr>
                <w:p w14:paraId="649BBD20">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c>
                <w:tcPr>
                  <w:tcW w:w="1000" w:type="pct"/>
                  <w:vMerge w:val="continue"/>
                  <w:vAlign w:val="center"/>
                </w:tcPr>
                <w:p w14:paraId="66A7D58E">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r>
            <w:tr w14:paraId="5E6E1A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03DEAF3B">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16</w:t>
                  </w:r>
                </w:p>
              </w:tc>
              <w:tc>
                <w:tcPr>
                  <w:tcW w:w="612" w:type="pct"/>
                  <w:vAlign w:val="center"/>
                </w:tcPr>
                <w:p w14:paraId="4BA65C48">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D11</w:t>
                  </w:r>
                </w:p>
              </w:tc>
              <w:tc>
                <w:tcPr>
                  <w:tcW w:w="1860" w:type="pct"/>
                  <w:vAlign w:val="center"/>
                </w:tcPr>
                <w:p w14:paraId="5ABC0F50">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测线段47～51m</w:t>
                  </w:r>
                </w:p>
              </w:tc>
              <w:tc>
                <w:tcPr>
                  <w:tcW w:w="1000" w:type="pct"/>
                  <w:vMerge w:val="continue"/>
                  <w:vAlign w:val="center"/>
                </w:tcPr>
                <w:p w14:paraId="5650A97A">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c>
                <w:tcPr>
                  <w:tcW w:w="1000" w:type="pct"/>
                  <w:vMerge w:val="continue"/>
                  <w:vAlign w:val="center"/>
                </w:tcPr>
                <w:p w14:paraId="799606BC">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r>
            <w:tr w14:paraId="670D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295BC640">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17</w:t>
                  </w:r>
                </w:p>
              </w:tc>
              <w:tc>
                <w:tcPr>
                  <w:tcW w:w="612" w:type="pct"/>
                  <w:vAlign w:val="center"/>
                </w:tcPr>
                <w:p w14:paraId="1AD62870">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D11</w:t>
                  </w:r>
                </w:p>
              </w:tc>
              <w:tc>
                <w:tcPr>
                  <w:tcW w:w="1860" w:type="pct"/>
                  <w:vAlign w:val="center"/>
                </w:tcPr>
                <w:p w14:paraId="75748247">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测线段156～161m</w:t>
                  </w:r>
                </w:p>
              </w:tc>
              <w:tc>
                <w:tcPr>
                  <w:tcW w:w="1000" w:type="pct"/>
                  <w:vMerge w:val="continue"/>
                  <w:vAlign w:val="center"/>
                </w:tcPr>
                <w:p w14:paraId="0607451B">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c>
                <w:tcPr>
                  <w:tcW w:w="1000" w:type="pct"/>
                  <w:vMerge w:val="continue"/>
                  <w:vAlign w:val="center"/>
                </w:tcPr>
                <w:p w14:paraId="394B3AB4">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r>
            <w:tr w14:paraId="4C78FF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3A944866">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18</w:t>
                  </w:r>
                </w:p>
              </w:tc>
              <w:tc>
                <w:tcPr>
                  <w:tcW w:w="612" w:type="pct"/>
                  <w:vAlign w:val="center"/>
                </w:tcPr>
                <w:p w14:paraId="06734A6D">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D11</w:t>
                  </w:r>
                </w:p>
              </w:tc>
              <w:tc>
                <w:tcPr>
                  <w:tcW w:w="1860" w:type="pct"/>
                  <w:vAlign w:val="center"/>
                </w:tcPr>
                <w:p w14:paraId="71094A27">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测线段177～183m</w:t>
                  </w:r>
                </w:p>
              </w:tc>
              <w:tc>
                <w:tcPr>
                  <w:tcW w:w="1000" w:type="pct"/>
                  <w:vMerge w:val="continue"/>
                  <w:vAlign w:val="center"/>
                </w:tcPr>
                <w:p w14:paraId="4F08B7BE">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c>
                <w:tcPr>
                  <w:tcW w:w="1000" w:type="pct"/>
                  <w:vMerge w:val="continue"/>
                  <w:vAlign w:val="center"/>
                </w:tcPr>
                <w:p w14:paraId="4A61E9DD">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r>
            <w:tr w14:paraId="581C38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pct"/>
                  <w:vAlign w:val="center"/>
                </w:tcPr>
                <w:p w14:paraId="360F3AC3">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19</w:t>
                  </w:r>
                </w:p>
              </w:tc>
              <w:tc>
                <w:tcPr>
                  <w:tcW w:w="612" w:type="pct"/>
                  <w:vAlign w:val="center"/>
                </w:tcPr>
                <w:p w14:paraId="4F795EEE">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D11</w:t>
                  </w:r>
                </w:p>
              </w:tc>
              <w:tc>
                <w:tcPr>
                  <w:tcW w:w="1860" w:type="pct"/>
                  <w:vAlign w:val="center"/>
                </w:tcPr>
                <w:p w14:paraId="7DFFF82C">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测线段247～253m</w:t>
                  </w:r>
                </w:p>
              </w:tc>
              <w:tc>
                <w:tcPr>
                  <w:tcW w:w="1000" w:type="pct"/>
                  <w:vMerge w:val="continue"/>
                  <w:vAlign w:val="center"/>
                </w:tcPr>
                <w:p w14:paraId="1849B9FA">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c>
                <w:tcPr>
                  <w:tcW w:w="1000" w:type="pct"/>
                  <w:vMerge w:val="continue"/>
                  <w:vAlign w:val="center"/>
                </w:tcPr>
                <w:p w14:paraId="2931E729">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p>
              </w:tc>
            </w:tr>
          </w:tbl>
          <w:p w14:paraId="4B5E4B8A">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结合水文勘察报告中5个水文钻孔揭露岩溶裂隙情况，场地下部溶蚀裂隙较发育，均备粘土、砂土、碎石填充，场区岩溶发育7.25%。</w:t>
            </w:r>
          </w:p>
          <w:p w14:paraId="37B6E5F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表4-</w:t>
            </w:r>
            <w:r>
              <w:rPr>
                <w:rFonts w:hint="eastAsia" w:ascii="宋体" w:hAnsi="宋体" w:eastAsia="宋体" w:cs="宋体"/>
                <w:b/>
                <w:color w:val="000000" w:themeColor="text1"/>
                <w:sz w:val="24"/>
                <w:highlight w:val="none"/>
                <w:lang w:val="en-US" w:eastAsia="zh-CN"/>
                <w14:textFill>
                  <w14:solidFill>
                    <w14:schemeClr w14:val="tx1"/>
                  </w14:solidFill>
                </w14:textFill>
              </w:rPr>
              <w:t xml:space="preserve">10 </w:t>
            </w:r>
            <w:r>
              <w:rPr>
                <w:rFonts w:hint="eastAsia" w:ascii="宋体" w:hAnsi="宋体" w:eastAsia="宋体" w:cs="宋体"/>
                <w:b/>
                <w:color w:val="000000" w:themeColor="text1"/>
                <w:sz w:val="24"/>
                <w:highlight w:val="none"/>
                <w14:textFill>
                  <w14:solidFill>
                    <w14:schemeClr w14:val="tx1"/>
                  </w14:solidFill>
                </w14:textFill>
              </w:rPr>
              <w:t xml:space="preserve"> 水文钻孔揭露岩溶裂隙情况</w:t>
            </w:r>
          </w:p>
          <w:tbl>
            <w:tblPr>
              <w:tblStyle w:val="41"/>
              <w:tblW w:w="499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74"/>
              <w:gridCol w:w="1258"/>
              <w:gridCol w:w="1183"/>
              <w:gridCol w:w="1213"/>
              <w:gridCol w:w="1196"/>
              <w:gridCol w:w="1892"/>
            </w:tblGrid>
            <w:tr w14:paraId="523D18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7" w:type="pct"/>
                </w:tcPr>
                <w:p w14:paraId="4F0B72A2">
                  <w:pPr>
                    <w:widowControl/>
                    <w:adjustRightInd w:val="0"/>
                    <w:snapToGrid w:val="0"/>
                    <w:spacing w:line="240" w:lineRule="auto"/>
                    <w:ind w:firstLine="0" w:firstLineChars="0"/>
                    <w:jc w:val="center"/>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钻孔编号</w:t>
                  </w:r>
                </w:p>
              </w:tc>
              <w:tc>
                <w:tcPr>
                  <w:tcW w:w="805" w:type="pct"/>
                </w:tcPr>
                <w:p w14:paraId="2DC562B2">
                  <w:pPr>
                    <w:widowControl/>
                    <w:adjustRightInd w:val="0"/>
                    <w:snapToGrid w:val="0"/>
                    <w:spacing w:line="240" w:lineRule="auto"/>
                    <w:ind w:firstLine="0" w:firstLineChars="0"/>
                    <w:jc w:val="center"/>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P</w:t>
                  </w:r>
                  <w:r>
                    <w:rPr>
                      <w:rFonts w:hint="eastAsia"/>
                      <w:b/>
                      <w:bCs/>
                      <w:color w:val="000000" w:themeColor="text1"/>
                      <w:kern w:val="0"/>
                      <w:sz w:val="21"/>
                      <w:szCs w:val="21"/>
                      <w:vertAlign w:val="subscript"/>
                      <w:lang w:bidi="ar"/>
                      <w14:textFill>
                        <w14:solidFill>
                          <w14:schemeClr w14:val="tx1"/>
                        </w14:solidFill>
                      </w14:textFill>
                    </w:rPr>
                    <w:t>1</w:t>
                  </w:r>
                  <w:r>
                    <w:rPr>
                      <w:rFonts w:hint="eastAsia"/>
                      <w:b/>
                      <w:bCs/>
                      <w:color w:val="000000" w:themeColor="text1"/>
                      <w:kern w:val="0"/>
                      <w:sz w:val="21"/>
                      <w:szCs w:val="21"/>
                      <w:lang w:bidi="ar"/>
                      <w14:textFill>
                        <w14:solidFill>
                          <w14:schemeClr w14:val="tx1"/>
                        </w14:solidFill>
                      </w14:textFill>
                    </w:rPr>
                    <w:t>y深度（m）</w:t>
                  </w:r>
                </w:p>
              </w:tc>
              <w:tc>
                <w:tcPr>
                  <w:tcW w:w="757" w:type="pct"/>
                </w:tcPr>
                <w:p w14:paraId="5E8A8BD0">
                  <w:pPr>
                    <w:widowControl/>
                    <w:adjustRightInd w:val="0"/>
                    <w:snapToGrid w:val="0"/>
                    <w:spacing w:line="240" w:lineRule="auto"/>
                    <w:ind w:firstLine="0" w:firstLineChars="0"/>
                    <w:jc w:val="center"/>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溶洞个数</w:t>
                  </w:r>
                </w:p>
              </w:tc>
              <w:tc>
                <w:tcPr>
                  <w:tcW w:w="776" w:type="pct"/>
                </w:tcPr>
                <w:p w14:paraId="5A99277D">
                  <w:pPr>
                    <w:widowControl/>
                    <w:adjustRightInd w:val="0"/>
                    <w:snapToGrid w:val="0"/>
                    <w:spacing w:line="240" w:lineRule="auto"/>
                    <w:ind w:firstLine="0" w:firstLineChars="0"/>
                    <w:jc w:val="center"/>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溶洞总高度（m）</w:t>
                  </w:r>
                </w:p>
              </w:tc>
              <w:tc>
                <w:tcPr>
                  <w:tcW w:w="765" w:type="pct"/>
                </w:tcPr>
                <w:p w14:paraId="32248272">
                  <w:pPr>
                    <w:widowControl/>
                    <w:adjustRightInd w:val="0"/>
                    <w:snapToGrid w:val="0"/>
                    <w:spacing w:line="240" w:lineRule="auto"/>
                    <w:ind w:firstLine="0" w:firstLineChars="0"/>
                    <w:jc w:val="center"/>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线岩溶率（%）</w:t>
                  </w:r>
                </w:p>
              </w:tc>
              <w:tc>
                <w:tcPr>
                  <w:tcW w:w="1210" w:type="pct"/>
                </w:tcPr>
                <w:p w14:paraId="1B515322">
                  <w:pPr>
                    <w:widowControl/>
                    <w:adjustRightInd w:val="0"/>
                    <w:snapToGrid w:val="0"/>
                    <w:spacing w:line="240" w:lineRule="auto"/>
                    <w:ind w:firstLine="0" w:firstLineChars="0"/>
                    <w:jc w:val="center"/>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岩溶填充情况</w:t>
                  </w:r>
                </w:p>
              </w:tc>
            </w:tr>
            <w:tr w14:paraId="28F21A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tcPr>
                <w:p w14:paraId="41571F5B">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JC1</w:t>
                  </w:r>
                </w:p>
              </w:tc>
              <w:tc>
                <w:tcPr>
                  <w:tcW w:w="805" w:type="pct"/>
                </w:tcPr>
                <w:p w14:paraId="580AFAAB">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59.14</w:t>
                  </w:r>
                </w:p>
              </w:tc>
              <w:tc>
                <w:tcPr>
                  <w:tcW w:w="757" w:type="pct"/>
                </w:tcPr>
                <w:p w14:paraId="115E3130">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c>
                <w:tcPr>
                  <w:tcW w:w="776" w:type="pct"/>
                </w:tcPr>
                <w:p w14:paraId="51390EE6">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3.9</w:t>
                  </w:r>
                </w:p>
              </w:tc>
              <w:tc>
                <w:tcPr>
                  <w:tcW w:w="765" w:type="pct"/>
                </w:tcPr>
                <w:p w14:paraId="7310A766">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6.59</w:t>
                  </w:r>
                </w:p>
              </w:tc>
              <w:tc>
                <w:tcPr>
                  <w:tcW w:w="1210" w:type="pct"/>
                </w:tcPr>
                <w:p w14:paraId="268426FE">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红黏土夹碎石</w:t>
                  </w:r>
                </w:p>
              </w:tc>
            </w:tr>
            <w:tr w14:paraId="3B1552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tcPr>
                <w:p w14:paraId="3925EB46">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JC2</w:t>
                  </w:r>
                </w:p>
              </w:tc>
              <w:tc>
                <w:tcPr>
                  <w:tcW w:w="805" w:type="pct"/>
                </w:tcPr>
                <w:p w14:paraId="25DEFF0D">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83.00</w:t>
                  </w:r>
                </w:p>
              </w:tc>
              <w:tc>
                <w:tcPr>
                  <w:tcW w:w="757" w:type="pct"/>
                </w:tcPr>
                <w:p w14:paraId="7B009BC6">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c>
                <w:tcPr>
                  <w:tcW w:w="776" w:type="pct"/>
                </w:tcPr>
                <w:p w14:paraId="49062270">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4.5</w:t>
                  </w:r>
                </w:p>
              </w:tc>
              <w:tc>
                <w:tcPr>
                  <w:tcW w:w="765" w:type="pct"/>
                </w:tcPr>
                <w:p w14:paraId="7EFBEF46">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5.66</w:t>
                  </w:r>
                </w:p>
              </w:tc>
              <w:tc>
                <w:tcPr>
                  <w:tcW w:w="1210" w:type="pct"/>
                </w:tcPr>
                <w:p w14:paraId="15FB00E8">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填充含碎石、砂砾</w:t>
                  </w:r>
                </w:p>
              </w:tc>
            </w:tr>
            <w:tr w14:paraId="6C8F78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tcPr>
                <w:p w14:paraId="26C77D71">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JC3</w:t>
                  </w:r>
                </w:p>
              </w:tc>
              <w:tc>
                <w:tcPr>
                  <w:tcW w:w="805" w:type="pct"/>
                </w:tcPr>
                <w:p w14:paraId="1C8A7C23">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90.91</w:t>
                  </w:r>
                </w:p>
              </w:tc>
              <w:tc>
                <w:tcPr>
                  <w:tcW w:w="757" w:type="pct"/>
                </w:tcPr>
                <w:p w14:paraId="0FB35ED3">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c>
                <w:tcPr>
                  <w:tcW w:w="776" w:type="pct"/>
                </w:tcPr>
                <w:p w14:paraId="33FF08A7">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5.4</w:t>
                  </w:r>
                </w:p>
              </w:tc>
              <w:tc>
                <w:tcPr>
                  <w:tcW w:w="765" w:type="pct"/>
                </w:tcPr>
                <w:p w14:paraId="27BA2082">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5.94</w:t>
                  </w:r>
                </w:p>
              </w:tc>
              <w:tc>
                <w:tcPr>
                  <w:tcW w:w="1210" w:type="pct"/>
                </w:tcPr>
                <w:p w14:paraId="182B9234">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填充含碎石、砂砾</w:t>
                  </w:r>
                </w:p>
              </w:tc>
            </w:tr>
            <w:tr w14:paraId="2153F6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tcPr>
                <w:p w14:paraId="332BDA17">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JC4</w:t>
                  </w:r>
                </w:p>
              </w:tc>
              <w:tc>
                <w:tcPr>
                  <w:tcW w:w="805" w:type="pct"/>
                </w:tcPr>
                <w:p w14:paraId="6769FFAB">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68.05</w:t>
                  </w:r>
                </w:p>
              </w:tc>
              <w:tc>
                <w:tcPr>
                  <w:tcW w:w="757" w:type="pct"/>
                </w:tcPr>
                <w:p w14:paraId="2DE63E17">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c>
                <w:tcPr>
                  <w:tcW w:w="776" w:type="pct"/>
                </w:tcPr>
                <w:p w14:paraId="7CB4B836">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5.8</w:t>
                  </w:r>
                </w:p>
              </w:tc>
              <w:tc>
                <w:tcPr>
                  <w:tcW w:w="765" w:type="pct"/>
                </w:tcPr>
                <w:p w14:paraId="7E13CFC4">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8.52</w:t>
                  </w:r>
                </w:p>
              </w:tc>
              <w:tc>
                <w:tcPr>
                  <w:tcW w:w="1210" w:type="pct"/>
                </w:tcPr>
                <w:p w14:paraId="546E50C8">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填充含碎石、砂砾</w:t>
                  </w:r>
                </w:p>
              </w:tc>
            </w:tr>
            <w:tr w14:paraId="34F1DC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7" w:type="pct"/>
                </w:tcPr>
                <w:p w14:paraId="1D69B013">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JC5</w:t>
                  </w:r>
                </w:p>
              </w:tc>
              <w:tc>
                <w:tcPr>
                  <w:tcW w:w="805" w:type="pct"/>
                </w:tcPr>
                <w:p w14:paraId="3DC2F27B">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97.00</w:t>
                  </w:r>
                </w:p>
              </w:tc>
              <w:tc>
                <w:tcPr>
                  <w:tcW w:w="757" w:type="pct"/>
                </w:tcPr>
                <w:p w14:paraId="313A3796">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2</w:t>
                  </w:r>
                </w:p>
              </w:tc>
              <w:tc>
                <w:tcPr>
                  <w:tcW w:w="776" w:type="pct"/>
                </w:tcPr>
                <w:p w14:paraId="1C59AE74">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9.3</w:t>
                  </w:r>
                </w:p>
              </w:tc>
              <w:tc>
                <w:tcPr>
                  <w:tcW w:w="765" w:type="pct"/>
                </w:tcPr>
                <w:p w14:paraId="6149C0BD">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9.58</w:t>
                  </w:r>
                </w:p>
              </w:tc>
              <w:tc>
                <w:tcPr>
                  <w:tcW w:w="1210" w:type="pct"/>
                </w:tcPr>
                <w:p w14:paraId="122783D6">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填充含碎石、砂砾</w:t>
                  </w:r>
                </w:p>
              </w:tc>
            </w:tr>
          </w:tbl>
          <w:p w14:paraId="709DA496">
            <w:pPr>
              <w:pStyle w:val="38"/>
              <w:ind w:firstLine="241"/>
              <w:jc w:val="left"/>
              <w:rPr>
                <w:color w:val="000000" w:themeColor="text1"/>
                <w14:textFill>
                  <w14:solidFill>
                    <w14:schemeClr w14:val="tx1"/>
                  </w14:solidFill>
                </w14:textFill>
              </w:rPr>
            </w:pPr>
            <w:bookmarkStart w:id="55" w:name="_Toc21443"/>
            <w:bookmarkStart w:id="56" w:name="_Toc32295"/>
            <w:r>
              <w:rPr>
                <w:rFonts w:hint="eastAsia"/>
                <w:b/>
                <w:bCs/>
                <w:color w:val="000000" w:themeColor="text1"/>
                <w14:textFill>
                  <w14:solidFill>
                    <w14:schemeClr w14:val="tx1"/>
                  </w14:solidFill>
                </w14:textFill>
              </w:rPr>
              <w:t>4.14区域地下水环境开发利用现状调查</w:t>
            </w:r>
            <w:bookmarkEnd w:id="55"/>
            <w:bookmarkEnd w:id="56"/>
          </w:p>
          <w:p w14:paraId="7D75662B">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根据《云南省寻甸县大旋塘采石场废弃矿坑生态修复水文地质勘察报告》，项目所在区域整体呈北低南高地势，拟建项目区场地整体西南高，东北低。区域上西南侧无村庄分布区，西南侧3km范围内均为大山，</w:t>
            </w:r>
          </w:p>
          <w:p w14:paraId="7A6118C0">
            <w:pPr>
              <w:widowControl/>
              <w:ind w:firstLine="480"/>
              <w:jc w:val="left"/>
              <w:rPr>
                <w:rFonts w:hint="eastAsia" w:ascii="Times New Roman" w:hAnsi="Times New Roman" w:eastAsia="宋体" w:cs="Times New Roman"/>
                <w:color w:val="000000" w:themeColor="text1"/>
                <w:kern w:val="0"/>
                <w:lang w:val="en-US" w:eastAsia="zh-CN" w:bidi="ar"/>
                <w14:textFill>
                  <w14:solidFill>
                    <w14:schemeClr w14:val="tx1"/>
                  </w14:solidFill>
                </w14:textFill>
              </w:rPr>
            </w:pPr>
            <w:r>
              <w:rPr>
                <w:rFonts w:hint="eastAsia" w:ascii="Times New Roman" w:hAnsi="Times New Roman" w:eastAsia="宋体" w:cs="Times New Roman"/>
                <w:color w:val="000000" w:themeColor="text1"/>
                <w:kern w:val="0"/>
                <w:lang w:val="en-US" w:eastAsia="zh-CN" w:bidi="ar"/>
                <w14:textFill>
                  <w14:solidFill>
                    <w14:schemeClr w14:val="tx1"/>
                  </w14:solidFill>
                </w14:textFill>
              </w:rPr>
              <w:t>根据</w:t>
            </w:r>
            <w:r>
              <w:rPr>
                <w:rFonts w:hint="default" w:ascii="Times New Roman" w:hAnsi="Times New Roman" w:eastAsia="宋体" w:cs="Times New Roman"/>
                <w:color w:val="000000" w:themeColor="text1"/>
                <w:kern w:val="0"/>
                <w:lang w:bidi="ar"/>
                <w14:textFill>
                  <w14:solidFill>
                    <w14:schemeClr w14:val="tx1"/>
                  </w14:solidFill>
                </w14:textFill>
              </w:rPr>
              <w:t>《云南省寻甸县大旋塘采石场废弃矿坑生态修复水文地质勘察报告》</w:t>
            </w:r>
            <w:r>
              <w:rPr>
                <w:rFonts w:hint="eastAsia" w:ascii="Times New Roman" w:hAnsi="Times New Roman" w:eastAsia="宋体" w:cs="Times New Roman"/>
                <w:color w:val="000000" w:themeColor="text1"/>
                <w:kern w:val="0"/>
                <w:lang w:eastAsia="zh-CN" w:bidi="ar"/>
                <w14:textFill>
                  <w14:solidFill>
                    <w14:schemeClr w14:val="tx1"/>
                  </w14:solidFill>
                </w14:textFill>
              </w:rPr>
              <w:t>：</w:t>
            </w:r>
            <w:r>
              <w:rPr>
                <w:rFonts w:hint="eastAsia" w:ascii="Times New Roman" w:hAnsi="Times New Roman" w:eastAsia="宋体" w:cs="Times New Roman"/>
                <w:color w:val="000000" w:themeColor="text1"/>
                <w:kern w:val="0"/>
                <w:lang w:bidi="ar"/>
                <w14:textFill>
                  <w14:solidFill>
                    <w14:schemeClr w14:val="tx1"/>
                  </w14:solidFill>
                </w14:textFill>
              </w:rPr>
              <w:t>评价区周边新石桥村分布5口SJ1-SJ5民用水井，位于场地西侧约1</w:t>
            </w:r>
            <w:r>
              <w:rPr>
                <w:rFonts w:hint="eastAsia" w:ascii="Times New Roman" w:hAnsi="Times New Roman" w:eastAsia="宋体" w:cs="Times New Roman"/>
                <w:color w:val="000000" w:themeColor="text1"/>
                <w:kern w:val="0"/>
                <w:lang w:val="en-US" w:eastAsia="zh-CN" w:bidi="ar"/>
                <w14:textFill>
                  <w14:solidFill>
                    <w14:schemeClr w14:val="tx1"/>
                  </w14:solidFill>
                </w14:textFill>
              </w:rPr>
              <w:t>090</w:t>
            </w:r>
            <w:r>
              <w:rPr>
                <w:rFonts w:hint="eastAsia" w:ascii="Times New Roman" w:hAnsi="Times New Roman" w:eastAsia="宋体" w:cs="Times New Roman"/>
                <w:color w:val="000000" w:themeColor="text1"/>
                <w:kern w:val="0"/>
                <w:lang w:bidi="ar"/>
                <w14:textFill>
                  <w14:solidFill>
                    <w14:schemeClr w14:val="tx1"/>
                  </w14:solidFill>
                </w14:textFill>
              </w:rPr>
              <w:t>米；民井开采层位为二叠系（P1-2a）斜斑玄武岩基岩裂隙水含水层</w:t>
            </w:r>
            <w:r>
              <w:rPr>
                <w:rFonts w:hint="eastAsia" w:ascii="Times New Roman" w:hAnsi="Times New Roman" w:eastAsia="宋体" w:cs="Times New Roman"/>
                <w:color w:val="000000" w:themeColor="text1"/>
                <w:kern w:val="0"/>
                <w:lang w:val="zh-CN" w:bidi="ar"/>
                <w14:textFill>
                  <w14:solidFill>
                    <w14:schemeClr w14:val="tx1"/>
                  </w14:solidFill>
                </w14:textFill>
              </w:rPr>
              <w:t>，</w:t>
            </w:r>
            <w:r>
              <w:rPr>
                <w:rFonts w:hint="eastAsia" w:ascii="Times New Roman" w:hAnsi="Times New Roman" w:eastAsia="宋体" w:cs="Times New Roman"/>
                <w:color w:val="000000" w:themeColor="text1"/>
                <w:kern w:val="0"/>
                <w:lang w:bidi="ar"/>
                <w14:textFill>
                  <w14:solidFill>
                    <w14:schemeClr w14:val="tx1"/>
                  </w14:solidFill>
                </w14:textFill>
              </w:rPr>
              <w:t>与项目区地下水不属于同一层位。</w:t>
            </w:r>
            <w:r>
              <w:rPr>
                <w:rFonts w:hint="eastAsia" w:ascii="Times New Roman" w:hAnsi="Times New Roman" w:eastAsia="宋体" w:cs="Times New Roman"/>
                <w:color w:val="000000" w:themeColor="text1"/>
                <w:kern w:val="0"/>
                <w:lang w:val="en-US" w:eastAsia="zh-CN" w:bidi="ar"/>
                <w14:textFill>
                  <w14:solidFill>
                    <w14:schemeClr w14:val="tx1"/>
                  </w14:solidFill>
                </w14:textFill>
              </w:rPr>
              <w:t>根据项目厂址地下水流场图，项目厂址</w:t>
            </w:r>
            <w:r>
              <w:rPr>
                <w:rFonts w:hint="default" w:ascii="Times New Roman" w:hAnsi="Times New Roman" w:eastAsia="宋体" w:cs="Times New Roman"/>
                <w:color w:val="000000" w:themeColor="text1"/>
                <w:kern w:val="0"/>
                <w:lang w:bidi="ar"/>
                <w14:textFill>
                  <w14:solidFill>
                    <w14:schemeClr w14:val="tx1"/>
                  </w14:solidFill>
                </w14:textFill>
              </w:rPr>
              <w:t>地下水总体由东北向西南径流</w:t>
            </w:r>
            <w:r>
              <w:rPr>
                <w:rFonts w:hint="eastAsia" w:ascii="Times New Roman" w:hAnsi="Times New Roman" w:eastAsia="宋体" w:cs="Times New Roman"/>
                <w:color w:val="000000" w:themeColor="text1"/>
                <w:kern w:val="0"/>
                <w:lang w:eastAsia="zh-CN" w:bidi="ar"/>
                <w14:textFill>
                  <w14:solidFill>
                    <w14:schemeClr w14:val="tx1"/>
                  </w14:solidFill>
                </w14:textFill>
              </w:rPr>
              <w:t>，</w:t>
            </w:r>
            <w:r>
              <w:rPr>
                <w:rFonts w:hint="eastAsia" w:ascii="Times New Roman" w:hAnsi="Times New Roman" w:eastAsia="宋体" w:cs="Times New Roman"/>
                <w:color w:val="000000" w:themeColor="text1"/>
                <w:kern w:val="0"/>
                <w:lang w:bidi="ar"/>
                <w14:textFill>
                  <w14:solidFill>
                    <w14:schemeClr w14:val="tx1"/>
                  </w14:solidFill>
                </w14:textFill>
              </w:rPr>
              <w:t>新石桥村分布</w:t>
            </w:r>
            <w:r>
              <w:rPr>
                <w:rFonts w:hint="eastAsia" w:ascii="Times New Roman" w:hAnsi="Times New Roman" w:eastAsia="宋体" w:cs="Times New Roman"/>
                <w:color w:val="000000" w:themeColor="text1"/>
                <w:kern w:val="0"/>
                <w:lang w:val="en-US" w:eastAsia="zh-CN" w:bidi="ar"/>
                <w14:textFill>
                  <w14:solidFill>
                    <w14:schemeClr w14:val="tx1"/>
                  </w14:solidFill>
                </w14:textFill>
              </w:rPr>
              <w:t>的</w:t>
            </w:r>
            <w:r>
              <w:rPr>
                <w:rFonts w:hint="eastAsia" w:ascii="Times New Roman" w:hAnsi="Times New Roman" w:eastAsia="宋体" w:cs="Times New Roman"/>
                <w:color w:val="000000" w:themeColor="text1"/>
                <w:kern w:val="0"/>
                <w:lang w:bidi="ar"/>
                <w14:textFill>
                  <w14:solidFill>
                    <w14:schemeClr w14:val="tx1"/>
                  </w14:solidFill>
                </w14:textFill>
              </w:rPr>
              <w:t>5口SJ1-SJ5民用水井</w:t>
            </w:r>
            <w:r>
              <w:rPr>
                <w:rFonts w:hint="eastAsia" w:ascii="Times New Roman" w:hAnsi="Times New Roman" w:eastAsia="宋体" w:cs="Times New Roman"/>
                <w:color w:val="000000" w:themeColor="text1"/>
                <w:kern w:val="0"/>
                <w:lang w:val="en-US" w:eastAsia="zh-CN" w:bidi="ar"/>
                <w14:textFill>
                  <w14:solidFill>
                    <w14:schemeClr w14:val="tx1"/>
                  </w14:solidFill>
                </w14:textFill>
              </w:rPr>
              <w:t>均位于项目西侧约1</w:t>
            </w:r>
            <w:r>
              <w:rPr>
                <w:rFonts w:hint="eastAsia" w:ascii="Times New Roman" w:hAnsi="Times New Roman" w:eastAsia="宋体" w:cs="Times New Roman"/>
                <w:b w:val="0"/>
                <w:bCs w:val="0"/>
                <w:color w:val="000000" w:themeColor="text1"/>
                <w:kern w:val="0"/>
                <w:lang w:val="en-US" w:eastAsia="zh-CN" w:bidi="ar"/>
                <w14:textFill>
                  <w14:solidFill>
                    <w14:schemeClr w14:val="tx1"/>
                  </w14:solidFill>
                </w14:textFill>
              </w:rPr>
              <w:t>公里，位于项目地下水流向的侧游。</w:t>
            </w:r>
            <w:r>
              <w:rPr>
                <w:rFonts w:hint="eastAsia" w:ascii="宋体" w:hAnsi="宋体" w:cs="宋体"/>
                <w:b w:val="0"/>
                <w:bCs w:val="0"/>
                <w:color w:val="000000" w:themeColor="text1"/>
                <w:sz w:val="24"/>
                <w:highlight w:val="none"/>
                <w14:textFill>
                  <w14:solidFill>
                    <w14:schemeClr w14:val="tx1"/>
                  </w14:solidFill>
                </w14:textFill>
              </w:rPr>
              <w:t>项目区及周边地下水水位调查</w:t>
            </w:r>
            <w:r>
              <w:rPr>
                <w:rFonts w:hint="eastAsia" w:ascii="宋体" w:hAnsi="宋体" w:cs="宋体"/>
                <w:b w:val="0"/>
                <w:bCs w:val="0"/>
                <w:color w:val="000000" w:themeColor="text1"/>
                <w:sz w:val="24"/>
                <w:highlight w:val="none"/>
                <w:lang w:val="en-US" w:eastAsia="zh-CN"/>
                <w14:textFill>
                  <w14:solidFill>
                    <w14:schemeClr w14:val="tx1"/>
                  </w14:solidFill>
                </w14:textFill>
              </w:rPr>
              <w:t>见下表。</w:t>
            </w:r>
          </w:p>
          <w:p w14:paraId="4244B1CD">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表</w:t>
            </w:r>
            <w:r>
              <w:rPr>
                <w:rFonts w:hint="eastAsia" w:ascii="宋体" w:hAnsi="宋体" w:eastAsia="宋体" w:cs="宋体"/>
                <w:b/>
                <w:color w:val="000000" w:themeColor="text1"/>
                <w:sz w:val="24"/>
                <w:highlight w:val="none"/>
                <w:lang w:val="en-US" w:eastAsia="zh-CN"/>
                <w14:textFill>
                  <w14:solidFill>
                    <w14:schemeClr w14:val="tx1"/>
                  </w14:solidFill>
                </w14:textFill>
              </w:rPr>
              <w:t>4-11</w:t>
            </w:r>
            <w:r>
              <w:rPr>
                <w:rFonts w:hint="eastAsia" w:ascii="宋体" w:hAnsi="宋体" w:eastAsia="宋体" w:cs="宋体"/>
                <w:b/>
                <w:color w:val="000000" w:themeColor="text1"/>
                <w:sz w:val="24"/>
                <w:highlight w:val="none"/>
                <w14:textFill>
                  <w14:solidFill>
                    <w14:schemeClr w14:val="tx1"/>
                  </w14:solidFill>
                </w14:textFill>
              </w:rPr>
              <w:t xml:space="preserve">  项目区及周边地下水水位调查统计表</w:t>
            </w:r>
          </w:p>
          <w:tbl>
            <w:tblPr>
              <w:tblStyle w:val="40"/>
              <w:tblW w:w="0" w:type="auto"/>
              <w:jc w:val="center"/>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Layout w:type="autofit"/>
              <w:tblCellMar>
                <w:top w:w="0" w:type="dxa"/>
                <w:left w:w="108" w:type="dxa"/>
                <w:bottom w:w="0" w:type="dxa"/>
                <w:right w:w="108" w:type="dxa"/>
              </w:tblCellMar>
            </w:tblPr>
            <w:tblGrid>
              <w:gridCol w:w="855"/>
              <w:gridCol w:w="1626"/>
              <w:gridCol w:w="1522"/>
              <w:gridCol w:w="798"/>
              <w:gridCol w:w="798"/>
              <w:gridCol w:w="896"/>
              <w:gridCol w:w="896"/>
              <w:gridCol w:w="426"/>
            </w:tblGrid>
            <w:tr w14:paraId="660A424C">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858" w:type="dxa"/>
                  <w:vMerge w:val="restart"/>
                  <w:noWrap w:val="0"/>
                  <w:vAlign w:val="center"/>
                </w:tcPr>
                <w:p w14:paraId="21B902E5">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编号</w:t>
                  </w:r>
                </w:p>
              </w:tc>
              <w:tc>
                <w:tcPr>
                  <w:tcW w:w="3413" w:type="dxa"/>
                  <w:gridSpan w:val="2"/>
                  <w:noWrap w:val="0"/>
                  <w:vAlign w:val="center"/>
                </w:tcPr>
                <w:p w14:paraId="43D1D7A1">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坐标位置</w:t>
                  </w:r>
                </w:p>
              </w:tc>
              <w:tc>
                <w:tcPr>
                  <w:tcW w:w="720" w:type="dxa"/>
                  <w:vMerge w:val="restart"/>
                  <w:noWrap w:val="0"/>
                  <w:vAlign w:val="center"/>
                </w:tcPr>
                <w:p w14:paraId="07599777">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井深（m）</w:t>
                  </w:r>
                </w:p>
              </w:tc>
              <w:tc>
                <w:tcPr>
                  <w:tcW w:w="825" w:type="dxa"/>
                  <w:vMerge w:val="restart"/>
                  <w:noWrap w:val="0"/>
                  <w:vAlign w:val="center"/>
                </w:tcPr>
                <w:p w14:paraId="086F711F">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水位埋深（m）</w:t>
                  </w:r>
                </w:p>
              </w:tc>
              <w:tc>
                <w:tcPr>
                  <w:tcW w:w="1110" w:type="dxa"/>
                  <w:vMerge w:val="restart"/>
                  <w:noWrap w:val="0"/>
                  <w:vAlign w:val="center"/>
                </w:tcPr>
                <w:p w14:paraId="264E29C8">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地面高程（m）</w:t>
                  </w:r>
                </w:p>
              </w:tc>
              <w:tc>
                <w:tcPr>
                  <w:tcW w:w="900" w:type="dxa"/>
                  <w:vMerge w:val="restart"/>
                  <w:noWrap w:val="0"/>
                  <w:vAlign w:val="center"/>
                </w:tcPr>
                <w:p w14:paraId="5168AFF1">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水位高程（m）</w:t>
                  </w:r>
                </w:p>
              </w:tc>
              <w:tc>
                <w:tcPr>
                  <w:tcW w:w="696" w:type="dxa"/>
                  <w:vMerge w:val="restart"/>
                  <w:noWrap w:val="0"/>
                  <w:vAlign w:val="center"/>
                </w:tcPr>
                <w:p w14:paraId="10880128">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备注</w:t>
                  </w:r>
                </w:p>
              </w:tc>
            </w:tr>
            <w:tr w14:paraId="2ECA184C">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858" w:type="dxa"/>
                  <w:vMerge w:val="continue"/>
                  <w:noWrap w:val="0"/>
                  <w:vAlign w:val="center"/>
                </w:tcPr>
                <w:p w14:paraId="348E6F85">
                  <w:pPr>
                    <w:pStyle w:val="95"/>
                    <w:framePr w:wrap="auto" w:vAnchor="margin" w:hAnchor="text" w:xAlign="left" w:yAlign="inline"/>
                    <w:rPr>
                      <w:rFonts w:hint="default" w:ascii="Times New Roman" w:hAnsi="Times New Roman" w:cs="Times New Roman"/>
                      <w:b/>
                      <w:color w:val="000000" w:themeColor="text1"/>
                      <w:highlight w:val="none"/>
                      <w14:textFill>
                        <w14:solidFill>
                          <w14:schemeClr w14:val="tx1"/>
                        </w14:solidFill>
                      </w14:textFill>
                    </w:rPr>
                  </w:pPr>
                </w:p>
              </w:tc>
              <w:tc>
                <w:tcPr>
                  <w:tcW w:w="1730" w:type="dxa"/>
                  <w:noWrap w:val="0"/>
                  <w:vAlign w:val="center"/>
                </w:tcPr>
                <w:p w14:paraId="209EBB5B">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经度</w:t>
                  </w:r>
                  <w:r>
                    <w:rPr>
                      <w:rFonts w:hint="default" w:ascii="Times New Roman" w:hAnsi="Times New Roman" w:cs="Times New Roman"/>
                      <w:color w:val="000000" w:themeColor="text1"/>
                      <w:sz w:val="22"/>
                      <w:szCs w:val="22"/>
                      <w:highlight w:val="none"/>
                      <w14:textFill>
                        <w14:solidFill>
                          <w14:schemeClr w14:val="tx1"/>
                        </w14:solidFill>
                      </w14:textFill>
                    </w:rPr>
                    <w:t>（度分秒）</w:t>
                  </w:r>
                </w:p>
              </w:tc>
              <w:tc>
                <w:tcPr>
                  <w:tcW w:w="1683" w:type="dxa"/>
                  <w:noWrap w:val="0"/>
                  <w:vAlign w:val="center"/>
                </w:tcPr>
                <w:p w14:paraId="27892B97">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纬度</w:t>
                  </w:r>
                  <w:r>
                    <w:rPr>
                      <w:rFonts w:hint="default" w:ascii="Times New Roman" w:hAnsi="Times New Roman" w:cs="Times New Roman"/>
                      <w:color w:val="000000" w:themeColor="text1"/>
                      <w:sz w:val="22"/>
                      <w:szCs w:val="22"/>
                      <w:highlight w:val="none"/>
                      <w14:textFill>
                        <w14:solidFill>
                          <w14:schemeClr w14:val="tx1"/>
                        </w14:solidFill>
                      </w14:textFill>
                    </w:rPr>
                    <w:t>（度分秒）</w:t>
                  </w:r>
                </w:p>
              </w:tc>
              <w:tc>
                <w:tcPr>
                  <w:tcW w:w="720" w:type="dxa"/>
                  <w:vMerge w:val="continue"/>
                  <w:noWrap w:val="0"/>
                  <w:vAlign w:val="center"/>
                </w:tcPr>
                <w:p w14:paraId="10A50E48">
                  <w:pPr>
                    <w:pStyle w:val="95"/>
                    <w:framePr w:wrap="auto" w:vAnchor="margin" w:hAnchor="text" w:xAlign="left" w:yAlign="inline"/>
                    <w:rPr>
                      <w:rFonts w:hint="default" w:ascii="Times New Roman" w:hAnsi="Times New Roman" w:cs="Times New Roman"/>
                      <w:b/>
                      <w:color w:val="000000" w:themeColor="text1"/>
                      <w:highlight w:val="none"/>
                      <w14:textFill>
                        <w14:solidFill>
                          <w14:schemeClr w14:val="tx1"/>
                        </w14:solidFill>
                      </w14:textFill>
                    </w:rPr>
                  </w:pPr>
                </w:p>
              </w:tc>
              <w:tc>
                <w:tcPr>
                  <w:tcW w:w="825" w:type="dxa"/>
                  <w:vMerge w:val="continue"/>
                  <w:noWrap w:val="0"/>
                  <w:vAlign w:val="center"/>
                </w:tcPr>
                <w:p w14:paraId="0F2D66A2">
                  <w:pPr>
                    <w:pStyle w:val="95"/>
                    <w:framePr w:wrap="auto" w:vAnchor="margin" w:hAnchor="text" w:xAlign="left" w:yAlign="inline"/>
                    <w:rPr>
                      <w:rFonts w:hint="default" w:ascii="Times New Roman" w:hAnsi="Times New Roman" w:cs="Times New Roman"/>
                      <w:b/>
                      <w:color w:val="000000" w:themeColor="text1"/>
                      <w:highlight w:val="none"/>
                      <w14:textFill>
                        <w14:solidFill>
                          <w14:schemeClr w14:val="tx1"/>
                        </w14:solidFill>
                      </w14:textFill>
                    </w:rPr>
                  </w:pPr>
                </w:p>
              </w:tc>
              <w:tc>
                <w:tcPr>
                  <w:tcW w:w="1110" w:type="dxa"/>
                  <w:vMerge w:val="continue"/>
                  <w:noWrap w:val="0"/>
                  <w:vAlign w:val="center"/>
                </w:tcPr>
                <w:p w14:paraId="7A83D66B">
                  <w:pPr>
                    <w:pStyle w:val="95"/>
                    <w:framePr w:wrap="auto" w:vAnchor="margin" w:hAnchor="text" w:xAlign="left" w:yAlign="inline"/>
                    <w:rPr>
                      <w:rFonts w:hint="default" w:ascii="Times New Roman" w:hAnsi="Times New Roman" w:cs="Times New Roman"/>
                      <w:b/>
                      <w:color w:val="000000" w:themeColor="text1"/>
                      <w:highlight w:val="none"/>
                      <w14:textFill>
                        <w14:solidFill>
                          <w14:schemeClr w14:val="tx1"/>
                        </w14:solidFill>
                      </w14:textFill>
                    </w:rPr>
                  </w:pPr>
                </w:p>
              </w:tc>
              <w:tc>
                <w:tcPr>
                  <w:tcW w:w="900" w:type="dxa"/>
                  <w:vMerge w:val="continue"/>
                  <w:noWrap w:val="0"/>
                  <w:vAlign w:val="center"/>
                </w:tcPr>
                <w:p w14:paraId="42AA5F32">
                  <w:pPr>
                    <w:pStyle w:val="95"/>
                    <w:framePr w:wrap="auto" w:vAnchor="margin" w:hAnchor="text" w:xAlign="left" w:yAlign="inline"/>
                    <w:rPr>
                      <w:rFonts w:hint="default" w:ascii="Times New Roman" w:hAnsi="Times New Roman" w:cs="Times New Roman"/>
                      <w:b/>
                      <w:color w:val="000000" w:themeColor="text1"/>
                      <w:highlight w:val="none"/>
                      <w14:textFill>
                        <w14:solidFill>
                          <w14:schemeClr w14:val="tx1"/>
                        </w14:solidFill>
                      </w14:textFill>
                    </w:rPr>
                  </w:pPr>
                </w:p>
              </w:tc>
              <w:tc>
                <w:tcPr>
                  <w:tcW w:w="696" w:type="dxa"/>
                  <w:vMerge w:val="continue"/>
                  <w:noWrap w:val="0"/>
                  <w:vAlign w:val="center"/>
                </w:tcPr>
                <w:p w14:paraId="099B8F5A">
                  <w:pPr>
                    <w:pStyle w:val="95"/>
                    <w:framePr w:wrap="auto" w:vAnchor="margin" w:hAnchor="text" w:xAlign="left" w:yAlign="inline"/>
                    <w:rPr>
                      <w:rFonts w:hint="default" w:ascii="Times New Roman" w:hAnsi="Times New Roman" w:cs="Times New Roman"/>
                      <w:b/>
                      <w:color w:val="000000" w:themeColor="text1"/>
                      <w:highlight w:val="none"/>
                      <w14:textFill>
                        <w14:solidFill>
                          <w14:schemeClr w14:val="tx1"/>
                        </w14:solidFill>
                      </w14:textFill>
                    </w:rPr>
                  </w:pPr>
                </w:p>
              </w:tc>
            </w:tr>
            <w:tr w14:paraId="02A55356">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858" w:type="dxa"/>
                  <w:noWrap w:val="0"/>
                  <w:vAlign w:val="center"/>
                </w:tcPr>
                <w:p w14:paraId="7A1F18E1">
                  <w:pPr>
                    <w:pStyle w:val="95"/>
                    <w:framePr w:wrap="auto" w:vAnchor="margin" w:hAnchor="text" w:xAlign="left" w:yAlign="inline"/>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JCJ01</w:t>
                  </w:r>
                </w:p>
              </w:tc>
              <w:tc>
                <w:tcPr>
                  <w:tcW w:w="1730" w:type="dxa"/>
                  <w:noWrap w:val="0"/>
                  <w:vAlign w:val="center"/>
                </w:tcPr>
                <w:p w14:paraId="04C2C110">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102°48'17.6899"</w:t>
                  </w:r>
                </w:p>
              </w:tc>
              <w:tc>
                <w:tcPr>
                  <w:tcW w:w="1683" w:type="dxa"/>
                  <w:noWrap w:val="0"/>
                  <w:vAlign w:val="center"/>
                </w:tcPr>
                <w:p w14:paraId="3F49116E">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25°36'07.4412"</w:t>
                  </w:r>
                </w:p>
              </w:tc>
              <w:tc>
                <w:tcPr>
                  <w:tcW w:w="720" w:type="dxa"/>
                  <w:noWrap w:val="0"/>
                  <w:vAlign w:val="center"/>
                </w:tcPr>
                <w:p w14:paraId="75D37935">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44.1</w:t>
                  </w:r>
                </w:p>
              </w:tc>
              <w:tc>
                <w:tcPr>
                  <w:tcW w:w="825" w:type="dxa"/>
                  <w:noWrap w:val="0"/>
                  <w:vAlign w:val="center"/>
                </w:tcPr>
                <w:p w14:paraId="4923F446">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12.54</w:t>
                  </w:r>
                </w:p>
              </w:tc>
              <w:tc>
                <w:tcPr>
                  <w:tcW w:w="1110" w:type="dxa"/>
                  <w:noWrap w:val="0"/>
                  <w:vAlign w:val="center"/>
                </w:tcPr>
                <w:p w14:paraId="210DC5C9">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2105.95</w:t>
                  </w:r>
                </w:p>
              </w:tc>
              <w:tc>
                <w:tcPr>
                  <w:tcW w:w="900" w:type="dxa"/>
                  <w:noWrap w:val="0"/>
                  <w:vAlign w:val="center"/>
                </w:tcPr>
                <w:p w14:paraId="4210C7A4">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2093.41</w:t>
                  </w:r>
                </w:p>
              </w:tc>
              <w:tc>
                <w:tcPr>
                  <w:tcW w:w="696" w:type="dxa"/>
                  <w:noWrap w:val="0"/>
                  <w:vAlign w:val="center"/>
                </w:tcPr>
                <w:p w14:paraId="15667C25">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灰岩</w:t>
                  </w:r>
                </w:p>
              </w:tc>
            </w:tr>
            <w:tr w14:paraId="756775A9">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858" w:type="dxa"/>
                  <w:noWrap w:val="0"/>
                  <w:vAlign w:val="center"/>
                </w:tcPr>
                <w:p w14:paraId="6FEF8D41">
                  <w:pPr>
                    <w:pStyle w:val="95"/>
                    <w:framePr w:wrap="auto" w:vAnchor="margin" w:hAnchor="text" w:xAlign="left" w:yAlign="inline"/>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JCJ02</w:t>
                  </w:r>
                </w:p>
              </w:tc>
              <w:tc>
                <w:tcPr>
                  <w:tcW w:w="1730" w:type="dxa"/>
                  <w:noWrap w:val="0"/>
                  <w:vAlign w:val="center"/>
                </w:tcPr>
                <w:p w14:paraId="6192B70D">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102°48'12.9778"</w:t>
                  </w:r>
                </w:p>
              </w:tc>
              <w:tc>
                <w:tcPr>
                  <w:tcW w:w="1683" w:type="dxa"/>
                  <w:noWrap w:val="0"/>
                  <w:vAlign w:val="center"/>
                </w:tcPr>
                <w:p w14:paraId="5DC16701">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25°36'17.9903"</w:t>
                  </w:r>
                </w:p>
              </w:tc>
              <w:tc>
                <w:tcPr>
                  <w:tcW w:w="720" w:type="dxa"/>
                  <w:noWrap w:val="0"/>
                  <w:vAlign w:val="center"/>
                </w:tcPr>
                <w:p w14:paraId="245A5E2F">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61</w:t>
                  </w:r>
                </w:p>
              </w:tc>
              <w:tc>
                <w:tcPr>
                  <w:tcW w:w="825" w:type="dxa"/>
                  <w:noWrap w:val="0"/>
                  <w:vAlign w:val="center"/>
                </w:tcPr>
                <w:p w14:paraId="0F02E0EE">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32.55</w:t>
                  </w:r>
                </w:p>
              </w:tc>
              <w:tc>
                <w:tcPr>
                  <w:tcW w:w="1110" w:type="dxa"/>
                  <w:noWrap w:val="0"/>
                  <w:vAlign w:val="center"/>
                </w:tcPr>
                <w:p w14:paraId="24B25A52">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2123.85</w:t>
                  </w:r>
                </w:p>
              </w:tc>
              <w:tc>
                <w:tcPr>
                  <w:tcW w:w="900" w:type="dxa"/>
                  <w:noWrap w:val="0"/>
                  <w:vAlign w:val="center"/>
                </w:tcPr>
                <w:p w14:paraId="107B4E81">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2091.3</w:t>
                  </w:r>
                </w:p>
              </w:tc>
              <w:tc>
                <w:tcPr>
                  <w:tcW w:w="696" w:type="dxa"/>
                  <w:noWrap w:val="0"/>
                  <w:vAlign w:val="center"/>
                </w:tcPr>
                <w:p w14:paraId="73DAFE7A">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灰岩</w:t>
                  </w:r>
                </w:p>
              </w:tc>
            </w:tr>
            <w:tr w14:paraId="12748BAA">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858" w:type="dxa"/>
                  <w:noWrap w:val="0"/>
                  <w:vAlign w:val="center"/>
                </w:tcPr>
                <w:p w14:paraId="389213FF">
                  <w:pPr>
                    <w:pStyle w:val="95"/>
                    <w:framePr w:wrap="auto" w:vAnchor="margin" w:hAnchor="text" w:xAlign="left" w:yAlign="inline"/>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JCJ03</w:t>
                  </w:r>
                </w:p>
              </w:tc>
              <w:tc>
                <w:tcPr>
                  <w:tcW w:w="1730" w:type="dxa"/>
                  <w:noWrap w:val="0"/>
                  <w:vAlign w:val="center"/>
                </w:tcPr>
                <w:p w14:paraId="33A41C7D">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102°48'04.7650"</w:t>
                  </w:r>
                </w:p>
              </w:tc>
              <w:tc>
                <w:tcPr>
                  <w:tcW w:w="1683" w:type="dxa"/>
                  <w:noWrap w:val="0"/>
                  <w:vAlign w:val="center"/>
                </w:tcPr>
                <w:p w14:paraId="51CDB889">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25°36'03.0622"</w:t>
                  </w:r>
                </w:p>
              </w:tc>
              <w:tc>
                <w:tcPr>
                  <w:tcW w:w="720" w:type="dxa"/>
                  <w:noWrap w:val="0"/>
                  <w:vAlign w:val="center"/>
                </w:tcPr>
                <w:p w14:paraId="59900B0E">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70</w:t>
                  </w:r>
                </w:p>
              </w:tc>
              <w:tc>
                <w:tcPr>
                  <w:tcW w:w="825" w:type="dxa"/>
                  <w:noWrap w:val="0"/>
                  <w:vAlign w:val="center"/>
                </w:tcPr>
                <w:p w14:paraId="46C2BA0F">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31.6</w:t>
                  </w:r>
                </w:p>
              </w:tc>
              <w:tc>
                <w:tcPr>
                  <w:tcW w:w="1110" w:type="dxa"/>
                  <w:noWrap w:val="0"/>
                  <w:vAlign w:val="center"/>
                </w:tcPr>
                <w:p w14:paraId="40F09739">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2117.91</w:t>
                  </w:r>
                </w:p>
              </w:tc>
              <w:tc>
                <w:tcPr>
                  <w:tcW w:w="900" w:type="dxa"/>
                  <w:noWrap w:val="0"/>
                  <w:vAlign w:val="center"/>
                </w:tcPr>
                <w:p w14:paraId="243E811E">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2086.31</w:t>
                  </w:r>
                </w:p>
              </w:tc>
              <w:tc>
                <w:tcPr>
                  <w:tcW w:w="696" w:type="dxa"/>
                  <w:noWrap w:val="0"/>
                  <w:vAlign w:val="center"/>
                </w:tcPr>
                <w:p w14:paraId="78D7CBA2">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玄武岩</w:t>
                  </w:r>
                </w:p>
              </w:tc>
            </w:tr>
            <w:tr w14:paraId="0F224F2B">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858" w:type="dxa"/>
                  <w:noWrap w:val="0"/>
                  <w:vAlign w:val="center"/>
                </w:tcPr>
                <w:p w14:paraId="30E46665">
                  <w:pPr>
                    <w:pStyle w:val="95"/>
                    <w:framePr w:wrap="auto" w:vAnchor="margin" w:hAnchor="text" w:xAlign="left" w:yAlign="inline"/>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JCJ04</w:t>
                  </w:r>
                </w:p>
              </w:tc>
              <w:tc>
                <w:tcPr>
                  <w:tcW w:w="1730" w:type="dxa"/>
                  <w:noWrap w:val="0"/>
                  <w:vAlign w:val="center"/>
                </w:tcPr>
                <w:p w14:paraId="1623B7BE">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102°48'09.0429"</w:t>
                  </w:r>
                </w:p>
              </w:tc>
              <w:tc>
                <w:tcPr>
                  <w:tcW w:w="1683" w:type="dxa"/>
                  <w:noWrap w:val="0"/>
                  <w:vAlign w:val="center"/>
                </w:tcPr>
                <w:p w14:paraId="5A68DD4D">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25°36'11.0090"</w:t>
                  </w:r>
                </w:p>
              </w:tc>
              <w:tc>
                <w:tcPr>
                  <w:tcW w:w="720" w:type="dxa"/>
                  <w:noWrap w:val="0"/>
                  <w:vAlign w:val="center"/>
                </w:tcPr>
                <w:p w14:paraId="5A4DD2BA">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46</w:t>
                  </w:r>
                </w:p>
              </w:tc>
              <w:tc>
                <w:tcPr>
                  <w:tcW w:w="825" w:type="dxa"/>
                  <w:noWrap w:val="0"/>
                  <w:vAlign w:val="center"/>
                </w:tcPr>
                <w:p w14:paraId="75C670C5">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11.7</w:t>
                  </w:r>
                </w:p>
              </w:tc>
              <w:tc>
                <w:tcPr>
                  <w:tcW w:w="1110" w:type="dxa"/>
                  <w:noWrap w:val="0"/>
                  <w:vAlign w:val="center"/>
                </w:tcPr>
                <w:p w14:paraId="1C6F567D">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2094.52</w:t>
                  </w:r>
                </w:p>
              </w:tc>
              <w:tc>
                <w:tcPr>
                  <w:tcW w:w="900" w:type="dxa"/>
                  <w:noWrap w:val="0"/>
                  <w:vAlign w:val="center"/>
                </w:tcPr>
                <w:p w14:paraId="6D0A9E55">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2082.82</w:t>
                  </w:r>
                </w:p>
              </w:tc>
              <w:tc>
                <w:tcPr>
                  <w:tcW w:w="696" w:type="dxa"/>
                  <w:noWrap w:val="0"/>
                  <w:vAlign w:val="center"/>
                </w:tcPr>
                <w:p w14:paraId="4297E6B9">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灰岩</w:t>
                  </w:r>
                </w:p>
              </w:tc>
            </w:tr>
            <w:tr w14:paraId="5A87F87D">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858" w:type="dxa"/>
                  <w:noWrap w:val="0"/>
                  <w:vAlign w:val="center"/>
                </w:tcPr>
                <w:p w14:paraId="451B5860">
                  <w:pPr>
                    <w:pStyle w:val="95"/>
                    <w:framePr w:wrap="auto" w:vAnchor="margin" w:hAnchor="text" w:xAlign="left" w:yAlign="inline"/>
                    <w:rPr>
                      <w:rFonts w:hint="default" w:ascii="Times New Roman" w:hAnsi="Times New Roman" w:cs="Times New Roman"/>
                      <w:b/>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JCJ05</w:t>
                  </w:r>
                </w:p>
              </w:tc>
              <w:tc>
                <w:tcPr>
                  <w:tcW w:w="1730" w:type="dxa"/>
                  <w:noWrap w:val="0"/>
                  <w:vAlign w:val="center"/>
                </w:tcPr>
                <w:p w14:paraId="3BADB16E">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102°48'03.5198"</w:t>
                  </w:r>
                </w:p>
              </w:tc>
              <w:tc>
                <w:tcPr>
                  <w:tcW w:w="1683" w:type="dxa"/>
                  <w:noWrap w:val="0"/>
                  <w:vAlign w:val="center"/>
                </w:tcPr>
                <w:p w14:paraId="6C5735B3">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25°36'13.3796"</w:t>
                  </w:r>
                </w:p>
              </w:tc>
              <w:tc>
                <w:tcPr>
                  <w:tcW w:w="720" w:type="dxa"/>
                  <w:noWrap w:val="0"/>
                  <w:vAlign w:val="center"/>
                </w:tcPr>
                <w:p w14:paraId="440FA4E1">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30</w:t>
                  </w:r>
                </w:p>
              </w:tc>
              <w:tc>
                <w:tcPr>
                  <w:tcW w:w="825" w:type="dxa"/>
                  <w:noWrap w:val="0"/>
                  <w:vAlign w:val="center"/>
                </w:tcPr>
                <w:p w14:paraId="6C9D617C">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12.4</w:t>
                  </w:r>
                </w:p>
              </w:tc>
              <w:tc>
                <w:tcPr>
                  <w:tcW w:w="1110" w:type="dxa"/>
                  <w:noWrap w:val="0"/>
                  <w:vAlign w:val="center"/>
                </w:tcPr>
                <w:p w14:paraId="78B5790F">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2082.92</w:t>
                  </w:r>
                </w:p>
              </w:tc>
              <w:tc>
                <w:tcPr>
                  <w:tcW w:w="900" w:type="dxa"/>
                  <w:noWrap w:val="0"/>
                  <w:vAlign w:val="center"/>
                </w:tcPr>
                <w:p w14:paraId="1D5F9F35">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2070.62</w:t>
                  </w:r>
                </w:p>
              </w:tc>
              <w:tc>
                <w:tcPr>
                  <w:tcW w:w="696" w:type="dxa"/>
                  <w:noWrap w:val="0"/>
                  <w:vAlign w:val="center"/>
                </w:tcPr>
                <w:p w14:paraId="4D9593DD">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玄武岩</w:t>
                  </w:r>
                </w:p>
              </w:tc>
            </w:tr>
            <w:tr w14:paraId="3A5A3F51">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trHeight w:val="270" w:hRule="atLeast"/>
                <w:jc w:val="center"/>
              </w:trPr>
              <w:tc>
                <w:tcPr>
                  <w:tcW w:w="858" w:type="dxa"/>
                  <w:noWrap w:val="0"/>
                  <w:vAlign w:val="center"/>
                </w:tcPr>
                <w:p w14:paraId="12244D1A">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NZK04</w:t>
                  </w:r>
                </w:p>
              </w:tc>
              <w:tc>
                <w:tcPr>
                  <w:tcW w:w="1730" w:type="dxa"/>
                  <w:noWrap w:val="0"/>
                  <w:vAlign w:val="center"/>
                </w:tcPr>
                <w:p w14:paraId="163DC013">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102°48'10.7209"</w:t>
                  </w:r>
                </w:p>
              </w:tc>
              <w:tc>
                <w:tcPr>
                  <w:tcW w:w="1683" w:type="dxa"/>
                  <w:noWrap w:val="0"/>
                  <w:vAlign w:val="center"/>
                </w:tcPr>
                <w:p w14:paraId="1F96F47A">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25°36'11.5803"</w:t>
                  </w:r>
                </w:p>
              </w:tc>
              <w:tc>
                <w:tcPr>
                  <w:tcW w:w="720" w:type="dxa"/>
                  <w:noWrap w:val="0"/>
                  <w:vAlign w:val="center"/>
                </w:tcPr>
                <w:p w14:paraId="6E2C94B3">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25</w:t>
                  </w:r>
                </w:p>
              </w:tc>
              <w:tc>
                <w:tcPr>
                  <w:tcW w:w="825" w:type="dxa"/>
                  <w:noWrap w:val="0"/>
                  <w:vAlign w:val="center"/>
                </w:tcPr>
                <w:p w14:paraId="2A3C49E4">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w:t>
                  </w:r>
                </w:p>
              </w:tc>
              <w:tc>
                <w:tcPr>
                  <w:tcW w:w="1110" w:type="dxa"/>
                  <w:noWrap w:val="0"/>
                  <w:vAlign w:val="center"/>
                </w:tcPr>
                <w:p w14:paraId="29BCE19A">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2090.56</w:t>
                  </w:r>
                </w:p>
              </w:tc>
              <w:tc>
                <w:tcPr>
                  <w:tcW w:w="900" w:type="dxa"/>
                  <w:noWrap w:val="0"/>
                  <w:vAlign w:val="center"/>
                </w:tcPr>
                <w:p w14:paraId="5EF2536C">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2088.6</w:t>
                  </w:r>
                </w:p>
              </w:tc>
              <w:tc>
                <w:tcPr>
                  <w:tcW w:w="696" w:type="dxa"/>
                  <w:noWrap w:val="0"/>
                  <w:vAlign w:val="center"/>
                </w:tcPr>
                <w:p w14:paraId="44819E8F">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灰岩</w:t>
                  </w:r>
                </w:p>
              </w:tc>
            </w:tr>
            <w:tr w14:paraId="1B69C512">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858" w:type="dxa"/>
                  <w:noWrap w:val="0"/>
                  <w:vAlign w:val="center"/>
                </w:tcPr>
                <w:p w14:paraId="76448F08">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kern w:val="0"/>
                      <w:highlight w:val="none"/>
                      <w:lang w:bidi="ar"/>
                      <w14:textFill>
                        <w14:solidFill>
                          <w14:schemeClr w14:val="tx1"/>
                        </w14:solidFill>
                      </w14:textFill>
                    </w:rPr>
                    <w:t>SJ01</w:t>
                  </w:r>
                </w:p>
              </w:tc>
              <w:tc>
                <w:tcPr>
                  <w:tcW w:w="1730" w:type="dxa"/>
                  <w:noWrap w:val="0"/>
                  <w:vAlign w:val="center"/>
                </w:tcPr>
                <w:p w14:paraId="7767DDE5">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102°47'45.5189"</w:t>
                  </w:r>
                </w:p>
              </w:tc>
              <w:tc>
                <w:tcPr>
                  <w:tcW w:w="1683" w:type="dxa"/>
                  <w:noWrap w:val="0"/>
                  <w:vAlign w:val="center"/>
                </w:tcPr>
                <w:p w14:paraId="64D3308A">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25°36'22.3950"</w:t>
                  </w:r>
                </w:p>
              </w:tc>
              <w:tc>
                <w:tcPr>
                  <w:tcW w:w="720" w:type="dxa"/>
                  <w:noWrap w:val="0"/>
                  <w:vAlign w:val="center"/>
                </w:tcPr>
                <w:p w14:paraId="6DB9EAAD">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110</w:t>
                  </w:r>
                </w:p>
              </w:tc>
              <w:tc>
                <w:tcPr>
                  <w:tcW w:w="825" w:type="dxa"/>
                  <w:noWrap w:val="0"/>
                  <w:vAlign w:val="center"/>
                </w:tcPr>
                <w:p w14:paraId="53033659">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8.4</w:t>
                  </w:r>
                </w:p>
              </w:tc>
              <w:tc>
                <w:tcPr>
                  <w:tcW w:w="1110" w:type="dxa"/>
                  <w:noWrap w:val="0"/>
                  <w:vAlign w:val="center"/>
                </w:tcPr>
                <w:p w14:paraId="34343D00">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2067.9</w:t>
                  </w:r>
                </w:p>
              </w:tc>
              <w:tc>
                <w:tcPr>
                  <w:tcW w:w="900" w:type="dxa"/>
                  <w:noWrap w:val="0"/>
                  <w:vAlign w:val="center"/>
                </w:tcPr>
                <w:p w14:paraId="13D0D525">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 xml:space="preserve">2059.5 </w:t>
                  </w:r>
                </w:p>
              </w:tc>
              <w:tc>
                <w:tcPr>
                  <w:tcW w:w="696" w:type="dxa"/>
                  <w:noWrap w:val="0"/>
                  <w:vAlign w:val="center"/>
                </w:tcPr>
                <w:p w14:paraId="5524D186">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民用井</w:t>
                  </w:r>
                </w:p>
              </w:tc>
            </w:tr>
            <w:tr w14:paraId="3893C9A9">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858" w:type="dxa"/>
                  <w:noWrap w:val="0"/>
                  <w:vAlign w:val="center"/>
                </w:tcPr>
                <w:p w14:paraId="1D91973E">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kern w:val="0"/>
                      <w:highlight w:val="none"/>
                      <w:lang w:bidi="ar"/>
                      <w14:textFill>
                        <w14:solidFill>
                          <w14:schemeClr w14:val="tx1"/>
                        </w14:solidFill>
                      </w14:textFill>
                    </w:rPr>
                    <w:t>SJ02</w:t>
                  </w:r>
                </w:p>
              </w:tc>
              <w:tc>
                <w:tcPr>
                  <w:tcW w:w="1730" w:type="dxa"/>
                  <w:noWrap w:val="0"/>
                  <w:vAlign w:val="center"/>
                </w:tcPr>
                <w:p w14:paraId="14145F05">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102°47'33.9801"</w:t>
                  </w:r>
                </w:p>
              </w:tc>
              <w:tc>
                <w:tcPr>
                  <w:tcW w:w="1683" w:type="dxa"/>
                  <w:noWrap w:val="0"/>
                  <w:vAlign w:val="center"/>
                </w:tcPr>
                <w:p w14:paraId="09DCA1EB">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25°36'26.8850"</w:t>
                  </w:r>
                </w:p>
              </w:tc>
              <w:tc>
                <w:tcPr>
                  <w:tcW w:w="720" w:type="dxa"/>
                  <w:noWrap w:val="0"/>
                  <w:vAlign w:val="center"/>
                </w:tcPr>
                <w:p w14:paraId="201F230D">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65</w:t>
                  </w:r>
                </w:p>
              </w:tc>
              <w:tc>
                <w:tcPr>
                  <w:tcW w:w="825" w:type="dxa"/>
                  <w:noWrap w:val="0"/>
                  <w:vAlign w:val="center"/>
                </w:tcPr>
                <w:p w14:paraId="1F5B64BC">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6.5</w:t>
                  </w:r>
                </w:p>
              </w:tc>
              <w:tc>
                <w:tcPr>
                  <w:tcW w:w="1110" w:type="dxa"/>
                  <w:noWrap w:val="0"/>
                  <w:vAlign w:val="center"/>
                </w:tcPr>
                <w:p w14:paraId="21402555">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2049.6</w:t>
                  </w:r>
                </w:p>
              </w:tc>
              <w:tc>
                <w:tcPr>
                  <w:tcW w:w="900" w:type="dxa"/>
                  <w:noWrap w:val="0"/>
                  <w:vAlign w:val="center"/>
                </w:tcPr>
                <w:p w14:paraId="7627EA00">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 xml:space="preserve">2043.1 </w:t>
                  </w:r>
                </w:p>
              </w:tc>
              <w:tc>
                <w:tcPr>
                  <w:tcW w:w="696" w:type="dxa"/>
                  <w:noWrap w:val="0"/>
                  <w:vAlign w:val="center"/>
                </w:tcPr>
                <w:p w14:paraId="62889EA1">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民用井</w:t>
                  </w:r>
                </w:p>
              </w:tc>
            </w:tr>
            <w:tr w14:paraId="0AF78939">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858" w:type="dxa"/>
                  <w:noWrap w:val="0"/>
                  <w:vAlign w:val="center"/>
                </w:tcPr>
                <w:p w14:paraId="21E46568">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kern w:val="0"/>
                      <w:highlight w:val="none"/>
                      <w:lang w:bidi="ar"/>
                      <w14:textFill>
                        <w14:solidFill>
                          <w14:schemeClr w14:val="tx1"/>
                        </w14:solidFill>
                      </w14:textFill>
                    </w:rPr>
                    <w:t>SJ03</w:t>
                  </w:r>
                </w:p>
              </w:tc>
              <w:tc>
                <w:tcPr>
                  <w:tcW w:w="1730" w:type="dxa"/>
                  <w:noWrap w:val="0"/>
                  <w:vAlign w:val="center"/>
                </w:tcPr>
                <w:p w14:paraId="38F31810">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102°47'32.0344"</w:t>
                  </w:r>
                </w:p>
              </w:tc>
              <w:tc>
                <w:tcPr>
                  <w:tcW w:w="1683" w:type="dxa"/>
                  <w:noWrap w:val="0"/>
                  <w:vAlign w:val="center"/>
                </w:tcPr>
                <w:p w14:paraId="2D561A55">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25°36'29.0769"</w:t>
                  </w:r>
                </w:p>
              </w:tc>
              <w:tc>
                <w:tcPr>
                  <w:tcW w:w="720" w:type="dxa"/>
                  <w:noWrap w:val="0"/>
                  <w:vAlign w:val="center"/>
                </w:tcPr>
                <w:p w14:paraId="656AF3AA">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7</w:t>
                  </w:r>
                </w:p>
              </w:tc>
              <w:tc>
                <w:tcPr>
                  <w:tcW w:w="825" w:type="dxa"/>
                  <w:noWrap w:val="0"/>
                  <w:vAlign w:val="center"/>
                </w:tcPr>
                <w:p w14:paraId="02898A83">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3.1</w:t>
                  </w:r>
                </w:p>
              </w:tc>
              <w:tc>
                <w:tcPr>
                  <w:tcW w:w="1110" w:type="dxa"/>
                  <w:noWrap w:val="0"/>
                  <w:vAlign w:val="center"/>
                </w:tcPr>
                <w:p w14:paraId="31138124">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2045.5</w:t>
                  </w:r>
                </w:p>
              </w:tc>
              <w:tc>
                <w:tcPr>
                  <w:tcW w:w="900" w:type="dxa"/>
                  <w:noWrap w:val="0"/>
                  <w:vAlign w:val="center"/>
                </w:tcPr>
                <w:p w14:paraId="4C0A35DE">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 xml:space="preserve">2042.4 </w:t>
                  </w:r>
                </w:p>
              </w:tc>
              <w:tc>
                <w:tcPr>
                  <w:tcW w:w="696" w:type="dxa"/>
                  <w:noWrap w:val="0"/>
                  <w:vAlign w:val="center"/>
                </w:tcPr>
                <w:p w14:paraId="5ADC6549">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民用井</w:t>
                  </w:r>
                </w:p>
              </w:tc>
            </w:tr>
            <w:tr w14:paraId="73BA950F">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858" w:type="dxa"/>
                  <w:noWrap w:val="0"/>
                  <w:vAlign w:val="center"/>
                </w:tcPr>
                <w:p w14:paraId="35BA9113">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kern w:val="0"/>
                      <w:highlight w:val="none"/>
                      <w:lang w:bidi="ar"/>
                      <w14:textFill>
                        <w14:solidFill>
                          <w14:schemeClr w14:val="tx1"/>
                        </w14:solidFill>
                      </w14:textFill>
                    </w:rPr>
                    <w:t>SJ04</w:t>
                  </w:r>
                </w:p>
              </w:tc>
              <w:tc>
                <w:tcPr>
                  <w:tcW w:w="1730" w:type="dxa"/>
                  <w:noWrap w:val="0"/>
                  <w:vAlign w:val="center"/>
                </w:tcPr>
                <w:p w14:paraId="4C479356">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102°47'33.3621"</w:t>
                  </w:r>
                </w:p>
              </w:tc>
              <w:tc>
                <w:tcPr>
                  <w:tcW w:w="1683" w:type="dxa"/>
                  <w:noWrap w:val="0"/>
                  <w:vAlign w:val="center"/>
                </w:tcPr>
                <w:p w14:paraId="6AB63D70">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25°36'28.9466"</w:t>
                  </w:r>
                </w:p>
              </w:tc>
              <w:tc>
                <w:tcPr>
                  <w:tcW w:w="720" w:type="dxa"/>
                  <w:noWrap w:val="0"/>
                  <w:vAlign w:val="center"/>
                </w:tcPr>
                <w:p w14:paraId="33B639A4">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80</w:t>
                  </w:r>
                </w:p>
              </w:tc>
              <w:tc>
                <w:tcPr>
                  <w:tcW w:w="825" w:type="dxa"/>
                  <w:noWrap w:val="0"/>
                  <w:vAlign w:val="center"/>
                </w:tcPr>
                <w:p w14:paraId="3740BADF">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8.6</w:t>
                  </w:r>
                </w:p>
              </w:tc>
              <w:tc>
                <w:tcPr>
                  <w:tcW w:w="1110" w:type="dxa"/>
                  <w:noWrap w:val="0"/>
                  <w:vAlign w:val="center"/>
                </w:tcPr>
                <w:p w14:paraId="24DB688B">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2050.2</w:t>
                  </w:r>
                </w:p>
              </w:tc>
              <w:tc>
                <w:tcPr>
                  <w:tcW w:w="900" w:type="dxa"/>
                  <w:noWrap w:val="0"/>
                  <w:vAlign w:val="center"/>
                </w:tcPr>
                <w:p w14:paraId="7E7F5981">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 xml:space="preserve">2041.6 </w:t>
                  </w:r>
                </w:p>
              </w:tc>
              <w:tc>
                <w:tcPr>
                  <w:tcW w:w="696" w:type="dxa"/>
                  <w:noWrap w:val="0"/>
                  <w:vAlign w:val="center"/>
                </w:tcPr>
                <w:p w14:paraId="4485675D">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民用井</w:t>
                  </w:r>
                </w:p>
              </w:tc>
            </w:tr>
            <w:tr w14:paraId="095C7A46">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858" w:type="dxa"/>
                  <w:noWrap w:val="0"/>
                  <w:vAlign w:val="center"/>
                </w:tcPr>
                <w:p w14:paraId="40E1C822">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kern w:val="0"/>
                      <w:highlight w:val="none"/>
                      <w:lang w:bidi="ar"/>
                      <w14:textFill>
                        <w14:solidFill>
                          <w14:schemeClr w14:val="tx1"/>
                        </w14:solidFill>
                      </w14:textFill>
                    </w:rPr>
                    <w:t>SJ05</w:t>
                  </w:r>
                </w:p>
              </w:tc>
              <w:tc>
                <w:tcPr>
                  <w:tcW w:w="1730" w:type="dxa"/>
                  <w:noWrap w:val="0"/>
                  <w:vAlign w:val="center"/>
                </w:tcPr>
                <w:p w14:paraId="467A50C2">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kern w:val="0"/>
                      <w:highlight w:val="none"/>
                      <w14:textFill>
                        <w14:solidFill>
                          <w14:schemeClr w14:val="tx1"/>
                        </w14:solidFill>
                      </w14:textFill>
                    </w:rPr>
                    <w:t>102°47'31.1219"</w:t>
                  </w:r>
                </w:p>
              </w:tc>
              <w:tc>
                <w:tcPr>
                  <w:tcW w:w="1683" w:type="dxa"/>
                  <w:noWrap w:val="0"/>
                  <w:vAlign w:val="center"/>
                </w:tcPr>
                <w:p w14:paraId="70A3DD49">
                  <w:pPr>
                    <w:pStyle w:val="95"/>
                    <w:framePr w:wrap="auto" w:vAnchor="margin" w:hAnchor="text" w:xAlign="left" w:yAlign="inline"/>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kern w:val="0"/>
                      <w:highlight w:val="none"/>
                      <w14:textFill>
                        <w14:solidFill>
                          <w14:schemeClr w14:val="tx1"/>
                        </w14:solidFill>
                      </w14:textFill>
                    </w:rPr>
                    <w:t>25°36'16.9684"</w:t>
                  </w:r>
                </w:p>
              </w:tc>
              <w:tc>
                <w:tcPr>
                  <w:tcW w:w="720" w:type="dxa"/>
                  <w:noWrap w:val="0"/>
                  <w:vAlign w:val="center"/>
                </w:tcPr>
                <w:p w14:paraId="6F8150AE">
                  <w:pPr>
                    <w:pStyle w:val="95"/>
                    <w:framePr w:wrap="auto" w:vAnchor="margin" w:hAnchor="text" w:xAlign="left" w:yAlign="inline"/>
                    <w:ind w:firstLine="210" w:firstLineChars="100"/>
                    <w:jc w:val="both"/>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90</w:t>
                  </w:r>
                </w:p>
              </w:tc>
              <w:tc>
                <w:tcPr>
                  <w:tcW w:w="825" w:type="dxa"/>
                  <w:noWrap w:val="0"/>
                  <w:vAlign w:val="center"/>
                </w:tcPr>
                <w:p w14:paraId="4F5C8A57">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4.6</w:t>
                  </w:r>
                </w:p>
              </w:tc>
              <w:tc>
                <w:tcPr>
                  <w:tcW w:w="1110" w:type="dxa"/>
                  <w:noWrap w:val="0"/>
                  <w:vAlign w:val="center"/>
                </w:tcPr>
                <w:p w14:paraId="65EFE705">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2046.8</w:t>
                  </w:r>
                </w:p>
              </w:tc>
              <w:tc>
                <w:tcPr>
                  <w:tcW w:w="900" w:type="dxa"/>
                  <w:noWrap w:val="0"/>
                  <w:vAlign w:val="center"/>
                </w:tcPr>
                <w:p w14:paraId="0FF2655F">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 xml:space="preserve">2042.2 </w:t>
                  </w:r>
                </w:p>
              </w:tc>
              <w:tc>
                <w:tcPr>
                  <w:tcW w:w="696" w:type="dxa"/>
                  <w:noWrap w:val="0"/>
                  <w:vAlign w:val="center"/>
                </w:tcPr>
                <w:p w14:paraId="77D00A86">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民用井</w:t>
                  </w:r>
                </w:p>
              </w:tc>
            </w:tr>
            <w:tr w14:paraId="799988F4">
              <w:tblPrEx>
                <w:tblBorders>
                  <w:top w:val="single" w:color="auto" w:sz="6" w:space="0"/>
                  <w:left w:val="single" w:color="auto" w:sz="6" w:space="0"/>
                  <w:bottom w:val="single" w:color="auto" w:sz="6" w:space="0"/>
                  <w:right w:val="single" w:color="auto" w:sz="6" w:space="0"/>
                  <w:insideH w:val="single" w:color="auto" w:sz="2" w:space="0"/>
                  <w:insideV w:val="single" w:color="auto" w:sz="2" w:space="0"/>
                </w:tblBorders>
                <w:tblCellMar>
                  <w:top w:w="0" w:type="dxa"/>
                  <w:left w:w="108" w:type="dxa"/>
                  <w:bottom w:w="0" w:type="dxa"/>
                  <w:right w:w="108" w:type="dxa"/>
                </w:tblCellMar>
              </w:tblPrEx>
              <w:trPr>
                <w:jc w:val="center"/>
              </w:trPr>
              <w:tc>
                <w:tcPr>
                  <w:tcW w:w="858" w:type="dxa"/>
                  <w:noWrap w:val="0"/>
                  <w:vAlign w:val="center"/>
                </w:tcPr>
                <w:p w14:paraId="3FFFF9AC">
                  <w:pPr>
                    <w:pStyle w:val="95"/>
                    <w:framePr w:wrap="auto" w:vAnchor="margin" w:hAnchor="text" w:xAlign="left" w:yAlign="inline"/>
                    <w:rPr>
                      <w:rFonts w:hint="default" w:ascii="Times New Roman" w:hAnsi="Times New Roman" w:cs="Times New Roman"/>
                      <w:color w:val="000000" w:themeColor="text1"/>
                      <w:kern w:val="0"/>
                      <w:highlight w:val="none"/>
                      <w:lang w:bidi="ar"/>
                      <w14:textFill>
                        <w14:solidFill>
                          <w14:schemeClr w14:val="tx1"/>
                        </w14:solidFill>
                      </w14:textFill>
                    </w:rPr>
                  </w:pPr>
                  <w:r>
                    <w:rPr>
                      <w:rFonts w:hint="default" w:ascii="Times New Roman" w:hAnsi="Times New Roman" w:cs="Times New Roman"/>
                      <w:color w:val="000000" w:themeColor="text1"/>
                      <w:kern w:val="0"/>
                      <w:highlight w:val="none"/>
                      <w:lang w:bidi="ar"/>
                      <w14:textFill>
                        <w14:solidFill>
                          <w14:schemeClr w14:val="tx1"/>
                        </w14:solidFill>
                      </w14:textFill>
                    </w:rPr>
                    <w:t>Q1</w:t>
                  </w:r>
                </w:p>
              </w:tc>
              <w:tc>
                <w:tcPr>
                  <w:tcW w:w="1730" w:type="dxa"/>
                  <w:noWrap w:val="0"/>
                  <w:vAlign w:val="center"/>
                </w:tcPr>
                <w:p w14:paraId="3AF397F9">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102°48'48.4236"</w:t>
                  </w:r>
                </w:p>
              </w:tc>
              <w:tc>
                <w:tcPr>
                  <w:tcW w:w="1683" w:type="dxa"/>
                  <w:noWrap w:val="0"/>
                  <w:vAlign w:val="center"/>
                </w:tcPr>
                <w:p w14:paraId="628913C6">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25°36'42.4542"</w:t>
                  </w:r>
                </w:p>
              </w:tc>
              <w:tc>
                <w:tcPr>
                  <w:tcW w:w="720" w:type="dxa"/>
                  <w:noWrap w:val="0"/>
                  <w:vAlign w:val="center"/>
                </w:tcPr>
                <w:p w14:paraId="2E97543C">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p>
              </w:tc>
              <w:tc>
                <w:tcPr>
                  <w:tcW w:w="825" w:type="dxa"/>
                  <w:noWrap w:val="0"/>
                  <w:vAlign w:val="center"/>
                </w:tcPr>
                <w:p w14:paraId="689BB62C">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0</w:t>
                  </w:r>
                </w:p>
              </w:tc>
              <w:tc>
                <w:tcPr>
                  <w:tcW w:w="1110" w:type="dxa"/>
                  <w:noWrap w:val="0"/>
                  <w:vAlign w:val="center"/>
                </w:tcPr>
                <w:p w14:paraId="2A42EF21">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2112.9</w:t>
                  </w:r>
                </w:p>
              </w:tc>
              <w:tc>
                <w:tcPr>
                  <w:tcW w:w="900" w:type="dxa"/>
                  <w:noWrap w:val="0"/>
                  <w:vAlign w:val="center"/>
                </w:tcPr>
                <w:p w14:paraId="6F99D03F">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2112.9</w:t>
                  </w:r>
                </w:p>
              </w:tc>
              <w:tc>
                <w:tcPr>
                  <w:tcW w:w="696" w:type="dxa"/>
                  <w:noWrap w:val="0"/>
                  <w:vAlign w:val="center"/>
                </w:tcPr>
                <w:p w14:paraId="372F4E7F">
                  <w:pPr>
                    <w:pStyle w:val="95"/>
                    <w:framePr w:wrap="auto" w:vAnchor="margin" w:hAnchor="text" w:xAlign="left" w:yAlign="inline"/>
                    <w:rPr>
                      <w:rFonts w:hint="default" w:ascii="Times New Roman" w:hAnsi="Times New Roman" w:cs="Times New Roman"/>
                      <w:color w:val="000000" w:themeColor="text1"/>
                      <w:highlight w:val="none"/>
                      <w14:textFill>
                        <w14:solidFill>
                          <w14:schemeClr w14:val="tx1"/>
                        </w14:solidFill>
                      </w14:textFill>
                    </w:rPr>
                  </w:pPr>
                  <w:r>
                    <w:rPr>
                      <w:rFonts w:hint="default" w:ascii="Times New Roman" w:hAnsi="Times New Roman" w:cs="Times New Roman"/>
                      <w:color w:val="000000" w:themeColor="text1"/>
                      <w:highlight w:val="none"/>
                      <w14:textFill>
                        <w14:solidFill>
                          <w14:schemeClr w14:val="tx1"/>
                        </w14:solidFill>
                      </w14:textFill>
                    </w:rPr>
                    <w:t>水库-热水塘泉</w:t>
                  </w:r>
                </w:p>
              </w:tc>
            </w:tr>
          </w:tbl>
          <w:p w14:paraId="406DAB29">
            <w:pPr>
              <w:widowControl/>
              <w:ind w:firstLine="480"/>
              <w:jc w:val="left"/>
              <w:rPr>
                <w:b/>
                <w:bCs/>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根据</w:t>
            </w:r>
            <w:r>
              <w:rPr>
                <w:rFonts w:hint="eastAsia"/>
                <w:color w:val="000000" w:themeColor="text1"/>
                <w:kern w:val="0"/>
                <w:lang w:val="en-US" w:eastAsia="zh-CN" w:bidi="ar"/>
                <w14:textFill>
                  <w14:solidFill>
                    <w14:schemeClr w14:val="tx1"/>
                  </w14:solidFill>
                </w14:textFill>
              </w:rPr>
              <w:t>项目现状监测结果</w:t>
            </w:r>
            <w:r>
              <w:rPr>
                <w:rFonts w:hint="eastAsia"/>
                <w:color w:val="000000" w:themeColor="text1"/>
                <w:kern w:val="0"/>
                <w:lang w:bidi="ar"/>
                <w14:textFill>
                  <w14:solidFill>
                    <w14:schemeClr w14:val="tx1"/>
                  </w14:solidFill>
                </w14:textFill>
              </w:rPr>
              <w:t>可知，项目区周边地下水质量满足《地下水质量标准》（GB/T14848-2017）Ⅲ类标准。</w:t>
            </w:r>
            <w:bookmarkEnd w:id="47"/>
          </w:p>
          <w:p w14:paraId="2DC16C00">
            <w:pPr>
              <w:keepNext w:val="0"/>
              <w:keepLines w:val="0"/>
              <w:pageBreakBefore w:val="0"/>
              <w:kinsoku/>
              <w:wordWrap/>
              <w:overflowPunct/>
              <w:topLinePunct w:val="0"/>
              <w:autoSpaceDE/>
              <w:autoSpaceDN/>
              <w:bidi w:val="0"/>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4.14项目建设对地下水环境影响分析</w:t>
            </w:r>
          </w:p>
          <w:p w14:paraId="7C00BED1">
            <w:pPr>
              <w:pStyle w:val="16"/>
              <w:keepNext w:val="0"/>
              <w:keepLines w:val="0"/>
              <w:pageBreakBefore w:val="0"/>
              <w:widowControl w:val="0"/>
              <w:numPr>
                <w:ilvl w:val="0"/>
                <w:numId w:val="0"/>
              </w:numPr>
              <w:kinsoku/>
              <w:wordWrap/>
              <w:overflowPunct/>
              <w:topLinePunct w:val="0"/>
              <w:autoSpaceDE/>
              <w:autoSpaceDN/>
              <w:bidi w:val="0"/>
              <w:adjustRightInd w:val="0"/>
              <w:snapToGrid w:val="0"/>
              <w:spacing w:before="0" w:after="0" w:line="360" w:lineRule="auto"/>
              <w:ind w:firstLine="480" w:firstLineChars="200"/>
              <w:textAlignment w:val="baseline"/>
              <w:rPr>
                <w:rFonts w:hint="eastAsia" w:ascii="Times New Roman" w:hAnsi="Times New Roman" w:eastAsia="宋体" w:cs="Times New Roman"/>
                <w:b w:val="0"/>
                <w:color w:val="000000" w:themeColor="text1"/>
                <w:kern w:val="0"/>
                <w:sz w:val="24"/>
                <w:szCs w:val="24"/>
                <w:lang w:val="en-US" w:eastAsia="zh-CN" w:bidi="ar"/>
                <w14:textFill>
                  <w14:solidFill>
                    <w14:schemeClr w14:val="tx1"/>
                  </w14:solidFill>
                </w14:textFill>
              </w:rPr>
            </w:pPr>
            <w:bookmarkStart w:id="57" w:name="_Toc407"/>
            <w:bookmarkStart w:id="58" w:name="_Toc15078"/>
            <w:bookmarkStart w:id="59" w:name="_Toc1281"/>
            <w:bookmarkStart w:id="60" w:name="_Toc12402"/>
            <w:bookmarkStart w:id="61" w:name="_Toc25552"/>
            <w:bookmarkStart w:id="62" w:name="_Toc31515"/>
            <w:bookmarkStart w:id="63" w:name="_Toc6616"/>
            <w:r>
              <w:rPr>
                <w:rFonts w:hint="eastAsia" w:ascii="Times New Roman" w:hAnsi="Times New Roman" w:eastAsia="宋体" w:cs="Times New Roman"/>
                <w:b w:val="0"/>
                <w:color w:val="000000" w:themeColor="text1"/>
                <w:kern w:val="0"/>
                <w:sz w:val="24"/>
                <w:szCs w:val="24"/>
                <w:lang w:val="en-US" w:eastAsia="zh-CN" w:bidi="ar"/>
                <w14:textFill>
                  <w14:solidFill>
                    <w14:schemeClr w14:val="tx1"/>
                  </w14:solidFill>
                </w14:textFill>
              </w:rPr>
              <w:t>（1）</w:t>
            </w:r>
            <w:bookmarkEnd w:id="57"/>
            <w:bookmarkEnd w:id="58"/>
            <w:bookmarkEnd w:id="59"/>
            <w:bookmarkEnd w:id="60"/>
            <w:bookmarkEnd w:id="61"/>
            <w:r>
              <w:rPr>
                <w:rFonts w:hint="eastAsia" w:ascii="Times New Roman" w:hAnsi="Times New Roman" w:eastAsia="宋体" w:cs="Times New Roman"/>
                <w:b w:val="0"/>
                <w:color w:val="000000" w:themeColor="text1"/>
                <w:kern w:val="0"/>
                <w:sz w:val="24"/>
                <w:szCs w:val="24"/>
                <w:lang w:val="en-US" w:eastAsia="zh-CN" w:bidi="ar"/>
                <w14:textFill>
                  <w14:solidFill>
                    <w14:schemeClr w14:val="tx1"/>
                  </w14:solidFill>
                </w14:textFill>
              </w:rPr>
              <w:t>回填作业地下水环境影响分析</w:t>
            </w:r>
            <w:bookmarkEnd w:id="62"/>
            <w:bookmarkEnd w:id="63"/>
          </w:p>
          <w:p w14:paraId="7B06AD2B">
            <w:pPr>
              <w:keepNext w:val="0"/>
              <w:keepLines w:val="0"/>
              <w:pageBreakBefore w:val="0"/>
              <w:kinsoku/>
              <w:wordWrap/>
              <w:overflowPunct/>
              <w:topLinePunct w:val="0"/>
              <w:autoSpaceDE/>
              <w:autoSpaceDN/>
              <w:bidi w:val="0"/>
              <w:ind w:firstLine="480"/>
              <w:rPr>
                <w:color w:val="000000" w:themeColor="text1"/>
                <w:kern w:val="0"/>
                <w:lang w:bidi="ar"/>
                <w14:textFill>
                  <w14:solidFill>
                    <w14:schemeClr w14:val="tx1"/>
                  </w14:solidFill>
                </w14:textFill>
              </w:rPr>
            </w:pPr>
            <w:r>
              <w:rPr>
                <w:rFonts w:hint="eastAsia"/>
                <w:bCs/>
                <w:color w:val="000000" w:themeColor="text1"/>
                <w14:textFill>
                  <w14:solidFill>
                    <w14:schemeClr w14:val="tx1"/>
                  </w14:solidFill>
                </w14:textFill>
              </w:rPr>
              <w:t>本项目地下水污染源主要为改性磷石膏渗滤液。</w:t>
            </w:r>
            <w:r>
              <w:rPr>
                <w:rFonts w:hint="eastAsia"/>
                <w:color w:val="000000" w:themeColor="text1"/>
                <w14:textFill>
                  <w14:solidFill>
                    <w14:schemeClr w14:val="tx1"/>
                  </w14:solidFill>
                </w14:textFill>
              </w:rPr>
              <w:t>正常情况下，</w:t>
            </w:r>
            <w:r>
              <w:rPr>
                <w:rFonts w:hint="eastAsia"/>
                <w:color w:val="000000" w:themeColor="text1"/>
                <w:kern w:val="0"/>
                <w:lang w:bidi="ar"/>
                <w14:textFill>
                  <w14:solidFill>
                    <w14:schemeClr w14:val="tx1"/>
                  </w14:solidFill>
                </w14:textFill>
              </w:rPr>
              <w:t>项目生态修复区回填区进行了全防渗处理（底部0.75</w:t>
            </w:r>
            <w:r>
              <w:rPr>
                <w:color w:val="000000" w:themeColor="text1"/>
                <w:kern w:val="0"/>
                <w:lang w:bidi="ar"/>
                <w14:textFill>
                  <w14:solidFill>
                    <w14:schemeClr w14:val="tx1"/>
                  </w14:solidFill>
                </w14:textFill>
              </w:rPr>
              <w:t>m</w:t>
            </w:r>
            <w:r>
              <w:rPr>
                <w:rFonts w:hint="eastAsia"/>
                <w:color w:val="000000" w:themeColor="text1"/>
                <w:kern w:val="0"/>
                <w:lang w:bidi="ar"/>
                <w14:textFill>
                  <w14:solidFill>
                    <w14:schemeClr w14:val="tx1"/>
                  </w14:solidFill>
                </w14:textFill>
              </w:rPr>
              <w:t>厚粘土层、底部、顶部、内边坡人工防渗层），阻断渗滤液下渗，并设置有渗滤液导排系统，降雨时施行防雨措施，尽量避免下雨天作业，对地下水影响很小。</w:t>
            </w:r>
          </w:p>
          <w:p w14:paraId="78A46F59">
            <w:pPr>
              <w:keepNext w:val="0"/>
              <w:keepLines w:val="0"/>
              <w:pageBreakBefore w:val="0"/>
              <w:widowControl/>
              <w:kinsoku/>
              <w:wordWrap/>
              <w:overflowPunct/>
              <w:topLinePunct w:val="0"/>
              <w:autoSpaceDE/>
              <w:autoSpaceDN/>
              <w:bidi w:val="0"/>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具体防渗措施如下：</w:t>
            </w:r>
          </w:p>
          <w:p w14:paraId="14BE5829">
            <w:pPr>
              <w:keepNext w:val="0"/>
              <w:keepLines w:val="0"/>
              <w:pageBreakBefore w:val="0"/>
              <w:kinsoku/>
              <w:wordWrap/>
              <w:overflowPunct/>
              <w:topLinePunct w:val="0"/>
              <w:autoSpaceDE/>
              <w:autoSpaceDN/>
              <w:bidi w:val="0"/>
              <w:adjustRightInd w:val="0"/>
              <w:snapToGrid w:val="0"/>
              <w:ind w:firstLine="480"/>
              <w:rPr>
                <w:b/>
                <w:bCs/>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①</w:t>
            </w:r>
            <w:r>
              <w:rPr>
                <w:rFonts w:hint="eastAsia"/>
                <w:b/>
                <w:bCs/>
                <w:color w:val="000000" w:themeColor="text1"/>
                <w:kern w:val="0"/>
                <w:lang w:bidi="ar"/>
                <w14:textFill>
                  <w14:solidFill>
                    <w14:schemeClr w14:val="tx1"/>
                  </w14:solidFill>
                </w14:textFill>
              </w:rPr>
              <w:t>底部及岸坡防渗层结构</w:t>
            </w:r>
          </w:p>
          <w:p w14:paraId="65CB4804">
            <w:pPr>
              <w:pStyle w:val="93"/>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w:t>
            </w:r>
            <w:r>
              <w:rPr>
                <w:rFonts w:ascii="Times New Roman" w:hAnsi="Times New Roman" w:eastAsia="宋体"/>
                <w:color w:val="000000" w:themeColor="text1"/>
                <w14:textFill>
                  <w14:solidFill>
                    <w14:schemeClr w14:val="tx1"/>
                  </w14:solidFill>
                </w14:textFill>
              </w:rPr>
              <w:t>底部防渗层结构</w:t>
            </w:r>
          </w:p>
          <w:p w14:paraId="1C70132B">
            <w:pPr>
              <w:adjustRightInd w:val="0"/>
              <w:ind w:firstLine="480"/>
              <w:rPr>
                <w:rFonts w:ascii="Times New Roman" w:hAnsi="Times New Roman" w:eastAsia="宋体"/>
                <w:color w:val="000000" w:themeColor="text1"/>
                <w:shd w:val="clear" w:color="auto" w:fill="FFFFFF"/>
                <w14:textFill>
                  <w14:solidFill>
                    <w14:schemeClr w14:val="tx1"/>
                  </w14:solidFill>
                </w14:textFill>
              </w:rPr>
            </w:pPr>
            <w:r>
              <w:rPr>
                <w:rFonts w:ascii="Times New Roman" w:hAnsi="Times New Roman" w:eastAsia="宋体"/>
                <w:color w:val="000000" w:themeColor="text1"/>
                <w14:textFill>
                  <w14:solidFill>
                    <w14:schemeClr w14:val="tx1"/>
                  </w14:solidFill>
                </w14:textFill>
              </w:rPr>
              <w:t>修复区底部先进行场地清理；整平后在场地底部铺设0.75m厚粘土作为支撑层，粘土</w:t>
            </w:r>
            <w:r>
              <w:rPr>
                <w:rFonts w:ascii="Times New Roman" w:hAnsi="Times New Roman" w:eastAsia="宋体"/>
                <w:color w:val="000000" w:themeColor="text1"/>
                <w:kern w:val="0"/>
                <w14:textFill>
                  <w14:solidFill>
                    <w14:schemeClr w14:val="tx1"/>
                  </w14:solidFill>
                </w14:textFill>
              </w:rPr>
              <w:t>采用市场购买方式获得，要求</w:t>
            </w:r>
            <w:r>
              <w:rPr>
                <w:rFonts w:ascii="Times New Roman" w:hAnsi="Times New Roman" w:eastAsia="宋体"/>
                <w:color w:val="000000" w:themeColor="text1"/>
                <w14:textFill>
                  <w14:solidFill>
                    <w14:schemeClr w14:val="tx1"/>
                  </w14:solidFill>
                </w14:textFill>
              </w:rPr>
              <w:t>粘土</w:t>
            </w:r>
            <w:r>
              <w:rPr>
                <w:rFonts w:ascii="Times New Roman" w:hAnsi="Times New Roman" w:eastAsia="宋体"/>
                <w:color w:val="000000" w:themeColor="text1"/>
                <w:kern w:val="0"/>
                <w14:textFill>
                  <w14:solidFill>
                    <w14:schemeClr w14:val="tx1"/>
                  </w14:solidFill>
                </w14:textFill>
              </w:rPr>
              <w:t>干净、含沙量小、黏粘、粒径小于0.05mm的含量应超过25%、塑性指数大于15。</w:t>
            </w:r>
            <w:r>
              <w:rPr>
                <w:rFonts w:ascii="Times New Roman" w:hAnsi="Times New Roman" w:eastAsia="宋体"/>
                <w:color w:val="000000" w:themeColor="text1"/>
                <w:shd w:val="clear" w:color="auto" w:fill="FFFFFF"/>
                <w14:textFill>
                  <w14:solidFill>
                    <w14:schemeClr w14:val="tx1"/>
                  </w14:solidFill>
                </w14:textFill>
              </w:rPr>
              <w:t>经压实措施处理后的饱和渗透系数不应大于1.0×10</w:t>
            </w:r>
            <w:r>
              <w:rPr>
                <w:rFonts w:ascii="Times New Roman" w:hAnsi="Times New Roman" w:eastAsia="宋体"/>
                <w:color w:val="000000" w:themeColor="text1"/>
                <w:shd w:val="clear" w:color="auto" w:fill="FFFFFF"/>
                <w:vertAlign w:val="superscript"/>
                <w14:textFill>
                  <w14:solidFill>
                    <w14:schemeClr w14:val="tx1"/>
                  </w14:solidFill>
                </w14:textFill>
              </w:rPr>
              <w:t>-7</w:t>
            </w:r>
            <w:r>
              <w:rPr>
                <w:rFonts w:ascii="Times New Roman" w:hAnsi="Times New Roman" w:eastAsia="宋体"/>
                <w:color w:val="000000" w:themeColor="text1"/>
                <w:shd w:val="clear" w:color="auto" w:fill="FFFFFF"/>
                <w14:textFill>
                  <w14:solidFill>
                    <w14:schemeClr w14:val="tx1"/>
                  </w14:solidFill>
                </w14:textFill>
              </w:rPr>
              <w:t>cm/s。粘土层上铺设400g/m</w:t>
            </w:r>
            <w:r>
              <w:rPr>
                <w:rFonts w:ascii="Times New Roman" w:hAnsi="Times New Roman" w:eastAsia="宋体"/>
                <w:color w:val="000000" w:themeColor="text1"/>
                <w:shd w:val="clear" w:color="auto" w:fill="FFFFFF"/>
                <w:vertAlign w:val="superscript"/>
                <w14:textFill>
                  <w14:solidFill>
                    <w14:schemeClr w14:val="tx1"/>
                  </w14:solidFill>
                </w14:textFill>
              </w:rPr>
              <w:t>2</w:t>
            </w:r>
            <w:r>
              <w:rPr>
                <w:rFonts w:ascii="Times New Roman" w:hAnsi="Times New Roman" w:eastAsia="宋体"/>
                <w:color w:val="000000" w:themeColor="text1"/>
                <w:shd w:val="clear" w:color="auto" w:fill="FFFFFF"/>
                <w14:textFill>
                  <w14:solidFill>
                    <w14:schemeClr w14:val="tx1"/>
                  </w14:solidFill>
                </w14:textFill>
              </w:rPr>
              <w:t>无纺长丝土工布作为</w:t>
            </w:r>
            <w:r>
              <w:rPr>
                <w:rFonts w:ascii="Times New Roman" w:hAnsi="Times New Roman" w:eastAsia="宋体"/>
                <w:color w:val="000000" w:themeColor="text1"/>
                <w14:textFill>
                  <w14:solidFill>
                    <w14:schemeClr w14:val="tx1"/>
                  </w14:solidFill>
                </w14:textFill>
              </w:rPr>
              <w:t>土工膜保护层，</w:t>
            </w:r>
            <w:r>
              <w:rPr>
                <w:rFonts w:ascii="Times New Roman" w:hAnsi="Times New Roman" w:eastAsia="宋体"/>
                <w:color w:val="000000" w:themeColor="text1"/>
                <w:shd w:val="clear" w:color="auto" w:fill="FFFFFF"/>
                <w14:textFill>
                  <w14:solidFill>
                    <w14:schemeClr w14:val="tx1"/>
                  </w14:solidFill>
                </w14:textFill>
              </w:rPr>
              <w:t>之后铺设</w:t>
            </w:r>
            <w:r>
              <w:rPr>
                <w:rFonts w:ascii="Times New Roman" w:hAnsi="Times New Roman" w:eastAsia="宋体"/>
                <w:color w:val="000000" w:themeColor="text1"/>
                <w:kern w:val="0"/>
                <w14:textFill>
                  <w14:solidFill>
                    <w14:schemeClr w14:val="tx1"/>
                  </w14:solidFill>
                </w14:textFill>
              </w:rPr>
              <w:t>1.5mm厚单糙面HEPD膜</w:t>
            </w:r>
            <w:r>
              <w:rPr>
                <w:rFonts w:ascii="Times New Roman" w:hAnsi="Times New Roman" w:eastAsia="宋体"/>
                <w:color w:val="000000" w:themeColor="text1"/>
                <w14:textFill>
                  <w14:solidFill>
                    <w14:schemeClr w14:val="tx1"/>
                  </w14:solidFill>
                </w14:textFill>
              </w:rPr>
              <w:t>防渗</w:t>
            </w:r>
            <w:r>
              <w:rPr>
                <w:rFonts w:ascii="Times New Roman" w:hAnsi="Times New Roman" w:eastAsia="宋体"/>
                <w:color w:val="000000" w:themeColor="text1"/>
                <w:shd w:val="clear" w:color="auto" w:fill="FFFFFF"/>
                <w14:textFill>
                  <w14:solidFill>
                    <w14:schemeClr w14:val="tx1"/>
                  </w14:solidFill>
                </w14:textFill>
              </w:rPr>
              <w:t>，并满足GB/T 17643和</w:t>
            </w:r>
            <w:r>
              <w:rPr>
                <w:rFonts w:ascii="Times New Roman" w:hAnsi="Times New Roman" w:eastAsia="宋体"/>
                <w:color w:val="000000" w:themeColor="text1"/>
                <w14:textFill>
                  <w14:solidFill>
                    <w14:schemeClr w14:val="tx1"/>
                  </w14:solidFill>
                </w14:textFill>
              </w:rPr>
              <w:t>CJ/T234-2006</w:t>
            </w:r>
            <w:r>
              <w:rPr>
                <w:rFonts w:ascii="Times New Roman" w:hAnsi="Times New Roman" w:eastAsia="宋体"/>
                <w:color w:val="000000" w:themeColor="text1"/>
                <w:shd w:val="clear" w:color="auto" w:fill="FFFFFF"/>
                <w14:textFill>
                  <w14:solidFill>
                    <w14:schemeClr w14:val="tx1"/>
                  </w14:solidFill>
                </w14:textFill>
              </w:rPr>
              <w:t>规定的技术指标要求；最后在上部回填改性磷石膏基质填料。</w:t>
            </w:r>
          </w:p>
          <w:p w14:paraId="0F82FAB9">
            <w:pPr>
              <w:pStyle w:val="9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2）边坡防渗结构</w:t>
            </w:r>
          </w:p>
          <w:p w14:paraId="69E6403A">
            <w:pPr>
              <w:pStyle w:val="9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由于场地边坡部分较陡，粘土层无法铺设，设计对边坡进行清理整平，挂网喷浆，然后再铺设一层</w:t>
            </w:r>
            <w:r>
              <w:rPr>
                <w:rFonts w:ascii="Times New Roman" w:hAnsi="Times New Roman" w:eastAsia="宋体"/>
                <w:color w:val="000000" w:themeColor="text1"/>
                <w:shd w:val="clear" w:color="auto" w:fill="FFFFFF"/>
                <w14:textFill>
                  <w14:solidFill>
                    <w14:schemeClr w14:val="tx1"/>
                  </w14:solidFill>
                </w14:textFill>
              </w:rPr>
              <w:t>400g/m</w:t>
            </w:r>
            <w:r>
              <w:rPr>
                <w:rFonts w:ascii="Times New Roman" w:hAnsi="Times New Roman" w:eastAsia="宋体"/>
                <w:color w:val="000000" w:themeColor="text1"/>
                <w:shd w:val="clear" w:color="auto" w:fill="FFFFFF"/>
                <w:vertAlign w:val="superscript"/>
                <w14:textFill>
                  <w14:solidFill>
                    <w14:schemeClr w14:val="tx1"/>
                  </w14:solidFill>
                </w14:textFill>
              </w:rPr>
              <w:t>2</w:t>
            </w:r>
            <w:r>
              <w:rPr>
                <w:rFonts w:ascii="Times New Roman" w:hAnsi="Times New Roman" w:eastAsia="宋体"/>
                <w:color w:val="000000" w:themeColor="text1"/>
                <w:shd w:val="clear" w:color="auto" w:fill="FFFFFF"/>
                <w14:textFill>
                  <w14:solidFill>
                    <w14:schemeClr w14:val="tx1"/>
                  </w14:solidFill>
                </w14:textFill>
              </w:rPr>
              <w:t>无纺长丝土工布</w:t>
            </w:r>
            <w:r>
              <w:rPr>
                <w:rFonts w:ascii="Times New Roman" w:hAnsi="Times New Roman" w:eastAsia="宋体"/>
                <w:color w:val="000000" w:themeColor="text1"/>
                <w14:textFill>
                  <w14:solidFill>
                    <w14:schemeClr w14:val="tx1"/>
                  </w14:solidFill>
                </w14:textFill>
              </w:rPr>
              <w:t>作为防渗膜的保护层铺设在边坡上，上部铺设HDPE防渗膜。</w:t>
            </w:r>
            <w:r>
              <w:rPr>
                <w:rFonts w:ascii="Times New Roman" w:hAnsi="Times New Roman" w:eastAsia="宋体"/>
                <w:color w:val="000000" w:themeColor="text1"/>
                <w:shd w:val="clear" w:color="auto" w:fill="FFFFFF"/>
                <w14:textFill>
                  <w14:solidFill>
                    <w14:schemeClr w14:val="tx1"/>
                  </w14:solidFill>
                </w14:textFill>
              </w:rPr>
              <w:t>土工布</w:t>
            </w:r>
            <w:r>
              <w:rPr>
                <w:rFonts w:ascii="Times New Roman" w:hAnsi="Times New Roman" w:eastAsia="宋体"/>
                <w:color w:val="000000" w:themeColor="text1"/>
                <w14:textFill>
                  <w14:solidFill>
                    <w14:schemeClr w14:val="tx1"/>
                  </w14:solidFill>
                </w14:textFill>
              </w:rPr>
              <w:t>和防渗膜均在矿坑顶部和分台台阶处设锚固沟进行锚固。</w:t>
            </w:r>
          </w:p>
          <w:p w14:paraId="1D9092C6">
            <w:pPr>
              <w:adjustRightInd w:val="0"/>
              <w:ind w:firstLine="480"/>
              <w:rPr>
                <w:b/>
                <w:bCs/>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②</w:t>
            </w:r>
            <w:r>
              <w:rPr>
                <w:rFonts w:hint="eastAsia"/>
                <w:b/>
                <w:bCs/>
                <w:color w:val="000000" w:themeColor="text1"/>
                <w:kern w:val="0"/>
                <w:lang w:bidi="ar"/>
                <w14:textFill>
                  <w14:solidFill>
                    <w14:schemeClr w14:val="tx1"/>
                  </w14:solidFill>
                </w14:textFill>
              </w:rPr>
              <w:t>顶部防渗</w:t>
            </w:r>
          </w:p>
          <w:p w14:paraId="750701E4">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露天采矿区改性磷石膏回填完成后，先在其顶部、台阶以及坡面上铺设防渗层，本项目设计堆体表层防渗层结构为：400g/m</w:t>
            </w:r>
            <w:r>
              <w:rPr>
                <w:rFonts w:ascii="Times New Roman" w:hAnsi="Times New Roman"/>
                <w:color w:val="000000" w:themeColor="text1"/>
                <w:sz w:val="24"/>
                <w:szCs w:val="24"/>
                <w:vertAlign w:val="super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无纺长丝土工布+1.5mmHDPE双糙面防渗膜+400g/m</w:t>
            </w:r>
            <w:r>
              <w:rPr>
                <w:rFonts w:ascii="Times New Roman" w:hAnsi="Times New Roman"/>
                <w:color w:val="000000" w:themeColor="text1"/>
                <w:sz w:val="24"/>
                <w:szCs w:val="24"/>
                <w:vertAlign w:val="super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无纺长丝土工布。在铺设防渗层前，铺设DN100HDP膜下排气管，导排表层防渗层与堆体间空气，防止表层防渗层下气体积累影响防渗层的防渗性能。表层HDPE土工膜与底部HDPE土工膜沿周边相连，以防雨水入渗。然后设置DN200HDPE排水管，导排下渗至防渗层上部的雨水，防治顶部防渗层浸泡雨水影响防渗性能。最后在顶部防渗层上部覆土复垦，表层土层适当压实，以便于后续进行生态复绿。</w:t>
            </w:r>
          </w:p>
          <w:p w14:paraId="69CFB02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施工期渗滤液经渗滤液收集井收集后晴天回用于洒水降尘，雨天在井内贮存。项目施工结束后渗滤液产生量逐渐减少。</w:t>
            </w:r>
          </w:p>
          <w:p w14:paraId="279EFB26">
            <w:pPr>
              <w:keepNext w:val="0"/>
              <w:keepLines w:val="0"/>
              <w:pageBreakBefore w:val="0"/>
              <w:kinsoku/>
              <w:wordWrap/>
              <w:overflowPunct/>
              <w:topLinePunct w:val="0"/>
              <w:autoSpaceDE/>
              <w:autoSpaceDN/>
              <w:bidi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运营期仅植被养护用水，采用罐车拉至项目区使用，根据项目水污染物环境影响分析，正常情况下项目废水全部经处理后回用，且本项目回填区设置了防渗、地下水监控井，不会对地下水水质产生不良影响。</w:t>
            </w:r>
          </w:p>
          <w:p w14:paraId="0951FDB2">
            <w:pPr>
              <w:pStyle w:val="16"/>
              <w:keepNext w:val="0"/>
              <w:keepLines w:val="0"/>
              <w:pageBreakBefore w:val="0"/>
              <w:numPr>
                <w:ilvl w:val="0"/>
                <w:numId w:val="0"/>
              </w:numPr>
              <w:kinsoku/>
              <w:wordWrap/>
              <w:overflowPunct/>
              <w:topLinePunct w:val="0"/>
              <w:autoSpaceDE/>
              <w:autoSpaceDN/>
              <w:bidi w:val="0"/>
              <w:snapToGrid w:val="0"/>
              <w:spacing w:before="0" w:after="0" w:line="360" w:lineRule="auto"/>
              <w:ind w:firstLine="482" w:firstLineChars="200"/>
              <w:textAlignment w:val="baseline"/>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bookmarkStart w:id="64" w:name="_Toc7032"/>
            <w:bookmarkStart w:id="65" w:name="_Toc13711"/>
            <w:bookmarkStart w:id="66" w:name="_Toc3836"/>
            <w:bookmarkStart w:id="67" w:name="_Toc19074"/>
            <w:bookmarkStart w:id="68" w:name="_Toc5325"/>
            <w:bookmarkStart w:id="69" w:name="_Toc5574"/>
            <w:bookmarkStart w:id="70" w:name="_Toc16979"/>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（2）非正常情况下地下水环境影响预测</w:t>
            </w:r>
            <w:bookmarkEnd w:id="64"/>
            <w:bookmarkEnd w:id="65"/>
          </w:p>
          <w:bookmarkEnd w:id="66"/>
          <w:bookmarkEnd w:id="67"/>
          <w:bookmarkEnd w:id="68"/>
          <w:bookmarkEnd w:id="69"/>
          <w:bookmarkEnd w:id="70"/>
          <w:p w14:paraId="3333CD2C">
            <w:pPr>
              <w:keepNext w:val="0"/>
              <w:keepLines w:val="0"/>
              <w:pageBreakBefore w:val="0"/>
              <w:widowControl/>
              <w:kinsoku/>
              <w:wordWrap/>
              <w:overflowPunct/>
              <w:topLinePunct w:val="0"/>
              <w:autoSpaceDE/>
              <w:autoSpaceDN/>
              <w:bidi w:val="0"/>
              <w:ind w:firstLine="480"/>
              <w:jc w:val="left"/>
              <w:rPr>
                <w:bCs/>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1）非正常事故情形</w:t>
            </w:r>
          </w:p>
          <w:p w14:paraId="0665E258">
            <w:pPr>
              <w:widowControl/>
              <w:ind w:firstLine="480"/>
              <w:jc w:val="left"/>
              <w:rPr>
                <w:color w:val="000000" w:themeColor="text1"/>
                <w14:textFill>
                  <w14:solidFill>
                    <w14:schemeClr w14:val="tx1"/>
                  </w14:solidFill>
                </w14:textFill>
              </w:rPr>
            </w:pPr>
            <w:r>
              <w:rPr>
                <w:rFonts w:hint="eastAsia"/>
                <w:bCs/>
                <w:color w:val="000000" w:themeColor="text1"/>
                <w14:textFill>
                  <w14:solidFill>
                    <w14:schemeClr w14:val="tx1"/>
                  </w14:solidFill>
                </w14:textFill>
              </w:rPr>
              <w:t>根据项目特点，</w:t>
            </w:r>
            <w:r>
              <w:rPr>
                <w:rFonts w:hint="eastAsia" w:ascii="宋体" w:hAnsi="宋体" w:cs="宋体"/>
                <w:color w:val="000000" w:themeColor="text1"/>
                <w:kern w:val="0"/>
                <w:lang w:bidi="ar"/>
                <w14:textFill>
                  <w14:solidFill>
                    <w14:schemeClr w14:val="tx1"/>
                  </w14:solidFill>
                </w14:textFill>
              </w:rPr>
              <w:t>项目可能存在的非正常情形如下：</w:t>
            </w:r>
          </w:p>
          <w:p w14:paraId="4A814C0A">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①由于工程质量问题或回填过程中操作不当造成回填场底层防渗层、渗滤液收集井防渗层发生破损，渗滤液下渗对周边的地下水环境产生污染。</w:t>
            </w:r>
          </w:p>
          <w:p w14:paraId="46996B4B">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②渗滤液收集输送不及时，导致渗滤液从渗滤液收集井漫流下渗进入地下水，对地下水环境产生污染。</w:t>
            </w:r>
          </w:p>
          <w:p w14:paraId="573613E3">
            <w:pPr>
              <w:widowControl/>
              <w:ind w:firstLine="480"/>
              <w:jc w:val="left"/>
              <w:rPr>
                <w:rFonts w:hint="eastAsia" w:ascii="宋体" w:hAnsi="宋体" w:cs="宋体"/>
                <w:color w:val="000000" w:themeColor="text1"/>
                <w:kern w:val="0"/>
                <w:lang w:bidi="ar"/>
                <w14:textFill>
                  <w14:solidFill>
                    <w14:schemeClr w14:val="tx1"/>
                  </w14:solidFill>
                </w14:textFill>
              </w:rPr>
            </w:pPr>
            <w:bookmarkStart w:id="71" w:name="_Toc27619"/>
            <w:r>
              <w:rPr>
                <w:rFonts w:hint="eastAsia" w:ascii="宋体" w:hAnsi="宋体" w:cs="宋体"/>
                <w:color w:val="000000" w:themeColor="text1"/>
                <w:kern w:val="0"/>
                <w:lang w:bidi="ar"/>
                <w14:textFill>
                  <w14:solidFill>
                    <w14:schemeClr w14:val="tx1"/>
                  </w14:solidFill>
                </w14:textFill>
              </w:rPr>
              <w:t>2）预测特征因子及预测方法</w:t>
            </w:r>
            <w:bookmarkEnd w:id="71"/>
          </w:p>
          <w:p w14:paraId="2EB34BB3">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按照导则要求，本次工作运用解析法分别对本项目非正常状况下进行了地下水环境影响预测分析。</w:t>
            </w:r>
          </w:p>
          <w:p w14:paraId="451F33DE">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由项目特征分析可知，项目生态修复作业过程中，降雨时，</w:t>
            </w:r>
            <w:r>
              <w:rPr>
                <w:rFonts w:hint="eastAsia" w:ascii="宋体" w:hAnsi="宋体" w:cs="宋体"/>
                <w:color w:val="000000" w:themeColor="text1"/>
                <w:kern w:val="0"/>
                <w:lang w:bidi="ar"/>
                <w14:textFill>
                  <w14:solidFill>
                    <w14:schemeClr w14:val="tx1"/>
                  </w14:solidFill>
                </w14:textFill>
              </w:rPr>
              <w:t>受雨水淋溶影响产生部分渗滤液，</w:t>
            </w:r>
            <w:r>
              <w:rPr>
                <w:rFonts w:hint="eastAsia"/>
                <w:color w:val="000000" w:themeColor="text1"/>
                <w14:textFill>
                  <w14:solidFill>
                    <w14:schemeClr w14:val="tx1"/>
                  </w14:solidFill>
                </w14:textFill>
              </w:rPr>
              <w:t>渗滤液经导排管最终进入渗滤液收集井。因此，渗滤液收集井是项目区废水的集中暂存区域，是项目区地下水的主要污染源。综合考虑渗滤液中污染物种类、污染物性质及污染物浓度等，本次预测因子选取氟化物。</w:t>
            </w:r>
          </w:p>
          <w:p w14:paraId="212A139F">
            <w:pPr>
              <w:ind w:firstLine="480"/>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①</w:t>
            </w:r>
            <w:r>
              <w:rPr>
                <w:rFonts w:hint="eastAsia"/>
                <w:color w:val="000000" w:themeColor="text1"/>
                <w14:textFill>
                  <w14:solidFill>
                    <w14:schemeClr w14:val="tx1"/>
                  </w14:solidFill>
                </w14:textFill>
              </w:rPr>
              <w:t>预测模型</w:t>
            </w:r>
          </w:p>
          <w:p w14:paraId="08A747A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为废弃矿坑生态修复项目，采用解析法对地下水环境的影响进行估算。计算时不考虑水流的源汇项目，且对污染物在含水层中的吸附、挥发、生物化学反应等不做考虑，将被当作保守性污染物考虑，从而可简化地下水水流及水质模型。</w:t>
            </w:r>
          </w:p>
          <w:p w14:paraId="45686C6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区污染源分布情况和污染物性质，主要考虑防渗层出现破损或破裂等非正常情况时渗滤液渗漏对地下水环境可能造成的影响，因此将污染源视为连续稳定释放的点源，对非正常情况下的污染物进行正向推算，分别计算</w:t>
            </w:r>
            <w:r>
              <w:rPr>
                <w:rFonts w:hint="eastAsia"/>
                <w:color w:val="000000" w:themeColor="text1"/>
                <w:szCs w:val="22"/>
                <w14:textFill>
                  <w14:solidFill>
                    <w14:schemeClr w14:val="tx1"/>
                  </w14:solidFill>
                </w14:textFill>
              </w:rPr>
              <w:t>污染发生后</w:t>
            </w:r>
            <w:r>
              <w:rPr>
                <w:color w:val="000000" w:themeColor="text1"/>
                <w:szCs w:val="22"/>
                <w:highlight w:val="none"/>
                <w14:textFill>
                  <w14:solidFill>
                    <w14:schemeClr w14:val="tx1"/>
                  </w14:solidFill>
                </w14:textFill>
              </w:rPr>
              <w:t>100d</w:t>
            </w:r>
            <w:r>
              <w:rPr>
                <w:rFonts w:hint="eastAsia"/>
                <w:color w:val="000000" w:themeColor="text1"/>
                <w:szCs w:val="22"/>
                <w:highlight w:val="none"/>
                <w14:textFill>
                  <w14:solidFill>
                    <w14:schemeClr w14:val="tx1"/>
                  </w14:solidFill>
                </w14:textFill>
              </w:rPr>
              <w:t>、</w:t>
            </w:r>
            <w:r>
              <w:rPr>
                <w:color w:val="000000" w:themeColor="text1"/>
                <w:szCs w:val="22"/>
                <w:highlight w:val="none"/>
                <w14:textFill>
                  <w14:solidFill>
                    <w14:schemeClr w14:val="tx1"/>
                  </w14:solidFill>
                </w14:textFill>
              </w:rPr>
              <w:t>1000d</w:t>
            </w:r>
            <w:r>
              <w:rPr>
                <w:rFonts w:hint="eastAsia"/>
                <w:color w:val="000000" w:themeColor="text1"/>
                <w:szCs w:val="22"/>
                <w:highlight w:val="none"/>
                <w14:textFill>
                  <w14:solidFill>
                    <w14:schemeClr w14:val="tx1"/>
                  </w14:solidFill>
                </w14:textFill>
              </w:rPr>
              <w:t>、1825</w:t>
            </w:r>
            <w:r>
              <w:rPr>
                <w:color w:val="000000" w:themeColor="text1"/>
                <w:szCs w:val="22"/>
                <w:highlight w:val="none"/>
                <w14:textFill>
                  <w14:solidFill>
                    <w14:schemeClr w14:val="tx1"/>
                  </w14:solidFill>
                </w14:textFill>
              </w:rPr>
              <w:t>d</w:t>
            </w:r>
            <w:r>
              <w:rPr>
                <w:rFonts w:hint="eastAsia"/>
                <w:color w:val="000000" w:themeColor="text1"/>
                <w:szCs w:val="22"/>
                <w:highlight w:val="none"/>
                <w14:textFill>
                  <w14:solidFill>
                    <w14:schemeClr w14:val="tx1"/>
                  </w14:solidFill>
                </w14:textFill>
              </w:rPr>
              <w:t>、3650</w:t>
            </w:r>
            <w:r>
              <w:rPr>
                <w:color w:val="000000" w:themeColor="text1"/>
                <w:szCs w:val="22"/>
                <w:highlight w:val="none"/>
                <w14:textFill>
                  <w14:solidFill>
                    <w14:schemeClr w14:val="tx1"/>
                  </w14:solidFill>
                </w14:textFill>
              </w:rPr>
              <w:t>d</w:t>
            </w:r>
            <w:r>
              <w:rPr>
                <w:rFonts w:hint="eastAsia"/>
                <w:color w:val="000000" w:themeColor="text1"/>
                <w:szCs w:val="22"/>
                <w:highlight w:val="none"/>
                <w:lang w:eastAsia="zh-CN"/>
                <w14:textFill>
                  <w14:solidFill>
                    <w14:schemeClr w14:val="tx1"/>
                  </w14:solidFill>
                </w14:textFill>
              </w:rPr>
              <w:t>，</w:t>
            </w:r>
            <w:r>
              <w:rPr>
                <w:rFonts w:hint="eastAsia"/>
                <w:color w:val="000000" w:themeColor="text1"/>
                <w:szCs w:val="22"/>
                <w14:textFill>
                  <w14:solidFill>
                    <w14:schemeClr w14:val="tx1"/>
                  </w14:solidFill>
                </w14:textFill>
              </w:rPr>
              <w:t>施工管护结束</w:t>
            </w:r>
            <w:r>
              <w:rPr>
                <w:rFonts w:hint="eastAsia"/>
                <w:color w:val="000000" w:themeColor="text1"/>
                <w14:textFill>
                  <w14:solidFill>
                    <w14:schemeClr w14:val="tx1"/>
                  </w14:solidFill>
                </w14:textFill>
              </w:rPr>
              <w:t>时的污染物超标扩散距离和最大迁移距离。</w:t>
            </w:r>
          </w:p>
          <w:p w14:paraId="1289653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拟建项目对地下水环境的影响预测分析采用《环境影响评价技术导则地下水环境》（</w:t>
            </w:r>
            <w:r>
              <w:rPr>
                <w:color w:val="000000" w:themeColor="text1"/>
                <w14:textFill>
                  <w14:solidFill>
                    <w14:schemeClr w14:val="tx1"/>
                  </w14:solidFill>
                </w14:textFill>
              </w:rPr>
              <w:t>HJ610-2016</w:t>
            </w:r>
            <w:r>
              <w:rPr>
                <w:rFonts w:hint="eastAsia"/>
                <w:color w:val="000000" w:themeColor="text1"/>
                <w14:textFill>
                  <w14:solidFill>
                    <w14:schemeClr w14:val="tx1"/>
                  </w14:solidFill>
                </w14:textFill>
              </w:rPr>
              <w:t>）推荐的一维稳定流动一维水动力弥散问题中的计算公式进行估算，概化条件为一维半无限长多孔介质柱体，一端为定浓度边界，且不考虑水流的源汇项目，对污染物在含水层中的吸附、挥发、生物化学反应等不作考虑，当作保守性污染物考虑，其一维连续污染物运移预测方程为：</w:t>
            </w:r>
          </w:p>
          <w:p w14:paraId="64B3B818">
            <w:pPr>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2597150" cy="527050"/>
                  <wp:effectExtent l="0" t="0" r="12700" b="5715"/>
                  <wp:docPr id="35"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11"/>
                          <pic:cNvPicPr>
                            <a:picLocks noChangeAspect="1"/>
                          </pic:cNvPicPr>
                        </pic:nvPicPr>
                        <pic:blipFill>
                          <a:blip r:embed="rId29"/>
                          <a:stretch>
                            <a:fillRect/>
                          </a:stretch>
                        </pic:blipFill>
                        <pic:spPr>
                          <a:xfrm>
                            <a:off x="0" y="0"/>
                            <a:ext cx="2597150" cy="527050"/>
                          </a:xfrm>
                          <a:prstGeom prst="rect">
                            <a:avLst/>
                          </a:prstGeom>
                          <a:noFill/>
                          <a:ln>
                            <a:noFill/>
                          </a:ln>
                        </pic:spPr>
                      </pic:pic>
                    </a:graphicData>
                  </a:graphic>
                </wp:inline>
              </w:drawing>
            </w:r>
          </w:p>
          <w:p w14:paraId="59532333">
            <w:pPr>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drawing>
                <wp:inline distT="0" distB="0" distL="114300" distR="114300">
                  <wp:extent cx="609600" cy="457200"/>
                  <wp:effectExtent l="0" t="0" r="0" b="0"/>
                  <wp:docPr id="36"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12"/>
                          <pic:cNvPicPr>
                            <a:picLocks noChangeAspect="1"/>
                          </pic:cNvPicPr>
                        </pic:nvPicPr>
                        <pic:blipFill>
                          <a:blip r:embed="rId30"/>
                          <a:stretch>
                            <a:fillRect/>
                          </a:stretch>
                        </pic:blipFill>
                        <pic:spPr>
                          <a:xfrm>
                            <a:off x="0" y="0"/>
                            <a:ext cx="609600" cy="457200"/>
                          </a:xfrm>
                          <a:prstGeom prst="rect">
                            <a:avLst/>
                          </a:prstGeom>
                          <a:noFill/>
                          <a:ln>
                            <a:noFill/>
                          </a:ln>
                        </pic:spPr>
                      </pic:pic>
                    </a:graphicData>
                  </a:graphic>
                </wp:inline>
              </w:drawing>
            </w:r>
            <w:r>
              <w:rPr>
                <w:rFonts w:hint="eastAsia"/>
                <w:color w:val="000000" w:themeColor="text1"/>
                <w14:textFill>
                  <w14:solidFill>
                    <w14:schemeClr w14:val="tx1"/>
                  </w14:solidFill>
                </w14:textFill>
              </w:rPr>
              <w:t>，</w:t>
            </w:r>
            <w:r>
              <w:rPr>
                <w:color w:val="000000" w:themeColor="text1"/>
                <w14:textFill>
                  <w14:solidFill>
                    <w14:schemeClr w14:val="tx1"/>
                  </w14:solidFill>
                </w14:textFill>
              </w:rPr>
              <w:drawing>
                <wp:inline distT="0" distB="0" distL="114300" distR="114300">
                  <wp:extent cx="768350" cy="241300"/>
                  <wp:effectExtent l="0" t="0" r="12700" b="5080"/>
                  <wp:docPr id="37"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13"/>
                          <pic:cNvPicPr>
                            <a:picLocks noChangeAspect="1"/>
                          </pic:cNvPicPr>
                        </pic:nvPicPr>
                        <pic:blipFill>
                          <a:blip r:embed="rId31"/>
                          <a:stretch>
                            <a:fillRect/>
                          </a:stretch>
                        </pic:blipFill>
                        <pic:spPr>
                          <a:xfrm>
                            <a:off x="0" y="0"/>
                            <a:ext cx="768350" cy="241300"/>
                          </a:xfrm>
                          <a:prstGeom prst="rect">
                            <a:avLst/>
                          </a:prstGeom>
                          <a:noFill/>
                          <a:ln>
                            <a:noFill/>
                          </a:ln>
                        </pic:spPr>
                      </pic:pic>
                    </a:graphicData>
                  </a:graphic>
                </wp:inline>
              </w:drawing>
            </w:r>
          </w:p>
          <w:p w14:paraId="5789D9D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式中：</w:t>
            </w:r>
            <w:r>
              <w:rPr>
                <w:color w:val="000000" w:themeColor="text1"/>
                <w14:textFill>
                  <w14:solidFill>
                    <w14:schemeClr w14:val="tx1"/>
                  </w14:solidFill>
                </w14:textFill>
              </w:rPr>
              <w:t>x</w:t>
            </w:r>
            <w:r>
              <w:rPr>
                <w:rFonts w:hint="eastAsia"/>
                <w:color w:val="000000" w:themeColor="text1"/>
                <w14:textFill>
                  <w14:solidFill>
                    <w14:schemeClr w14:val="tx1"/>
                  </w14:solidFill>
                </w14:textFill>
              </w:rPr>
              <w:t>为预测点距污染源强的距离（</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为预测时间（</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C</w:t>
            </w:r>
            <w:r>
              <w:rPr>
                <w:rFonts w:hint="eastAsia"/>
                <w:color w:val="000000" w:themeColor="text1"/>
                <w14:textFill>
                  <w14:solidFill>
                    <w14:schemeClr w14:val="tx1"/>
                  </w14:solidFill>
                </w14:textFill>
              </w:rPr>
              <w:t>为</w:t>
            </w:r>
            <w:r>
              <w:rPr>
                <w:color w:val="000000" w:themeColor="text1"/>
                <w14:textFill>
                  <w14:solidFill>
                    <w14:schemeClr w14:val="tx1"/>
                  </w14:solidFill>
                </w14:textFill>
              </w:rPr>
              <w:t>t</w:t>
            </w:r>
            <w:r>
              <w:rPr>
                <w:rFonts w:hint="eastAsia"/>
                <w:color w:val="000000" w:themeColor="text1"/>
                <w14:textFill>
                  <w14:solidFill>
                    <w14:schemeClr w14:val="tx1"/>
                  </w14:solidFill>
                </w14:textFill>
              </w:rPr>
              <w:t>时刻</w:t>
            </w:r>
            <w:r>
              <w:rPr>
                <w:color w:val="000000" w:themeColor="text1"/>
                <w14:textFill>
                  <w14:solidFill>
                    <w14:schemeClr w14:val="tx1"/>
                  </w14:solidFill>
                </w14:textFill>
              </w:rPr>
              <w:t>x</w:t>
            </w:r>
            <w:r>
              <w:rPr>
                <w:rFonts w:hint="eastAsia"/>
                <w:color w:val="000000" w:themeColor="text1"/>
                <w14:textFill>
                  <w14:solidFill>
                    <w14:schemeClr w14:val="tx1"/>
                  </w14:solidFill>
                </w14:textFill>
              </w:rPr>
              <w:t>处的污染物浓度（</w:t>
            </w:r>
            <w:r>
              <w:rPr>
                <w:color w:val="000000" w:themeColor="text1"/>
                <w14:textFill>
                  <w14:solidFill>
                    <w14:schemeClr w14:val="tx1"/>
                  </w14:solidFill>
                </w14:textFill>
              </w:rPr>
              <w:t>mg/L</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C</w:t>
            </w:r>
            <w:r>
              <w:rPr>
                <w:color w:val="000000" w:themeColor="text1"/>
                <w:vertAlign w:val="subscript"/>
                <w14:textFill>
                  <w14:solidFill>
                    <w14:schemeClr w14:val="tx1"/>
                  </w14:solidFill>
                </w14:textFill>
              </w:rPr>
              <w:t>0</w:t>
            </w:r>
            <w:r>
              <w:rPr>
                <w:rFonts w:hint="eastAsia"/>
                <w:color w:val="000000" w:themeColor="text1"/>
                <w14:textFill>
                  <w14:solidFill>
                    <w14:schemeClr w14:val="tx1"/>
                  </w14:solidFill>
                </w14:textFill>
              </w:rPr>
              <w:t>为地下水污染源强浓度（</w:t>
            </w:r>
            <w:r>
              <w:rPr>
                <w:color w:val="000000" w:themeColor="text1"/>
                <w14:textFill>
                  <w14:solidFill>
                    <w14:schemeClr w14:val="tx1"/>
                  </w14:solidFill>
                </w14:textFill>
              </w:rPr>
              <w:t>mg/L</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u</w:t>
            </w:r>
            <w:r>
              <w:rPr>
                <w:rFonts w:hint="eastAsia"/>
                <w:color w:val="000000" w:themeColor="text1"/>
                <w14:textFill>
                  <w14:solidFill>
                    <w14:schemeClr w14:val="tx1"/>
                  </w14:solidFill>
                </w14:textFill>
              </w:rPr>
              <w:t>为水流速度（</w:t>
            </w:r>
            <w:r>
              <w:rPr>
                <w:color w:val="000000" w:themeColor="text1"/>
                <w14:textFill>
                  <w14:solidFill>
                    <w14:schemeClr w14:val="tx1"/>
                  </w14:solidFill>
                </w14:textFill>
              </w:rPr>
              <w:t>m/d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DL</w:t>
            </w:r>
            <w:r>
              <w:rPr>
                <w:rFonts w:hint="eastAsia"/>
                <w:color w:val="000000" w:themeColor="text1"/>
                <w14:textFill>
                  <w14:solidFill>
                    <w14:schemeClr w14:val="tx1"/>
                  </w14:solidFill>
                </w14:textFill>
              </w:rPr>
              <w:t>为纵向弥散系数（㎡</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erfc</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 xml:space="preserve"> </w:t>
            </w:r>
            <w:r>
              <w:rPr>
                <w:rFonts w:hint="eastAsia"/>
                <w:color w:val="000000" w:themeColor="text1"/>
                <w14:textFill>
                  <w14:solidFill>
                    <w14:schemeClr w14:val="tx1"/>
                  </w14:solidFill>
                </w14:textFill>
              </w:rPr>
              <w:t>）为余误差函数；</w:t>
            </w:r>
            <w:r>
              <w:rPr>
                <w:color w:val="000000" w:themeColor="text1"/>
                <w14:textFill>
                  <w14:solidFill>
                    <w14:schemeClr w14:val="tx1"/>
                  </w14:solidFill>
                </w14:textFill>
              </w:rPr>
              <w:t>K</w:t>
            </w:r>
            <w:r>
              <w:rPr>
                <w:rFonts w:hint="eastAsia"/>
                <w:color w:val="000000" w:themeColor="text1"/>
                <w14:textFill>
                  <w14:solidFill>
                    <w14:schemeClr w14:val="tx1"/>
                  </w14:solidFill>
                </w14:textFill>
              </w:rPr>
              <w:t>为渗透系数（</w:t>
            </w:r>
            <w:r>
              <w:rPr>
                <w:color w:val="000000" w:themeColor="text1"/>
                <w14:textFill>
                  <w14:solidFill>
                    <w14:schemeClr w14:val="tx1"/>
                  </w14:solidFill>
                </w14:textFill>
              </w:rPr>
              <w:t>m/d</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I</w:t>
            </w:r>
            <w:r>
              <w:rPr>
                <w:rFonts w:hint="eastAsia"/>
                <w:color w:val="000000" w:themeColor="text1"/>
                <w14:textFill>
                  <w14:solidFill>
                    <w14:schemeClr w14:val="tx1"/>
                  </w14:solidFill>
                </w14:textFill>
              </w:rPr>
              <w:t>为水力坡度；</w:t>
            </w:r>
            <w:r>
              <w:rPr>
                <w:color w:val="000000" w:themeColor="text1"/>
                <w14:textFill>
                  <w14:solidFill>
                    <w14:schemeClr w14:val="tx1"/>
                  </w14:solidFill>
                </w14:textFill>
              </w:rPr>
              <w:t>aL</w:t>
            </w:r>
            <w:r>
              <w:rPr>
                <w:rFonts w:hint="eastAsia"/>
                <w:color w:val="000000" w:themeColor="text1"/>
                <w14:textFill>
                  <w14:solidFill>
                    <w14:schemeClr w14:val="tx1"/>
                  </w14:solidFill>
                </w14:textFill>
              </w:rPr>
              <w:t>为纵向弥散度（</w:t>
            </w:r>
            <w:r>
              <w:rPr>
                <w:color w:val="000000" w:themeColor="text1"/>
                <w14:textFill>
                  <w14:solidFill>
                    <w14:schemeClr w14:val="tx1"/>
                  </w14:solidFill>
                </w14:textFill>
              </w:rPr>
              <w:t>m</w:t>
            </w:r>
            <w:r>
              <w:rPr>
                <w:rFonts w:hint="eastAsia"/>
                <w:color w:val="000000" w:themeColor="text1"/>
                <w14:textFill>
                  <w14:solidFill>
                    <w14:schemeClr w14:val="tx1"/>
                  </w14:solidFill>
                </w14:textFill>
              </w:rPr>
              <w:t>）。</w:t>
            </w:r>
          </w:p>
          <w:p w14:paraId="04A55456">
            <w:pPr>
              <w:ind w:firstLine="480"/>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②</w:t>
            </w:r>
            <w:r>
              <w:rPr>
                <w:rFonts w:hint="eastAsia"/>
                <w:color w:val="000000" w:themeColor="text1"/>
                <w14:textFill>
                  <w14:solidFill>
                    <w14:schemeClr w14:val="tx1"/>
                  </w14:solidFill>
                </w14:textFill>
              </w:rPr>
              <w:t>水文地质参数取值</w:t>
            </w:r>
          </w:p>
          <w:p w14:paraId="23A33726">
            <w:pPr>
              <w:wordWrap w:val="0"/>
              <w:ind w:firstLine="480"/>
              <w:rPr>
                <w:color w:val="000000" w:themeColor="text1"/>
                <w:highlight w:val="none"/>
                <w14:textFill>
                  <w14:solidFill>
                    <w14:schemeClr w14:val="tx1"/>
                  </w14:solidFill>
                </w14:textFill>
              </w:rPr>
            </w:pPr>
            <w:r>
              <w:rPr>
                <w:rFonts w:hint="eastAsia"/>
                <w:b/>
                <w:bCs/>
                <w:color w:val="000000" w:themeColor="text1"/>
                <w14:textFill>
                  <w14:solidFill>
                    <w14:schemeClr w14:val="tx1"/>
                  </w14:solidFill>
                </w14:textFill>
              </w:rPr>
              <w:t>渗透系数（</w:t>
            </w:r>
            <w:r>
              <w:rPr>
                <w:b/>
                <w:bCs/>
                <w:color w:val="000000" w:themeColor="text1"/>
                <w14:textFill>
                  <w14:solidFill>
                    <w14:schemeClr w14:val="tx1"/>
                  </w14:solidFill>
                </w14:textFill>
              </w:rPr>
              <w:t>K</w:t>
            </w:r>
            <w:r>
              <w:rPr>
                <w:rFonts w:hint="eastAsia"/>
                <w:b/>
                <w:bCs/>
                <w:color w:val="000000" w:themeColor="text1"/>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根据</w:t>
            </w:r>
            <w:bookmarkStart w:id="72" w:name="OLE_LINK2"/>
            <w:r>
              <w:rPr>
                <w:rFonts w:hint="eastAsia" w:ascii="Times New Roman" w:hAnsi="Times New Roman" w:eastAsia="宋体"/>
                <w:color w:val="000000" w:themeColor="text1"/>
                <w:highlight w:val="none"/>
                <w14:textFill>
                  <w14:solidFill>
                    <w14:schemeClr w14:val="tx1"/>
                  </w14:solidFill>
                </w14:textFill>
              </w:rPr>
              <w:t>广西华蓝岩土工程有限公司</w:t>
            </w:r>
            <w:bookmarkEnd w:id="72"/>
            <w:r>
              <w:rPr>
                <w:rFonts w:hint="eastAsia"/>
                <w:color w:val="000000" w:themeColor="text1"/>
                <w:highlight w:val="none"/>
                <w14:textFill>
                  <w14:solidFill>
                    <w14:schemeClr w14:val="tx1"/>
                  </w14:solidFill>
                </w14:textFill>
              </w:rPr>
              <w:t>编制的《云南省寻甸县大旋塘采石场废弃矿坑生态修复水文地质勘察报告》资料，项目区下广泛分布灰岩，该层渗透系数为</w:t>
            </w:r>
            <w:r>
              <w:rPr>
                <w:rFonts w:hint="eastAsia"/>
                <w:color w:val="000000" w:themeColor="text1"/>
                <w:highlight w:val="none"/>
                <w:lang w:val="en-US" w:eastAsia="zh-CN"/>
                <w14:textFill>
                  <w14:solidFill>
                    <w14:schemeClr w14:val="tx1"/>
                  </w14:solidFill>
                </w14:textFill>
              </w:rPr>
              <w:t>7.53</w:t>
            </w:r>
            <w:r>
              <w:rPr>
                <w:rFonts w:hint="eastAsia"/>
                <w:color w:val="000000" w:themeColor="text1"/>
                <w:highlight w:val="none"/>
                <w14:textFill>
                  <w14:solidFill>
                    <w14:schemeClr w14:val="tx1"/>
                  </w14:solidFill>
                </w14:textFill>
              </w:rPr>
              <w:t>×10</w:t>
            </w:r>
            <w:r>
              <w:rPr>
                <w:rFonts w:hint="eastAsia"/>
                <w:color w:val="000000" w:themeColor="text1"/>
                <w:highlight w:val="none"/>
                <w:vertAlign w:val="superscript"/>
                <w14:textFill>
                  <w14:solidFill>
                    <w14:schemeClr w14:val="tx1"/>
                  </w14:solidFill>
                </w14:textFill>
              </w:rPr>
              <w:t>-</w:t>
            </w:r>
            <w:r>
              <w:rPr>
                <w:rFonts w:hint="eastAsia"/>
                <w:color w:val="000000" w:themeColor="text1"/>
                <w:highlight w:val="none"/>
                <w:vertAlign w:val="superscript"/>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cm/s，多呈弱透水，本次计算时渗透系数取为</w:t>
            </w:r>
            <w:r>
              <w:rPr>
                <w:rFonts w:hint="eastAsia"/>
                <w:color w:val="000000" w:themeColor="text1"/>
                <w:highlight w:val="none"/>
                <w:lang w:val="en-US" w:eastAsia="zh-CN"/>
                <w14:textFill>
                  <w14:solidFill>
                    <w14:schemeClr w14:val="tx1"/>
                  </w14:solidFill>
                </w14:textFill>
              </w:rPr>
              <w:t>7.53</w:t>
            </w:r>
            <w:r>
              <w:rPr>
                <w:rFonts w:hint="eastAsia"/>
                <w:color w:val="000000" w:themeColor="text1"/>
                <w:highlight w:val="none"/>
                <w14:textFill>
                  <w14:solidFill>
                    <w14:schemeClr w14:val="tx1"/>
                  </w14:solidFill>
                </w14:textFill>
              </w:rPr>
              <w:t>×10</w:t>
            </w:r>
            <w:r>
              <w:rPr>
                <w:rFonts w:hint="eastAsia"/>
                <w:color w:val="000000" w:themeColor="text1"/>
                <w:highlight w:val="none"/>
                <w:vertAlign w:val="superscript"/>
                <w14:textFill>
                  <w14:solidFill>
                    <w14:schemeClr w14:val="tx1"/>
                  </w14:solidFill>
                </w14:textFill>
              </w:rPr>
              <w:t>-</w:t>
            </w:r>
            <w:r>
              <w:rPr>
                <w:rFonts w:hint="eastAsia"/>
                <w:color w:val="000000" w:themeColor="text1"/>
                <w:highlight w:val="none"/>
                <w:vertAlign w:val="superscript"/>
                <w:lang w:val="en-US" w:eastAsia="zh-CN"/>
                <w14:textFill>
                  <w14:solidFill>
                    <w14:schemeClr w14:val="tx1"/>
                  </w14:solidFill>
                </w14:textFill>
              </w:rPr>
              <w:t>4</w:t>
            </w:r>
            <w:r>
              <w:rPr>
                <w:rFonts w:hint="eastAsia"/>
                <w:color w:val="000000" w:themeColor="text1"/>
                <w:highlight w:val="none"/>
                <w14:textFill>
                  <w14:solidFill>
                    <w14:schemeClr w14:val="tx1"/>
                  </w14:solidFill>
                </w14:textFill>
              </w:rPr>
              <w:t>cm/s，即K=0.</w:t>
            </w:r>
            <w:r>
              <w:rPr>
                <w:rFonts w:hint="eastAsia"/>
                <w:color w:val="000000" w:themeColor="text1"/>
                <w:highlight w:val="none"/>
                <w:lang w:val="en-US" w:eastAsia="zh-CN"/>
                <w14:textFill>
                  <w14:solidFill>
                    <w14:schemeClr w14:val="tx1"/>
                  </w14:solidFill>
                </w14:textFill>
              </w:rPr>
              <w:t>65</w:t>
            </w:r>
            <w:r>
              <w:rPr>
                <w:rFonts w:hint="eastAsia"/>
                <w:color w:val="000000" w:themeColor="text1"/>
                <w:highlight w:val="none"/>
                <w14:textFill>
                  <w14:solidFill>
                    <w14:schemeClr w14:val="tx1"/>
                  </w14:solidFill>
                </w14:textFill>
              </w:rPr>
              <w:t>m/d。</w:t>
            </w:r>
          </w:p>
          <w:p w14:paraId="079BEEE1">
            <w:pPr>
              <w:wordWrap w:val="0"/>
              <w:ind w:firstLine="480"/>
              <w:rPr>
                <w:color w:val="000000" w:themeColor="text1"/>
                <w:highlight w:val="none"/>
                <w14:textFill>
                  <w14:solidFill>
                    <w14:schemeClr w14:val="tx1"/>
                  </w14:solidFill>
                </w14:textFill>
              </w:rPr>
            </w:pPr>
            <w:r>
              <w:rPr>
                <w:rFonts w:hint="eastAsia"/>
                <w:b/>
                <w:bCs/>
                <w:color w:val="000000" w:themeColor="text1"/>
                <w14:textFill>
                  <w14:solidFill>
                    <w14:schemeClr w14:val="tx1"/>
                  </w14:solidFill>
                </w14:textFill>
              </w:rPr>
              <w:t>有效孔隙度（</w:t>
            </w:r>
            <w:r>
              <w:rPr>
                <w:b/>
                <w:bCs/>
                <w:color w:val="000000" w:themeColor="text1"/>
                <w14:textFill>
                  <w14:solidFill>
                    <w14:schemeClr w14:val="tx1"/>
                  </w14:solidFill>
                </w14:textFill>
              </w:rPr>
              <w:t>n</w:t>
            </w:r>
            <w:r>
              <w:rPr>
                <w:b/>
                <w:bCs/>
                <w:color w:val="000000" w:themeColor="text1"/>
                <w:sz w:val="16"/>
                <w:szCs w:val="16"/>
                <w14:textFill>
                  <w14:solidFill>
                    <w14:schemeClr w14:val="tx1"/>
                  </w14:solidFill>
                </w14:textFill>
              </w:rPr>
              <w:t>e</w:t>
            </w:r>
            <w:r>
              <w:rPr>
                <w:rFonts w:hint="eastAsia"/>
                <w:b/>
                <w:bCs/>
                <w:color w:val="000000" w:themeColor="text1"/>
                <w14:textFill>
                  <w14:solidFill>
                    <w14:schemeClr w14:val="tx1"/>
                  </w14:solidFill>
                </w14:textFill>
              </w:rPr>
              <w:t>）：</w:t>
            </w:r>
            <w:r>
              <w:rPr>
                <w:rFonts w:hint="eastAsia"/>
                <w:color w:val="000000" w:themeColor="text1"/>
                <w:highlight w:val="none"/>
                <w14:textFill>
                  <w14:solidFill>
                    <w14:schemeClr w14:val="tx1"/>
                  </w14:solidFill>
                </w14:textFill>
              </w:rPr>
              <w:t>根据</w:t>
            </w:r>
            <w:r>
              <w:rPr>
                <w:rFonts w:hint="eastAsia" w:ascii="Times New Roman" w:hAnsi="Times New Roman" w:eastAsia="宋体"/>
                <w:color w:val="000000" w:themeColor="text1"/>
                <w:highlight w:val="none"/>
                <w14:textFill>
                  <w14:solidFill>
                    <w14:schemeClr w14:val="tx1"/>
                  </w14:solidFill>
                </w14:textFill>
              </w:rPr>
              <w:t>广西华蓝岩土工程有限公司</w:t>
            </w:r>
            <w:r>
              <w:rPr>
                <w:rFonts w:hint="eastAsia"/>
                <w:color w:val="000000" w:themeColor="text1"/>
                <w:highlight w:val="none"/>
                <w14:textFill>
                  <w14:solidFill>
                    <w14:schemeClr w14:val="tx1"/>
                  </w14:solidFill>
                </w14:textFill>
              </w:rPr>
              <w:t>编制的《云南省昆明市寻甸县鸡街镇古城新石桥村大旋塘采石场生态修复治理场地岩土工程勘察报告》可知，项目区土质孔隙度</w:t>
            </w:r>
            <w:r>
              <w:rPr>
                <w:rFonts w:hint="eastAsia"/>
                <w:color w:val="000000" w:themeColor="text1"/>
                <w:highlight w:val="none"/>
                <w:lang w:val="en-US" w:eastAsia="zh-CN"/>
                <w14:textFill>
                  <w14:solidFill>
                    <w14:schemeClr w14:val="tx1"/>
                  </w14:solidFill>
                </w14:textFill>
              </w:rPr>
              <w:t>平均</w:t>
            </w:r>
            <w:r>
              <w:rPr>
                <w:rFonts w:hint="eastAsia"/>
                <w:color w:val="000000" w:themeColor="text1"/>
                <w:highlight w:val="none"/>
                <w14:textFill>
                  <w14:solidFill>
                    <w14:schemeClr w14:val="tx1"/>
                  </w14:solidFill>
                </w14:textFill>
              </w:rPr>
              <w:t>值为</w:t>
            </w:r>
            <w:r>
              <w:rPr>
                <w:rFonts w:hint="eastAsia"/>
                <w:color w:val="000000" w:themeColor="text1"/>
                <w:highlight w:val="none"/>
                <w:lang w:val="en-US" w:eastAsia="zh-CN"/>
                <w14:textFill>
                  <w14:solidFill>
                    <w14:schemeClr w14:val="tx1"/>
                  </w14:solidFill>
                </w14:textFill>
              </w:rPr>
              <w:t>1.4</w:t>
            </w:r>
            <w:r>
              <w:rPr>
                <w:rFonts w:hint="eastAsia"/>
                <w:color w:val="000000" w:themeColor="text1"/>
                <w:highlight w:val="none"/>
                <w14:textFill>
                  <w14:solidFill>
                    <w14:schemeClr w14:val="tx1"/>
                  </w14:solidFill>
                </w14:textFill>
              </w:rPr>
              <w:t>，因此次预测孔隙度取值按</w:t>
            </w:r>
            <w:r>
              <w:rPr>
                <w:rFonts w:hint="eastAsia"/>
                <w:color w:val="000000" w:themeColor="text1"/>
                <w:highlight w:val="none"/>
                <w:lang w:val="en-US" w:eastAsia="zh-CN"/>
                <w14:textFill>
                  <w14:solidFill>
                    <w14:schemeClr w14:val="tx1"/>
                  </w14:solidFill>
                </w14:textFill>
              </w:rPr>
              <w:t>1.4</w:t>
            </w:r>
            <w:r>
              <w:rPr>
                <w:rFonts w:hint="eastAsia"/>
                <w:color w:val="000000" w:themeColor="text1"/>
                <w:highlight w:val="none"/>
                <w14:textFill>
                  <w14:solidFill>
                    <w14:schemeClr w14:val="tx1"/>
                  </w14:solidFill>
                </w14:textFill>
              </w:rPr>
              <w:t>计算。一般有效孔隙度约为孔隙度的20%~30%，本次评价按30%取值，则有效孔隙度ne=</w:t>
            </w:r>
            <w:r>
              <w:rPr>
                <w:rFonts w:hint="eastAsia"/>
                <w:color w:val="000000" w:themeColor="text1"/>
                <w:highlight w:val="none"/>
                <w:lang w:val="en-US" w:eastAsia="zh-CN"/>
                <w14:textFill>
                  <w14:solidFill>
                    <w14:schemeClr w14:val="tx1"/>
                  </w14:solidFill>
                </w14:textFill>
              </w:rPr>
              <w:t>1.4</w:t>
            </w:r>
            <w:r>
              <w:rPr>
                <w:rFonts w:hint="eastAsia"/>
                <w:color w:val="000000" w:themeColor="text1"/>
                <w:highlight w:val="none"/>
                <w14:textFill>
                  <w14:solidFill>
                    <w14:schemeClr w14:val="tx1"/>
                  </w14:solidFill>
                </w14:textFill>
              </w:rPr>
              <w:t>×0.3=0.</w:t>
            </w:r>
            <w:r>
              <w:rPr>
                <w:rFonts w:hint="eastAsia"/>
                <w:color w:val="000000" w:themeColor="text1"/>
                <w:highlight w:val="none"/>
                <w:lang w:val="en-US" w:eastAsia="zh-CN"/>
                <w14:textFill>
                  <w14:solidFill>
                    <w14:schemeClr w14:val="tx1"/>
                  </w14:solidFill>
                </w14:textFill>
              </w:rPr>
              <w:t>42</w:t>
            </w:r>
            <w:r>
              <w:rPr>
                <w:rFonts w:hint="eastAsia"/>
                <w:color w:val="000000" w:themeColor="text1"/>
                <w:highlight w:val="none"/>
                <w14:textFill>
                  <w14:solidFill>
                    <w14:schemeClr w14:val="tx1"/>
                  </w14:solidFill>
                </w14:textFill>
              </w:rPr>
              <w:t>。</w:t>
            </w:r>
          </w:p>
          <w:p w14:paraId="2D19777D">
            <w:pPr>
              <w:ind w:firstLine="480"/>
              <w:rPr>
                <w:rFonts w:hint="eastAsia" w:ascii="Times New Roman" w:hAnsi="Times New Roman" w:eastAsia="宋体"/>
                <w:color w:val="000000" w:themeColor="text1"/>
                <w:highlight w:val="none"/>
                <w14:textFill>
                  <w14:solidFill>
                    <w14:schemeClr w14:val="tx1"/>
                  </w14:solidFill>
                </w14:textFill>
              </w:rPr>
            </w:pPr>
            <w:r>
              <w:rPr>
                <w:rFonts w:hint="eastAsia"/>
                <w:b/>
                <w:bCs/>
                <w:color w:val="000000" w:themeColor="text1"/>
                <w14:textFill>
                  <w14:solidFill>
                    <w14:schemeClr w14:val="tx1"/>
                  </w14:solidFill>
                </w14:textFill>
              </w:rPr>
              <w:t>水力坡度（</w:t>
            </w:r>
            <w:r>
              <w:rPr>
                <w:b/>
                <w:bCs/>
                <w:color w:val="000000" w:themeColor="text1"/>
                <w14:textFill>
                  <w14:solidFill>
                    <w14:schemeClr w14:val="tx1"/>
                  </w14:solidFill>
                </w14:textFill>
              </w:rPr>
              <w:t>I</w:t>
            </w:r>
            <w:r>
              <w:rPr>
                <w:rFonts w:hint="eastAsia"/>
                <w:b/>
                <w:bCs/>
                <w:color w:val="000000" w:themeColor="text1"/>
                <w14:textFill>
                  <w14:solidFill>
                    <w14:schemeClr w14:val="tx1"/>
                  </w14:solidFill>
                </w14:textFill>
              </w:rPr>
              <w:t>）及水流速度（</w:t>
            </w:r>
            <w:r>
              <w:rPr>
                <w:b/>
                <w:bCs/>
                <w:color w:val="000000" w:themeColor="text1"/>
                <w14:textFill>
                  <w14:solidFill>
                    <w14:schemeClr w14:val="tx1"/>
                  </w14:solidFill>
                </w14:textFill>
              </w:rPr>
              <w:t>u</w:t>
            </w:r>
            <w:r>
              <w:rPr>
                <w:rFonts w:hint="eastAsia"/>
                <w:b/>
                <w:bCs/>
                <w:color w:val="000000" w:themeColor="text1"/>
                <w14:textFill>
                  <w14:solidFill>
                    <w14:schemeClr w14:val="tx1"/>
                  </w14:solidFill>
                </w14:textFill>
              </w:rPr>
              <w:t>）</w:t>
            </w:r>
            <w:r>
              <w:rPr>
                <w:rFonts w:hint="eastAsia"/>
                <w:color w:val="000000" w:themeColor="text1"/>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根据《云南省寻甸县大旋塘采石场废弃矿坑生态修复水文地质勘察报告》可知，依据</w:t>
            </w:r>
            <w:r>
              <w:rPr>
                <w:rFonts w:hint="eastAsia" w:ascii="Times New Roman" w:hAnsi="Times New Roman" w:eastAsia="宋体"/>
                <w:color w:val="000000" w:themeColor="text1"/>
                <w:highlight w:val="none"/>
                <w:lang w:val="en-US" w:eastAsia="zh-CN"/>
                <w14:textFill>
                  <w14:solidFill>
                    <w14:schemeClr w14:val="tx1"/>
                  </w14:solidFill>
                </w14:textFill>
              </w:rPr>
              <w:t>前文</w:t>
            </w:r>
            <w:r>
              <w:rPr>
                <w:rFonts w:hint="eastAsia" w:ascii="Times New Roman" w:hAnsi="Times New Roman" w:eastAsia="宋体"/>
                <w:color w:val="000000" w:themeColor="text1"/>
                <w:highlight w:val="none"/>
                <w14:textFill>
                  <w14:solidFill>
                    <w14:schemeClr w14:val="tx1"/>
                  </w14:solidFill>
                </w14:textFill>
              </w:rPr>
              <w:t>JCJ02与JCJ03之间的距离与水位高差测算，地下水水力坡度大约1.2%</w:t>
            </w:r>
            <w:r>
              <w:rPr>
                <w:rFonts w:hint="eastAsia" w:ascii="Times New Roman" w:hAnsi="Times New Roman" w:eastAsia="宋体"/>
                <w:color w:val="000000" w:themeColor="text1"/>
                <w:highlight w:val="none"/>
                <w:lang w:eastAsia="zh-CN"/>
                <w14:textFill>
                  <w14:solidFill>
                    <w14:schemeClr w14:val="tx1"/>
                  </w14:solidFill>
                </w14:textFill>
              </w:rPr>
              <w:t>，</w:t>
            </w:r>
            <w:r>
              <w:rPr>
                <w:rFonts w:hint="eastAsia" w:ascii="Times New Roman" w:hAnsi="Times New Roman" w:eastAsia="宋体"/>
                <w:color w:val="000000" w:themeColor="text1"/>
                <w:highlight w:val="none"/>
                <w14:textFill>
                  <w14:solidFill>
                    <w14:schemeClr w14:val="tx1"/>
                  </w14:solidFill>
                </w14:textFill>
              </w:rPr>
              <w:t>I=0.0</w:t>
            </w:r>
            <w:r>
              <w:rPr>
                <w:rFonts w:hint="eastAsia" w:ascii="Times New Roman" w:hAnsi="Times New Roman" w:eastAsia="宋体"/>
                <w:color w:val="000000" w:themeColor="text1"/>
                <w:highlight w:val="none"/>
                <w:lang w:val="en-US" w:eastAsia="zh-CN"/>
                <w14:textFill>
                  <w14:solidFill>
                    <w14:schemeClr w14:val="tx1"/>
                  </w14:solidFill>
                </w14:textFill>
              </w:rPr>
              <w:t>12</w:t>
            </w:r>
            <w:r>
              <w:rPr>
                <w:rFonts w:hint="eastAsia" w:ascii="Times New Roman" w:hAnsi="Times New Roman" w:eastAsia="宋体"/>
                <w:color w:val="000000" w:themeColor="text1"/>
                <w:highlight w:val="none"/>
                <w14:textFill>
                  <w14:solidFill>
                    <w14:schemeClr w14:val="tx1"/>
                  </w14:solidFill>
                </w14:textFill>
              </w:rPr>
              <w:t>。根据达西定律：地下水渗流速度V=KI=</w:t>
            </w:r>
            <w:r>
              <w:rPr>
                <w:rFonts w:hint="eastAsia" w:ascii="Times New Roman" w:hAnsi="Times New Roman" w:eastAsia="宋体"/>
                <w:color w:val="000000" w:themeColor="text1"/>
                <w:highlight w:val="none"/>
                <w:lang w:val="en-US" w:eastAsia="zh-CN"/>
                <w14:textFill>
                  <w14:solidFill>
                    <w14:schemeClr w14:val="tx1"/>
                  </w14:solidFill>
                </w14:textFill>
              </w:rPr>
              <w:t>0.65</w:t>
            </w:r>
            <w:r>
              <w:rPr>
                <w:rFonts w:hint="eastAsia" w:ascii="Times New Roman" w:hAnsi="Times New Roman" w:eastAsia="宋体"/>
                <w:color w:val="000000" w:themeColor="text1"/>
                <w:highlight w:val="none"/>
                <w14:textFill>
                  <w14:solidFill>
                    <w14:schemeClr w14:val="tx1"/>
                  </w14:solidFill>
                </w14:textFill>
              </w:rPr>
              <w:t>*0.0</w:t>
            </w:r>
            <w:r>
              <w:rPr>
                <w:rFonts w:hint="eastAsia" w:ascii="Times New Roman" w:hAnsi="Times New Roman" w:eastAsia="宋体"/>
                <w:color w:val="000000" w:themeColor="text1"/>
                <w:highlight w:val="none"/>
                <w:lang w:val="en-US" w:eastAsia="zh-CN"/>
                <w14:textFill>
                  <w14:solidFill>
                    <w14:schemeClr w14:val="tx1"/>
                  </w14:solidFill>
                </w14:textFill>
              </w:rPr>
              <w:t>12</w:t>
            </w:r>
            <w:r>
              <w:rPr>
                <w:rFonts w:hint="eastAsia" w:ascii="Times New Roman" w:hAnsi="Times New Roman" w:eastAsia="宋体"/>
                <w:color w:val="000000" w:themeColor="text1"/>
                <w:highlight w:val="none"/>
                <w14:textFill>
                  <w14:solidFill>
                    <w14:schemeClr w14:val="tx1"/>
                  </w14:solidFill>
                </w14:textFill>
              </w:rPr>
              <w:t>=0.00</w:t>
            </w:r>
            <w:r>
              <w:rPr>
                <w:rFonts w:hint="eastAsia" w:ascii="Times New Roman" w:hAnsi="Times New Roman" w:eastAsia="宋体"/>
                <w:color w:val="000000" w:themeColor="text1"/>
                <w:highlight w:val="none"/>
                <w:lang w:val="en-US" w:eastAsia="zh-CN"/>
                <w14:textFill>
                  <w14:solidFill>
                    <w14:schemeClr w14:val="tx1"/>
                  </w14:solidFill>
                </w14:textFill>
              </w:rPr>
              <w:t>78</w:t>
            </w:r>
            <w:r>
              <w:rPr>
                <w:rFonts w:hint="eastAsia" w:ascii="Times New Roman" w:hAnsi="Times New Roman" w:eastAsia="宋体"/>
                <w:color w:val="000000" w:themeColor="text1"/>
                <w:highlight w:val="none"/>
                <w14:textFill>
                  <w14:solidFill>
                    <w14:schemeClr w14:val="tx1"/>
                  </w14:solidFill>
                </w14:textFill>
              </w:rPr>
              <w:t>m/d，则实际地下水流速u=V/ne=0.01</w:t>
            </w:r>
            <w:r>
              <w:rPr>
                <w:rFonts w:hint="eastAsia" w:ascii="Times New Roman" w:hAnsi="Times New Roman" w:eastAsia="宋体"/>
                <w:color w:val="000000" w:themeColor="text1"/>
                <w:highlight w:val="none"/>
                <w:lang w:val="en-US" w:eastAsia="zh-CN"/>
                <w14:textFill>
                  <w14:solidFill>
                    <w14:schemeClr w14:val="tx1"/>
                  </w14:solidFill>
                </w14:textFill>
              </w:rPr>
              <w:t>86</w:t>
            </w:r>
            <w:r>
              <w:rPr>
                <w:rFonts w:hint="eastAsia" w:ascii="Times New Roman" w:hAnsi="Times New Roman" w:eastAsia="宋体"/>
                <w:color w:val="000000" w:themeColor="text1"/>
                <w:highlight w:val="none"/>
                <w14:textFill>
                  <w14:solidFill>
                    <w14:schemeClr w14:val="tx1"/>
                  </w14:solidFill>
                </w14:textFill>
              </w:rPr>
              <w:t>m/d。</w:t>
            </w:r>
          </w:p>
          <w:p w14:paraId="01A33BC7">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弥散度及弥散系数：</w:t>
            </w:r>
            <w:r>
              <w:rPr>
                <w:rFonts w:hint="eastAsia"/>
                <w:color w:val="000000" w:themeColor="text1"/>
                <w14:textFill>
                  <w14:solidFill>
                    <w14:schemeClr w14:val="tx1"/>
                  </w14:solidFill>
                </w14:textFill>
              </w:rPr>
              <w:t>成建梅（</w:t>
            </w:r>
            <w:r>
              <w:rPr>
                <w:color w:val="000000" w:themeColor="text1"/>
                <w14:textFill>
                  <w14:solidFill>
                    <w14:schemeClr w14:val="tx1"/>
                  </w14:solidFill>
                </w14:textFill>
              </w:rPr>
              <w:t>2002</w:t>
            </w:r>
            <w:r>
              <w:rPr>
                <w:rFonts w:hint="eastAsia"/>
                <w:color w:val="000000" w:themeColor="text1"/>
                <w14:textFill>
                  <w14:solidFill>
                    <w14:schemeClr w14:val="tx1"/>
                  </w14:solidFill>
                </w14:textFill>
              </w:rPr>
              <w:t>年）收集了大量国内外在不同试验尺度下和实验条件下分别运用解析方法和数值方法所得的纵向弥散度资料，</w:t>
            </w:r>
            <w:r>
              <w:rPr>
                <w:color w:val="000000" w:themeColor="text1"/>
                <w14:textFill>
                  <w14:solidFill>
                    <w14:schemeClr w14:val="tx1"/>
                  </w14:solidFill>
                </w14:textFill>
              </w:rPr>
              <w:t>Zech</w:t>
            </w:r>
            <w:r>
              <w:rPr>
                <w:rFonts w:hint="eastAsia"/>
                <w:color w:val="000000" w:themeColor="text1"/>
                <w14:textFill>
                  <w14:solidFill>
                    <w14:schemeClr w14:val="tx1"/>
                  </w14:solidFill>
                </w14:textFill>
              </w:rPr>
              <w:t>等（</w:t>
            </w:r>
            <w:r>
              <w:rPr>
                <w:color w:val="000000" w:themeColor="text1"/>
                <w14:textFill>
                  <w14:solidFill>
                    <w14:schemeClr w14:val="tx1"/>
                  </w14:solidFill>
                </w14:textFill>
              </w:rPr>
              <w:t>2015</w:t>
            </w:r>
            <w:r>
              <w:rPr>
                <w:rFonts w:hint="eastAsia"/>
                <w:color w:val="000000" w:themeColor="text1"/>
                <w14:textFill>
                  <w14:solidFill>
                    <w14:schemeClr w14:val="tx1"/>
                  </w14:solidFill>
                </w14:textFill>
              </w:rPr>
              <w:t>年）系统研究分析了最近</w:t>
            </w:r>
            <w:r>
              <w:rPr>
                <w:color w:val="000000" w:themeColor="text1"/>
                <w14:textFill>
                  <w14:solidFill>
                    <w14:schemeClr w14:val="tx1"/>
                  </w14:solidFill>
                </w14:textFill>
              </w:rPr>
              <w:t>50</w:t>
            </w:r>
            <w:r>
              <w:rPr>
                <w:rFonts w:hint="eastAsia"/>
                <w:color w:val="000000" w:themeColor="text1"/>
                <w14:textFill>
                  <w14:solidFill>
                    <w14:schemeClr w14:val="tx1"/>
                  </w14:solidFill>
                </w14:textFill>
              </w:rPr>
              <w:t>年全世界各地不同试验含水层和场地试验中弥散度和尺度、相关长度及非均质特征之间的关系并重新评估了弥散度与尺度的关系，如下图所示。从图中我们可以看出弥散度在千米尺度范围内渐近于</w:t>
            </w:r>
            <w:r>
              <w:rPr>
                <w:color w:val="000000" w:themeColor="text1"/>
                <w14:textFill>
                  <w14:solidFill>
                    <w14:schemeClr w14:val="tx1"/>
                  </w14:solidFill>
                </w14:textFill>
              </w:rPr>
              <w:t>10</w:t>
            </w:r>
            <w:r>
              <w:rPr>
                <w:rFonts w:hint="eastAsia"/>
                <w:color w:val="000000" w:themeColor="text1"/>
                <w14:textFill>
                  <w14:solidFill>
                    <w14:schemeClr w14:val="tx1"/>
                  </w14:solidFill>
                </w14:textFill>
              </w:rPr>
              <w:t>。本次评价以最不利情况考虑，因此计算时纵向弥散度</w:t>
            </w:r>
            <w:r>
              <w:rPr>
                <w:color w:val="000000" w:themeColor="text1"/>
                <w14:textFill>
                  <w14:solidFill>
                    <w14:schemeClr w14:val="tx1"/>
                  </w14:solidFill>
                </w14:textFill>
              </w:rPr>
              <w:t>aL</w:t>
            </w:r>
            <w:r>
              <w:rPr>
                <w:rFonts w:hint="eastAsia"/>
                <w:color w:val="000000" w:themeColor="text1"/>
                <w14:textFill>
                  <w14:solidFill>
                    <w14:schemeClr w14:val="tx1"/>
                  </w14:solidFill>
                </w14:textFill>
              </w:rPr>
              <w:t>取为</w:t>
            </w:r>
            <w:r>
              <w:rPr>
                <w:color w:val="000000" w:themeColor="text1"/>
                <w14:textFill>
                  <w14:solidFill>
                    <w14:schemeClr w14:val="tx1"/>
                  </w14:solidFill>
                </w14:textFill>
              </w:rPr>
              <w:t>10m</w:t>
            </w:r>
            <w:r>
              <w:rPr>
                <w:rFonts w:hint="eastAsia"/>
                <w:color w:val="000000" w:themeColor="text1"/>
                <w14:textFill>
                  <w14:solidFill>
                    <w14:schemeClr w14:val="tx1"/>
                  </w14:solidFill>
                </w14:textFill>
              </w:rPr>
              <w:t>。</w:t>
            </w:r>
          </w:p>
          <w:p w14:paraId="4BD6439A">
            <w:pPr>
              <w:ind w:firstLine="480"/>
              <w:rPr>
                <w:color w:val="000000" w:themeColor="text1"/>
                <w:highlight w:val="none"/>
                <w14:textFill>
                  <w14:solidFill>
                    <w14:schemeClr w14:val="tx1"/>
                  </w14:solidFill>
                </w14:textFill>
              </w:rPr>
            </w:pPr>
            <w:r>
              <w:rPr>
                <w:rFonts w:hint="eastAsia"/>
                <w:color w:val="000000" w:themeColor="text1"/>
                <w14:textFill>
                  <w14:solidFill>
                    <w14:schemeClr w14:val="tx1"/>
                  </w14:solidFill>
                </w14:textFill>
              </w:rPr>
              <w:t>根据纵向弥散度及地下水流速，可计算出纵向弥散系数</w:t>
            </w:r>
            <w:r>
              <w:rPr>
                <w:color w:val="000000" w:themeColor="text1"/>
                <w14:textFill>
                  <w14:solidFill>
                    <w14:schemeClr w14:val="tx1"/>
                  </w14:solidFill>
                </w14:textFill>
              </w:rPr>
              <w:t>DL</w:t>
            </w:r>
            <w:r>
              <w:rPr>
                <w:rFonts w:hint="eastAsia"/>
                <w:color w:val="000000" w:themeColor="text1"/>
                <w14:textFill>
                  <w14:solidFill>
                    <w14:schemeClr w14:val="tx1"/>
                  </w14:solidFill>
                </w14:textFill>
              </w:rPr>
              <w:t>为</w:t>
            </w:r>
            <w:r>
              <w:rPr>
                <w:color w:val="000000" w:themeColor="text1"/>
                <w:highlight w:val="none"/>
                <w14:textFill>
                  <w14:solidFill>
                    <w14:schemeClr w14:val="tx1"/>
                  </w14:solidFill>
                </w14:textFill>
              </w:rPr>
              <w:t>10</w:t>
            </w:r>
            <w:r>
              <w:rPr>
                <w:rFonts w:hint="eastAsia"/>
                <w:color w:val="000000" w:themeColor="text1"/>
                <w:highlight w:val="none"/>
                <w14:textFill>
                  <w14:solidFill>
                    <w14:schemeClr w14:val="tx1"/>
                  </w14:solidFill>
                </w14:textFill>
              </w:rPr>
              <w:t>×0.01</w:t>
            </w:r>
            <w:r>
              <w:rPr>
                <w:rFonts w:hint="eastAsia"/>
                <w:color w:val="000000" w:themeColor="text1"/>
                <w:highlight w:val="none"/>
                <w:lang w:val="en-US" w:eastAsia="zh-CN"/>
                <w14:textFill>
                  <w14:solidFill>
                    <w14:schemeClr w14:val="tx1"/>
                  </w14:solidFill>
                </w14:textFill>
              </w:rPr>
              <w:t>86</w:t>
            </w:r>
            <w:r>
              <w:rPr>
                <w:color w:val="000000" w:themeColor="text1"/>
                <w:highlight w:val="none"/>
                <w14:textFill>
                  <w14:solidFill>
                    <w14:schemeClr w14:val="tx1"/>
                  </w14:solidFill>
                </w14:textFill>
              </w:rPr>
              <w:t>=</w:t>
            </w:r>
            <w:r>
              <w:rPr>
                <w:rFonts w:hint="eastAsia"/>
                <w:color w:val="000000" w:themeColor="text1"/>
                <w:highlight w:val="none"/>
                <w14:textFill>
                  <w14:solidFill>
                    <w14:schemeClr w14:val="tx1"/>
                  </w14:solidFill>
                </w14:textFill>
              </w:rPr>
              <w:t>0.1</w:t>
            </w:r>
            <w:r>
              <w:rPr>
                <w:rFonts w:hint="eastAsia"/>
                <w:color w:val="000000" w:themeColor="text1"/>
                <w:highlight w:val="none"/>
                <w:lang w:val="en-US" w:eastAsia="zh-CN"/>
                <w14:textFill>
                  <w14:solidFill>
                    <w14:schemeClr w14:val="tx1"/>
                  </w14:solidFill>
                </w14:textFill>
              </w:rPr>
              <w:t>86</w:t>
            </w:r>
            <w:r>
              <w:rPr>
                <w:color w:val="000000" w:themeColor="text1"/>
                <w:highlight w:val="none"/>
                <w14:textFill>
                  <w14:solidFill>
                    <w14:schemeClr w14:val="tx1"/>
                  </w14:solidFill>
                </w14:textFill>
              </w:rPr>
              <w:t>m</w:t>
            </w:r>
            <w:r>
              <w:rPr>
                <w:color w:val="000000" w:themeColor="text1"/>
                <w:highlight w:val="none"/>
                <w:vertAlign w:val="superscript"/>
                <w14:textFill>
                  <w14:solidFill>
                    <w14:schemeClr w14:val="tx1"/>
                  </w14:solidFill>
                </w14:textFill>
              </w:rPr>
              <w:t>2</w:t>
            </w:r>
            <w:r>
              <w:rPr>
                <w:color w:val="000000" w:themeColor="text1"/>
                <w:highlight w:val="none"/>
                <w14:textFill>
                  <w14:solidFill>
                    <w14:schemeClr w14:val="tx1"/>
                  </w14:solidFill>
                </w14:textFill>
              </w:rPr>
              <w:t>/d</w:t>
            </w:r>
            <w:r>
              <w:rPr>
                <w:rFonts w:hint="eastAsia"/>
                <w:color w:val="000000" w:themeColor="text1"/>
                <w:highlight w:val="none"/>
                <w14:textFill>
                  <w14:solidFill>
                    <w14:schemeClr w14:val="tx1"/>
                  </w14:solidFill>
                </w14:textFill>
              </w:rPr>
              <w:t>。</w:t>
            </w:r>
          </w:p>
          <w:p w14:paraId="069C023F">
            <w:pPr>
              <w:ind w:firstLine="480"/>
              <w:rPr>
                <w:color w:val="000000" w:themeColor="text1"/>
                <w14:textFill>
                  <w14:solidFill>
                    <w14:schemeClr w14:val="tx1"/>
                  </w14:solidFill>
                </w14:textFill>
              </w:rPr>
            </w:pPr>
          </w:p>
          <w:p w14:paraId="472C787A">
            <w:pPr>
              <w:ind w:firstLine="0" w:firstLineChars="0"/>
              <w:jc w:val="center"/>
              <w:rPr>
                <w:color w:val="000000" w:themeColor="text1"/>
                <w14:textFill>
                  <w14:solidFill>
                    <w14:schemeClr w14:val="tx1"/>
                  </w14:solidFill>
                </w14:textFill>
              </w:rPr>
            </w:pPr>
            <w:r>
              <w:rPr>
                <w:color w:val="000000" w:themeColor="text1"/>
                <w:sz w:val="28"/>
                <w:szCs w:val="28"/>
                <w14:textFill>
                  <w14:solidFill>
                    <w14:schemeClr w14:val="tx1"/>
                  </w14:solidFill>
                </w14:textFill>
              </w:rPr>
              <w:drawing>
                <wp:inline distT="0" distB="0" distL="114300" distR="114300">
                  <wp:extent cx="4933315" cy="3582035"/>
                  <wp:effectExtent l="0" t="0" r="635" b="18415"/>
                  <wp:docPr id="38" name="图片 1" descr="}4L(QTQ1S{H]$18H})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 descr="}4L(QTQ1S{H]$18H})A%}DE"/>
                          <pic:cNvPicPr>
                            <a:picLocks noChangeAspect="1"/>
                          </pic:cNvPicPr>
                        </pic:nvPicPr>
                        <pic:blipFill>
                          <a:blip r:embed="rId32"/>
                          <a:stretch>
                            <a:fillRect/>
                          </a:stretch>
                        </pic:blipFill>
                        <pic:spPr>
                          <a:xfrm>
                            <a:off x="0" y="0"/>
                            <a:ext cx="4933315" cy="3582035"/>
                          </a:xfrm>
                          <a:prstGeom prst="rect">
                            <a:avLst/>
                          </a:prstGeom>
                          <a:noFill/>
                          <a:ln>
                            <a:noFill/>
                          </a:ln>
                        </pic:spPr>
                      </pic:pic>
                    </a:graphicData>
                  </a:graphic>
                </wp:inline>
              </w:drawing>
            </w:r>
          </w:p>
          <w:p w14:paraId="7E2B4054">
            <w:pPr>
              <w:ind w:firstLine="422"/>
              <w:jc w:val="center"/>
              <w:rPr>
                <w:b/>
                <w:bCs/>
                <w:color w:val="000000" w:themeColor="text1"/>
                <w:sz w:val="24"/>
                <w:szCs w:val="24"/>
                <w14:textFill>
                  <w14:solidFill>
                    <w14:schemeClr w14:val="tx1"/>
                  </w14:solidFill>
                </w14:textFill>
              </w:rPr>
            </w:pPr>
            <w:r>
              <w:rPr>
                <w:rFonts w:hint="eastAsia"/>
                <w:b/>
                <w:bCs/>
                <w:color w:val="000000" w:themeColor="text1"/>
                <w:sz w:val="24"/>
                <w:szCs w:val="24"/>
                <w14:textFill>
                  <w14:solidFill>
                    <w14:schemeClr w14:val="tx1"/>
                  </w14:solidFill>
                </w14:textFill>
              </w:rPr>
              <w:t>图4-</w:t>
            </w:r>
            <w:r>
              <w:rPr>
                <w:rFonts w:hint="eastAsia"/>
                <w:b/>
                <w:bCs/>
                <w:color w:val="000000" w:themeColor="text1"/>
                <w:sz w:val="24"/>
                <w:szCs w:val="24"/>
                <w:lang w:val="en-US" w:eastAsia="zh-CN"/>
                <w14:textFill>
                  <w14:solidFill>
                    <w14:schemeClr w14:val="tx1"/>
                  </w14:solidFill>
                </w14:textFill>
              </w:rPr>
              <w:t xml:space="preserve">11 </w:t>
            </w:r>
            <w:r>
              <w:rPr>
                <w:rFonts w:hint="eastAsia"/>
                <w:b/>
                <w:bCs/>
                <w:color w:val="000000" w:themeColor="text1"/>
                <w:sz w:val="24"/>
                <w:szCs w:val="24"/>
                <w14:textFill>
                  <w14:solidFill>
                    <w14:schemeClr w14:val="tx1"/>
                  </w14:solidFill>
                </w14:textFill>
              </w:rPr>
              <w:t xml:space="preserve"> 弥散度与区域尺度关系图（据</w:t>
            </w:r>
            <w:r>
              <w:rPr>
                <w:b/>
                <w:bCs/>
                <w:color w:val="000000" w:themeColor="text1"/>
                <w:sz w:val="24"/>
                <w:szCs w:val="24"/>
                <w14:textFill>
                  <w14:solidFill>
                    <w14:schemeClr w14:val="tx1"/>
                  </w14:solidFill>
                </w14:textFill>
              </w:rPr>
              <w:t>Zech</w:t>
            </w:r>
            <w:r>
              <w:rPr>
                <w:rFonts w:hint="eastAsia"/>
                <w:b/>
                <w:bCs/>
                <w:color w:val="000000" w:themeColor="text1"/>
                <w:sz w:val="24"/>
                <w:szCs w:val="24"/>
                <w14:textFill>
                  <w14:solidFill>
                    <w14:schemeClr w14:val="tx1"/>
                  </w14:solidFill>
                </w14:textFill>
              </w:rPr>
              <w:t>等</w:t>
            </w:r>
            <w:r>
              <w:rPr>
                <w:b/>
                <w:bCs/>
                <w:color w:val="000000" w:themeColor="text1"/>
                <w:sz w:val="24"/>
                <w:szCs w:val="24"/>
                <w14:textFill>
                  <w14:solidFill>
                    <w14:schemeClr w14:val="tx1"/>
                  </w14:solidFill>
                </w14:textFill>
              </w:rPr>
              <w:t>2015</w:t>
            </w:r>
            <w:r>
              <w:rPr>
                <w:rFonts w:hint="eastAsia"/>
                <w:b/>
                <w:bCs/>
                <w:color w:val="000000" w:themeColor="text1"/>
                <w:sz w:val="24"/>
                <w:szCs w:val="24"/>
                <w14:textFill>
                  <w14:solidFill>
                    <w14:schemeClr w14:val="tx1"/>
                  </w14:solidFill>
                </w14:textFill>
              </w:rPr>
              <w:t>年）</w:t>
            </w:r>
          </w:p>
          <w:p w14:paraId="174DA07D">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计算时渗透系数、水力坡度、水流速度、纵向弥散度、纵向弥散系数及污染源强统计见下表。本次预测选择</w:t>
            </w:r>
            <w:r>
              <w:rPr>
                <w:rFonts w:hint="eastAsia"/>
                <w:color w:val="000000" w:themeColor="text1"/>
                <w:kern w:val="0"/>
                <w:lang w:bidi="ar"/>
                <w14:textFill>
                  <w14:solidFill>
                    <w14:schemeClr w14:val="tx1"/>
                  </w14:solidFill>
                </w14:textFill>
              </w:rPr>
              <w:t>氟化物作为评价因子，</w:t>
            </w:r>
            <w:r>
              <w:rPr>
                <w:rFonts w:hint="eastAsia"/>
                <w:color w:val="000000" w:themeColor="text1"/>
                <w14:textFill>
                  <w14:solidFill>
                    <w14:schemeClr w14:val="tx1"/>
                  </w14:solidFill>
                </w14:textFill>
              </w:rPr>
              <w:t>排放浓度使用寻甸县科技和工业信息化局《改性磷石膏检测报告》（检测单位：云南省有色金属及制品质量监督检验站，报告编号：H20240617-43）中污染物浸出液检测的数据值。</w:t>
            </w:r>
          </w:p>
          <w:p w14:paraId="7F15EF37">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表4-12</w:t>
            </w:r>
            <w:r>
              <w:rPr>
                <w:rFonts w:hint="eastAsia" w:ascii="宋体" w:hAnsi="宋体" w:eastAsia="宋体" w:cs="宋体"/>
                <w:b/>
                <w:color w:val="000000" w:themeColor="text1"/>
                <w:sz w:val="24"/>
                <w:highlight w:val="none"/>
                <w:lang w:val="en-US" w:eastAsia="zh-CN"/>
                <w14:textFill>
                  <w14:solidFill>
                    <w14:schemeClr w14:val="tx1"/>
                  </w14:solidFill>
                </w14:textFill>
              </w:rPr>
              <w:t xml:space="preserve">  </w:t>
            </w:r>
            <w:r>
              <w:rPr>
                <w:rFonts w:hint="eastAsia" w:ascii="宋体" w:hAnsi="宋体" w:eastAsia="宋体" w:cs="宋体"/>
                <w:b/>
                <w:color w:val="000000" w:themeColor="text1"/>
                <w:sz w:val="24"/>
                <w:highlight w:val="none"/>
                <w14:textFill>
                  <w14:solidFill>
                    <w14:schemeClr w14:val="tx1"/>
                  </w14:solidFill>
                </w14:textFill>
              </w:rPr>
              <w:t>计算参数一览表</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1147"/>
              <w:gridCol w:w="916"/>
              <w:gridCol w:w="1064"/>
              <w:gridCol w:w="1049"/>
              <w:gridCol w:w="1423"/>
              <w:gridCol w:w="2223"/>
            </w:tblGrid>
            <w:tr w14:paraId="365F9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10" w:hRule="atLeast"/>
              </w:trPr>
              <w:tc>
                <w:tcPr>
                  <w:tcW w:w="1149" w:type="dxa"/>
                  <w:vMerge w:val="restar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5240C1BF">
                  <w:pPr>
                    <w:pStyle w:val="64"/>
                    <w:spacing w:beforeLines="0" w:afterLines="0" w:line="240" w:lineRule="auto"/>
                    <w:ind w:firstLine="0" w:firstLineChars="0"/>
                    <w:rPr>
                      <w:rFonts w:ascii="Times New Roman"/>
                      <w:b/>
                      <w:color w:val="000000" w:themeColor="text1"/>
                      <w:sz w:val="21"/>
                      <w:szCs w:val="22"/>
                      <w14:textFill>
                        <w14:solidFill>
                          <w14:schemeClr w14:val="tx1"/>
                        </w14:solidFill>
                      </w14:textFill>
                    </w:rPr>
                  </w:pPr>
                  <w:r>
                    <w:rPr>
                      <w:rFonts w:hint="eastAsia" w:ascii="Times New Roman"/>
                      <w:b/>
                      <w:color w:val="000000" w:themeColor="text1"/>
                      <w:sz w:val="21"/>
                      <w:szCs w:val="22"/>
                      <w14:textFill>
                        <w14:solidFill>
                          <w14:schemeClr w14:val="tx1"/>
                        </w14:solidFill>
                      </w14:textFill>
                    </w:rPr>
                    <w:t>渗透系数</w:t>
                  </w:r>
                  <w:r>
                    <w:rPr>
                      <w:rFonts w:ascii="Times New Roman"/>
                      <w:b/>
                      <w:color w:val="000000" w:themeColor="text1"/>
                      <w:sz w:val="21"/>
                      <w:szCs w:val="22"/>
                      <w14:textFill>
                        <w14:solidFill>
                          <w14:schemeClr w14:val="tx1"/>
                        </w14:solidFill>
                      </w14:textFill>
                    </w:rPr>
                    <w:t>K(m/d)</w:t>
                  </w:r>
                </w:p>
              </w:tc>
              <w:tc>
                <w:tcPr>
                  <w:tcW w:w="917" w:type="dxa"/>
                  <w:vMerge w:val="restar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3253B474">
                  <w:pPr>
                    <w:pStyle w:val="64"/>
                    <w:spacing w:beforeLines="0" w:afterLines="0" w:line="240" w:lineRule="auto"/>
                    <w:ind w:firstLine="0" w:firstLineChars="0"/>
                    <w:rPr>
                      <w:rFonts w:ascii="Times New Roman"/>
                      <w:b/>
                      <w:color w:val="000000" w:themeColor="text1"/>
                      <w:sz w:val="21"/>
                      <w:szCs w:val="22"/>
                      <w14:textFill>
                        <w14:solidFill>
                          <w14:schemeClr w14:val="tx1"/>
                        </w14:solidFill>
                      </w14:textFill>
                    </w:rPr>
                  </w:pPr>
                  <w:r>
                    <w:rPr>
                      <w:rFonts w:hint="eastAsia" w:ascii="Times New Roman"/>
                      <w:b/>
                      <w:color w:val="000000" w:themeColor="text1"/>
                      <w:sz w:val="21"/>
                      <w:szCs w:val="22"/>
                      <w14:textFill>
                        <w14:solidFill>
                          <w14:schemeClr w14:val="tx1"/>
                        </w14:solidFill>
                      </w14:textFill>
                    </w:rPr>
                    <w:t>水力坡度</w:t>
                  </w:r>
                  <w:r>
                    <w:rPr>
                      <w:rFonts w:ascii="Times New Roman"/>
                      <w:b/>
                      <w:color w:val="000000" w:themeColor="text1"/>
                      <w:sz w:val="21"/>
                      <w:szCs w:val="22"/>
                      <w14:textFill>
                        <w14:solidFill>
                          <w14:schemeClr w14:val="tx1"/>
                        </w14:solidFill>
                      </w14:textFill>
                    </w:rPr>
                    <w:t>I</w:t>
                  </w:r>
                </w:p>
              </w:tc>
              <w:tc>
                <w:tcPr>
                  <w:tcW w:w="1065" w:type="dxa"/>
                  <w:vMerge w:val="restart"/>
                  <w:tcBorders>
                    <w:top w:val="single" w:color="auto" w:sz="4" w:space="0"/>
                    <w:left w:val="single" w:color="auto" w:sz="4" w:space="0"/>
                    <w:bottom w:val="single" w:color="auto" w:sz="4" w:space="0"/>
                    <w:right w:val="single" w:color="auto" w:sz="4" w:space="0"/>
                  </w:tcBorders>
                  <w:vAlign w:val="center"/>
                </w:tcPr>
                <w:p w14:paraId="55824EEB">
                  <w:pPr>
                    <w:pStyle w:val="64"/>
                    <w:spacing w:beforeLines="0" w:afterLines="0" w:line="240" w:lineRule="auto"/>
                    <w:ind w:firstLine="0" w:firstLineChars="0"/>
                    <w:rPr>
                      <w:rFonts w:ascii="Times New Roman"/>
                      <w:b/>
                      <w:color w:val="000000" w:themeColor="text1"/>
                      <w:sz w:val="21"/>
                      <w:szCs w:val="22"/>
                      <w14:textFill>
                        <w14:solidFill>
                          <w14:schemeClr w14:val="tx1"/>
                        </w14:solidFill>
                      </w14:textFill>
                    </w:rPr>
                  </w:pPr>
                  <w:r>
                    <w:rPr>
                      <w:rFonts w:hint="eastAsia" w:ascii="Times New Roman"/>
                      <w:b/>
                      <w:color w:val="000000" w:themeColor="text1"/>
                      <w:sz w:val="21"/>
                      <w:szCs w:val="22"/>
                      <w14:textFill>
                        <w14:solidFill>
                          <w14:schemeClr w14:val="tx1"/>
                        </w14:solidFill>
                      </w14:textFill>
                    </w:rPr>
                    <w:t>水流速度</w:t>
                  </w:r>
                  <w:r>
                    <w:rPr>
                      <w:rFonts w:ascii="Times New Roman"/>
                      <w:b/>
                      <w:color w:val="000000" w:themeColor="text1"/>
                      <w:sz w:val="21"/>
                      <w:szCs w:val="22"/>
                      <w14:textFill>
                        <w14:solidFill>
                          <w14:schemeClr w14:val="tx1"/>
                        </w14:solidFill>
                      </w14:textFill>
                    </w:rPr>
                    <w:t>u(m/d)</w:t>
                  </w:r>
                </w:p>
              </w:tc>
              <w:tc>
                <w:tcPr>
                  <w:tcW w:w="1050" w:type="dxa"/>
                  <w:vMerge w:val="restart"/>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5228D008">
                  <w:pPr>
                    <w:pStyle w:val="64"/>
                    <w:spacing w:beforeLines="0" w:afterLines="0" w:line="240" w:lineRule="auto"/>
                    <w:ind w:firstLine="0" w:firstLineChars="0"/>
                    <w:rPr>
                      <w:rFonts w:ascii="Times New Roman"/>
                      <w:b/>
                      <w:color w:val="000000" w:themeColor="text1"/>
                      <w:sz w:val="21"/>
                      <w:szCs w:val="22"/>
                      <w14:textFill>
                        <w14:solidFill>
                          <w14:schemeClr w14:val="tx1"/>
                        </w14:solidFill>
                      </w14:textFill>
                    </w:rPr>
                  </w:pPr>
                  <w:r>
                    <w:rPr>
                      <w:rFonts w:hint="eastAsia" w:ascii="Times New Roman"/>
                      <w:b/>
                      <w:color w:val="000000" w:themeColor="text1"/>
                      <w:sz w:val="21"/>
                      <w:szCs w:val="22"/>
                      <w14:textFill>
                        <w14:solidFill>
                          <w14:schemeClr w14:val="tx1"/>
                        </w14:solidFill>
                      </w14:textFill>
                    </w:rPr>
                    <w:t>纵向弥散度</w:t>
                  </w:r>
                  <w:r>
                    <w:rPr>
                      <w:rFonts w:ascii="Times New Roman"/>
                      <w:b/>
                      <w:color w:val="000000" w:themeColor="text1"/>
                      <w:sz w:val="21"/>
                      <w:szCs w:val="22"/>
                      <w14:textFill>
                        <w14:solidFill>
                          <w14:schemeClr w14:val="tx1"/>
                        </w14:solidFill>
                      </w14:textFill>
                    </w:rPr>
                    <w:t>aL(m)</w:t>
                  </w:r>
                </w:p>
              </w:tc>
              <w:tc>
                <w:tcPr>
                  <w:tcW w:w="1425" w:type="dxa"/>
                  <w:vMerge w:val="restart"/>
                  <w:tcBorders>
                    <w:top w:val="single" w:color="auto" w:sz="4" w:space="0"/>
                    <w:left w:val="single" w:color="auto" w:sz="4" w:space="0"/>
                    <w:bottom w:val="single" w:color="auto" w:sz="4" w:space="0"/>
                    <w:right w:val="single" w:color="auto" w:sz="4" w:space="0"/>
                  </w:tcBorders>
                  <w:vAlign w:val="center"/>
                </w:tcPr>
                <w:p w14:paraId="61ED00EB">
                  <w:pPr>
                    <w:pStyle w:val="64"/>
                    <w:spacing w:beforeLines="0" w:afterLines="0" w:line="240" w:lineRule="auto"/>
                    <w:ind w:firstLine="0" w:firstLineChars="0"/>
                    <w:rPr>
                      <w:rFonts w:ascii="Times New Roman"/>
                      <w:b/>
                      <w:color w:val="000000" w:themeColor="text1"/>
                      <w:sz w:val="21"/>
                      <w:szCs w:val="22"/>
                      <w14:textFill>
                        <w14:solidFill>
                          <w14:schemeClr w14:val="tx1"/>
                        </w14:solidFill>
                      </w14:textFill>
                    </w:rPr>
                  </w:pPr>
                  <w:r>
                    <w:rPr>
                      <w:rFonts w:hint="eastAsia" w:ascii="Times New Roman"/>
                      <w:b/>
                      <w:color w:val="000000" w:themeColor="text1"/>
                      <w:sz w:val="21"/>
                      <w:szCs w:val="22"/>
                      <w14:textFill>
                        <w14:solidFill>
                          <w14:schemeClr w14:val="tx1"/>
                        </w14:solidFill>
                      </w14:textFill>
                    </w:rPr>
                    <w:t>纵向弥散系数</w:t>
                  </w:r>
                  <w:r>
                    <w:rPr>
                      <w:rFonts w:ascii="Times New Roman"/>
                      <w:b/>
                      <w:color w:val="000000" w:themeColor="text1"/>
                      <w:sz w:val="21"/>
                      <w:szCs w:val="22"/>
                      <w14:textFill>
                        <w14:solidFill>
                          <w14:schemeClr w14:val="tx1"/>
                        </w14:solidFill>
                      </w14:textFill>
                    </w:rPr>
                    <w:t>DL (</w:t>
                  </w:r>
                  <w:r>
                    <w:rPr>
                      <w:rFonts w:hint="eastAsia" w:ascii="Times New Roman"/>
                      <w:b/>
                      <w:color w:val="000000" w:themeColor="text1"/>
                      <w:sz w:val="21"/>
                      <w:szCs w:val="22"/>
                      <w14:textFill>
                        <w14:solidFill>
                          <w14:schemeClr w14:val="tx1"/>
                        </w14:solidFill>
                      </w14:textFill>
                    </w:rPr>
                    <w:t>㎡</w:t>
                  </w:r>
                  <w:r>
                    <w:rPr>
                      <w:rFonts w:ascii="Times New Roman"/>
                      <w:b/>
                      <w:color w:val="000000" w:themeColor="text1"/>
                      <w:sz w:val="21"/>
                      <w:szCs w:val="22"/>
                      <w14:textFill>
                        <w14:solidFill>
                          <w14:schemeClr w14:val="tx1"/>
                        </w14:solidFill>
                      </w14:textFill>
                    </w:rPr>
                    <w:t>/d)</w:t>
                  </w:r>
                </w:p>
              </w:tc>
              <w:tc>
                <w:tcPr>
                  <w:tcW w:w="2226" w:type="dxa"/>
                  <w:tcBorders>
                    <w:top w:val="single" w:color="auto" w:sz="4" w:space="0"/>
                    <w:left w:val="single" w:color="auto" w:sz="4" w:space="0"/>
                    <w:bottom w:val="single" w:color="auto" w:sz="4" w:space="0"/>
                    <w:right w:val="single" w:color="auto" w:sz="4" w:space="0"/>
                  </w:tcBorders>
                  <w:vAlign w:val="center"/>
                </w:tcPr>
                <w:p w14:paraId="0D7BC09C">
                  <w:pPr>
                    <w:pStyle w:val="64"/>
                    <w:spacing w:beforeLines="0" w:afterLines="0" w:line="240" w:lineRule="auto"/>
                    <w:ind w:firstLine="0" w:firstLineChars="0"/>
                    <w:rPr>
                      <w:rFonts w:ascii="Times New Roman"/>
                      <w:b/>
                      <w:color w:val="000000" w:themeColor="text1"/>
                      <w:sz w:val="21"/>
                      <w:szCs w:val="22"/>
                      <w14:textFill>
                        <w14:solidFill>
                          <w14:schemeClr w14:val="tx1"/>
                        </w14:solidFill>
                      </w14:textFill>
                    </w:rPr>
                  </w:pPr>
                  <w:r>
                    <w:rPr>
                      <w:rFonts w:hint="eastAsia" w:ascii="Times New Roman"/>
                      <w:b/>
                      <w:color w:val="000000" w:themeColor="text1"/>
                      <w:sz w:val="21"/>
                      <w:szCs w:val="22"/>
                      <w14:textFill>
                        <w14:solidFill>
                          <w14:schemeClr w14:val="tx1"/>
                        </w14:solidFill>
                      </w14:textFill>
                    </w:rPr>
                    <w:t>污染源强</w:t>
                  </w:r>
                  <w:r>
                    <w:rPr>
                      <w:rFonts w:ascii="Times New Roman"/>
                      <w:b/>
                      <w:color w:val="000000" w:themeColor="text1"/>
                      <w:sz w:val="21"/>
                      <w:szCs w:val="22"/>
                      <w14:textFill>
                        <w14:solidFill>
                          <w14:schemeClr w14:val="tx1"/>
                        </w14:solidFill>
                      </w14:textFill>
                    </w:rPr>
                    <w:t>C0(mg/L)</w:t>
                  </w:r>
                </w:p>
              </w:tc>
            </w:tr>
            <w:tr w14:paraId="7A47C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41" w:hRule="atLeast"/>
              </w:trPr>
              <w:tc>
                <w:tcPr>
                  <w:tcW w:w="1149"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52A9E722">
                  <w:pPr>
                    <w:pStyle w:val="64"/>
                    <w:spacing w:beforeLines="0" w:afterLines="0" w:line="240" w:lineRule="auto"/>
                    <w:ind w:firstLine="0" w:firstLineChars="0"/>
                    <w:rPr>
                      <w:rFonts w:ascii="Times New Roman"/>
                      <w:color w:val="000000" w:themeColor="text1"/>
                      <w:sz w:val="21"/>
                      <w:szCs w:val="22"/>
                      <w14:textFill>
                        <w14:solidFill>
                          <w14:schemeClr w14:val="tx1"/>
                        </w14:solidFill>
                      </w14:textFill>
                    </w:rPr>
                  </w:pPr>
                </w:p>
              </w:tc>
              <w:tc>
                <w:tcPr>
                  <w:tcW w:w="917"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48769C95">
                  <w:pPr>
                    <w:pStyle w:val="64"/>
                    <w:spacing w:beforeLines="0" w:afterLines="0" w:line="240" w:lineRule="auto"/>
                    <w:ind w:firstLine="0" w:firstLineChars="0"/>
                    <w:rPr>
                      <w:rFonts w:ascii="Times New Roman"/>
                      <w:color w:val="000000" w:themeColor="text1"/>
                      <w:sz w:val="21"/>
                      <w:szCs w:val="22"/>
                      <w14:textFill>
                        <w14:solidFill>
                          <w14:schemeClr w14:val="tx1"/>
                        </w14:solidFill>
                      </w14:textFill>
                    </w:rPr>
                  </w:pPr>
                </w:p>
              </w:tc>
              <w:tc>
                <w:tcPr>
                  <w:tcW w:w="1065" w:type="dxa"/>
                  <w:vMerge w:val="continue"/>
                  <w:tcBorders>
                    <w:top w:val="single" w:color="auto" w:sz="4" w:space="0"/>
                    <w:left w:val="single" w:color="auto" w:sz="4" w:space="0"/>
                    <w:bottom w:val="single" w:color="auto" w:sz="4" w:space="0"/>
                    <w:right w:val="single" w:color="auto" w:sz="4" w:space="0"/>
                  </w:tcBorders>
                  <w:vAlign w:val="center"/>
                </w:tcPr>
                <w:p w14:paraId="69AB742E">
                  <w:pPr>
                    <w:pStyle w:val="64"/>
                    <w:spacing w:beforeLines="0" w:afterLines="0" w:line="240" w:lineRule="auto"/>
                    <w:ind w:firstLine="0" w:firstLineChars="0"/>
                    <w:rPr>
                      <w:rFonts w:ascii="Times New Roman"/>
                      <w:color w:val="000000" w:themeColor="text1"/>
                      <w:sz w:val="21"/>
                      <w:szCs w:val="22"/>
                      <w14:textFill>
                        <w14:solidFill>
                          <w14:schemeClr w14:val="tx1"/>
                        </w14:solidFill>
                      </w14:textFill>
                    </w:rPr>
                  </w:pPr>
                </w:p>
              </w:tc>
              <w:tc>
                <w:tcPr>
                  <w:tcW w:w="1050" w:type="dxa"/>
                  <w:vMerge w:val="continue"/>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05B1120E">
                  <w:pPr>
                    <w:pStyle w:val="64"/>
                    <w:spacing w:beforeLines="0" w:afterLines="0" w:line="240" w:lineRule="auto"/>
                    <w:ind w:firstLine="0" w:firstLineChars="0"/>
                    <w:rPr>
                      <w:rFonts w:ascii="Times New Roman"/>
                      <w:color w:val="000000" w:themeColor="text1"/>
                      <w:sz w:val="21"/>
                      <w:szCs w:val="22"/>
                      <w14:textFill>
                        <w14:solidFill>
                          <w14:schemeClr w14:val="tx1"/>
                        </w14:solidFill>
                      </w14:textFill>
                    </w:rPr>
                  </w:pPr>
                </w:p>
              </w:tc>
              <w:tc>
                <w:tcPr>
                  <w:tcW w:w="1425" w:type="dxa"/>
                  <w:vMerge w:val="continue"/>
                  <w:tcBorders>
                    <w:top w:val="single" w:color="auto" w:sz="4" w:space="0"/>
                    <w:left w:val="single" w:color="auto" w:sz="4" w:space="0"/>
                    <w:bottom w:val="single" w:color="auto" w:sz="4" w:space="0"/>
                    <w:right w:val="single" w:color="auto" w:sz="4" w:space="0"/>
                  </w:tcBorders>
                  <w:vAlign w:val="center"/>
                </w:tcPr>
                <w:p w14:paraId="45FC63A7">
                  <w:pPr>
                    <w:pStyle w:val="64"/>
                    <w:spacing w:beforeLines="0" w:afterLines="0" w:line="240" w:lineRule="auto"/>
                    <w:ind w:firstLine="0" w:firstLineChars="0"/>
                    <w:rPr>
                      <w:rFonts w:ascii="Times New Roman"/>
                      <w:color w:val="000000" w:themeColor="text1"/>
                      <w:sz w:val="21"/>
                      <w:szCs w:val="22"/>
                      <w14:textFill>
                        <w14:solidFill>
                          <w14:schemeClr w14:val="tx1"/>
                        </w14:solidFill>
                      </w14:textFill>
                    </w:rPr>
                  </w:pPr>
                </w:p>
              </w:tc>
              <w:tc>
                <w:tcPr>
                  <w:tcW w:w="2226" w:type="dxa"/>
                  <w:tcBorders>
                    <w:top w:val="single" w:color="auto" w:sz="4" w:space="0"/>
                    <w:left w:val="single" w:color="auto" w:sz="4" w:space="0"/>
                    <w:bottom w:val="single" w:color="auto" w:sz="4" w:space="0"/>
                    <w:right w:val="single" w:color="auto" w:sz="2" w:space="0"/>
                  </w:tcBorders>
                  <w:vAlign w:val="center"/>
                </w:tcPr>
                <w:p w14:paraId="4E6BE836">
                  <w:pPr>
                    <w:pStyle w:val="64"/>
                    <w:spacing w:beforeLines="0" w:afterLines="0" w:line="240" w:lineRule="auto"/>
                    <w:ind w:firstLine="0" w:firstLineChars="0"/>
                    <w:rPr>
                      <w:rFonts w:ascii="Times New Roman"/>
                      <w:color w:val="000000" w:themeColor="text1"/>
                      <w:sz w:val="21"/>
                      <w:szCs w:val="22"/>
                      <w14:textFill>
                        <w14:solidFill>
                          <w14:schemeClr w14:val="tx1"/>
                        </w14:solidFill>
                      </w14:textFill>
                    </w:rPr>
                  </w:pPr>
                  <w:r>
                    <w:rPr>
                      <w:rFonts w:hint="eastAsia" w:ascii="Times New Roman"/>
                      <w:color w:val="000000" w:themeColor="text1"/>
                      <w:sz w:val="21"/>
                      <w:szCs w:val="22"/>
                      <w14:textFill>
                        <w14:solidFill>
                          <w14:schemeClr w14:val="tx1"/>
                        </w14:solidFill>
                      </w14:textFill>
                    </w:rPr>
                    <w:t>氟化物</w:t>
                  </w:r>
                </w:p>
              </w:tc>
            </w:tr>
            <w:tr w14:paraId="39BAE0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4" w:hRule="atLeast"/>
              </w:trPr>
              <w:tc>
                <w:tcPr>
                  <w:tcW w:w="1149" w:type="dxa"/>
                  <w:tcBorders>
                    <w:top w:val="single" w:color="auto" w:sz="4" w:space="0"/>
                    <w:left w:val="single" w:color="auto" w:sz="4" w:space="0"/>
                    <w:bottom w:val="single" w:color="auto" w:sz="4" w:space="0"/>
                    <w:right w:val="single" w:color="auto" w:sz="4" w:space="0"/>
                  </w:tcBorders>
                  <w:vAlign w:val="center"/>
                </w:tcPr>
                <w:p w14:paraId="05ECDB1E">
                  <w:pPr>
                    <w:pStyle w:val="64"/>
                    <w:spacing w:beforeLines="0" w:afterLines="0" w:line="240" w:lineRule="auto"/>
                    <w:ind w:firstLine="0" w:firstLineChars="0"/>
                    <w:rPr>
                      <w:rFonts w:hint="eastAsia" w:ascii="Times New Roman" w:hAnsi="Times New Roman" w:eastAsia="宋体" w:cs="Times New Roman"/>
                      <w:color w:val="000000" w:themeColor="text1"/>
                      <w:sz w:val="21"/>
                      <w:szCs w:val="22"/>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0.65</w:t>
                  </w:r>
                </w:p>
              </w:tc>
              <w:tc>
                <w:tcPr>
                  <w:tcW w:w="917" w:type="dxa"/>
                  <w:tcBorders>
                    <w:top w:val="single" w:color="auto" w:sz="4" w:space="0"/>
                    <w:left w:val="single" w:color="auto" w:sz="4" w:space="0"/>
                    <w:bottom w:val="single" w:color="auto" w:sz="4" w:space="0"/>
                    <w:right w:val="single" w:color="auto" w:sz="4" w:space="0"/>
                  </w:tcBorders>
                  <w:vAlign w:val="center"/>
                </w:tcPr>
                <w:p w14:paraId="234144FF">
                  <w:pPr>
                    <w:pStyle w:val="64"/>
                    <w:spacing w:beforeLines="0" w:afterLines="0" w:line="240" w:lineRule="auto"/>
                    <w:ind w:firstLine="0" w:firstLineChars="0"/>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0.012</w:t>
                  </w:r>
                </w:p>
              </w:tc>
              <w:tc>
                <w:tcPr>
                  <w:tcW w:w="1065" w:type="dxa"/>
                  <w:tcBorders>
                    <w:top w:val="single" w:color="auto" w:sz="4" w:space="0"/>
                    <w:left w:val="single" w:color="auto" w:sz="4" w:space="0"/>
                    <w:bottom w:val="single" w:color="auto" w:sz="4" w:space="0"/>
                    <w:right w:val="single" w:color="auto" w:sz="4" w:space="0"/>
                  </w:tcBorders>
                  <w:vAlign w:val="center"/>
                </w:tcPr>
                <w:p w14:paraId="78E2163C">
                  <w:pPr>
                    <w:pStyle w:val="64"/>
                    <w:spacing w:beforeLines="0" w:afterLines="0" w:line="240" w:lineRule="auto"/>
                    <w:ind w:firstLine="0" w:firstLineChars="0"/>
                    <w:rPr>
                      <w:rFonts w:hint="default" w:ascii="Times New Roman" w:hAnsi="Times New Roman" w:eastAsia="宋体" w:cs="Times New Roman"/>
                      <w:color w:val="000000" w:themeColor="text1"/>
                      <w:sz w:val="21"/>
                      <w:szCs w:val="22"/>
                      <w:lang w:val="en-US" w:eastAsia="zh-CN"/>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0.0186</w:t>
                  </w:r>
                </w:p>
              </w:tc>
              <w:tc>
                <w:tcPr>
                  <w:tcW w:w="1050"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45368A06">
                  <w:pPr>
                    <w:pStyle w:val="64"/>
                    <w:spacing w:beforeLines="0" w:afterLines="0" w:line="240" w:lineRule="auto"/>
                    <w:ind w:firstLine="0" w:firstLineChars="0"/>
                    <w:rPr>
                      <w:rFonts w:hint="eastAsia" w:ascii="Times New Roman" w:hAnsi="Times New Roman" w:eastAsia="宋体" w:cs="Times New Roman"/>
                      <w:color w:val="000000" w:themeColor="text1"/>
                      <w:sz w:val="21"/>
                      <w:szCs w:val="22"/>
                      <w14:textFill>
                        <w14:solidFill>
                          <w14:schemeClr w14:val="tx1"/>
                        </w14:solidFill>
                      </w14:textFill>
                    </w:rPr>
                  </w:pPr>
                  <w:r>
                    <w:rPr>
                      <w:rFonts w:hint="eastAsia" w:ascii="Times New Roman" w:hAnsi="Times New Roman" w:eastAsia="宋体" w:cs="Times New Roman"/>
                      <w:color w:val="000000" w:themeColor="text1"/>
                      <w:sz w:val="21"/>
                      <w:szCs w:val="22"/>
                      <w14:textFill>
                        <w14:solidFill>
                          <w14:schemeClr w14:val="tx1"/>
                        </w14:solidFill>
                      </w14:textFill>
                    </w:rPr>
                    <w:t>10</w:t>
                  </w:r>
                </w:p>
              </w:tc>
              <w:tc>
                <w:tcPr>
                  <w:tcW w:w="1425" w:type="dxa"/>
                  <w:tcBorders>
                    <w:top w:val="single" w:color="auto" w:sz="4" w:space="0"/>
                    <w:left w:val="single" w:color="auto" w:sz="4" w:space="0"/>
                    <w:bottom w:val="single" w:color="auto" w:sz="4" w:space="0"/>
                    <w:right w:val="single" w:color="auto" w:sz="4" w:space="0"/>
                  </w:tcBorders>
                  <w:tcMar>
                    <w:top w:w="10" w:type="dxa"/>
                    <w:left w:w="10" w:type="dxa"/>
                    <w:right w:w="10" w:type="dxa"/>
                  </w:tcMar>
                  <w:vAlign w:val="center"/>
                </w:tcPr>
                <w:p w14:paraId="76CA8EF6">
                  <w:pPr>
                    <w:pStyle w:val="64"/>
                    <w:spacing w:beforeLines="0" w:afterLines="0" w:line="240" w:lineRule="auto"/>
                    <w:ind w:firstLine="0" w:firstLineChars="0"/>
                    <w:rPr>
                      <w:rFonts w:hint="eastAsia" w:ascii="Times New Roman" w:hAnsi="Times New Roman" w:eastAsia="宋体" w:cs="Times New Roman"/>
                      <w:color w:val="000000" w:themeColor="text1"/>
                      <w:sz w:val="21"/>
                      <w:szCs w:val="22"/>
                      <w14:textFill>
                        <w14:solidFill>
                          <w14:schemeClr w14:val="tx1"/>
                        </w14:solidFill>
                      </w14:textFill>
                    </w:rPr>
                  </w:pPr>
                  <w:r>
                    <w:rPr>
                      <w:rFonts w:hint="eastAsia" w:ascii="Times New Roman" w:hAnsi="Times New Roman" w:eastAsia="宋体" w:cs="Times New Roman"/>
                      <w:color w:val="000000" w:themeColor="text1"/>
                      <w:sz w:val="21"/>
                      <w:szCs w:val="22"/>
                      <w:lang w:val="en-US" w:eastAsia="zh-CN"/>
                      <w14:textFill>
                        <w14:solidFill>
                          <w14:schemeClr w14:val="tx1"/>
                        </w14:solidFill>
                      </w14:textFill>
                    </w:rPr>
                    <w:t>0.186</w:t>
                  </w:r>
                </w:p>
              </w:tc>
              <w:tc>
                <w:tcPr>
                  <w:tcW w:w="2226" w:type="dxa"/>
                  <w:tcBorders>
                    <w:top w:val="single" w:color="auto" w:sz="4" w:space="0"/>
                    <w:left w:val="single" w:color="auto" w:sz="4" w:space="0"/>
                    <w:bottom w:val="single" w:color="auto" w:sz="4" w:space="0"/>
                    <w:right w:val="single" w:color="auto" w:sz="2" w:space="0"/>
                  </w:tcBorders>
                  <w:vAlign w:val="center"/>
                </w:tcPr>
                <w:p w14:paraId="69D703A1">
                  <w:pPr>
                    <w:pStyle w:val="64"/>
                    <w:spacing w:beforeLines="0" w:afterLines="0" w:line="240" w:lineRule="auto"/>
                    <w:ind w:firstLine="0" w:firstLineChars="0"/>
                    <w:rPr>
                      <w:rFonts w:ascii="Times New Roman"/>
                      <w:color w:val="000000" w:themeColor="text1"/>
                      <w:sz w:val="21"/>
                      <w:szCs w:val="22"/>
                      <w14:textFill>
                        <w14:solidFill>
                          <w14:schemeClr w14:val="tx1"/>
                        </w14:solidFill>
                      </w14:textFill>
                    </w:rPr>
                  </w:pPr>
                  <w:r>
                    <w:rPr>
                      <w:rFonts w:hint="eastAsia" w:ascii="Times New Roman"/>
                      <w:color w:val="000000" w:themeColor="text1"/>
                      <w:sz w:val="21"/>
                      <w:szCs w:val="22"/>
                      <w14:textFill>
                        <w14:solidFill>
                          <w14:schemeClr w14:val="tx1"/>
                        </w14:solidFill>
                      </w14:textFill>
                    </w:rPr>
                    <w:t>3.84</w:t>
                  </w:r>
                </w:p>
              </w:tc>
            </w:tr>
          </w:tbl>
          <w:p w14:paraId="75D8C4BD">
            <w:pPr>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③</w:t>
            </w:r>
            <w:r>
              <w:rPr>
                <w:rFonts w:hint="eastAsia"/>
                <w:color w:val="000000" w:themeColor="text1"/>
                <w14:textFill>
                  <w14:solidFill>
                    <w14:schemeClr w14:val="tx1"/>
                  </w14:solidFill>
                </w14:textFill>
              </w:rPr>
              <w:t>污染物迁移预测结果分析</w:t>
            </w:r>
          </w:p>
          <w:p w14:paraId="7419AA0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在项目区以及渗滤液收集井的防渗层出现破损，渗滤液发生渗漏的非正常状况下，渗滤液持续发生渗漏</w:t>
            </w:r>
            <w:r>
              <w:rPr>
                <w:color w:val="000000" w:themeColor="text1"/>
                <w:szCs w:val="22"/>
                <w:highlight w:val="none"/>
                <w14:textFill>
                  <w14:solidFill>
                    <w14:schemeClr w14:val="tx1"/>
                  </w14:solidFill>
                </w14:textFill>
              </w:rPr>
              <w:t>100d</w:t>
            </w:r>
            <w:r>
              <w:rPr>
                <w:rFonts w:hint="eastAsia"/>
                <w:color w:val="000000" w:themeColor="text1"/>
                <w:szCs w:val="22"/>
                <w:highlight w:val="none"/>
                <w14:textFill>
                  <w14:solidFill>
                    <w14:schemeClr w14:val="tx1"/>
                  </w14:solidFill>
                </w14:textFill>
              </w:rPr>
              <w:t>、</w:t>
            </w:r>
            <w:r>
              <w:rPr>
                <w:color w:val="000000" w:themeColor="text1"/>
                <w:szCs w:val="22"/>
                <w:highlight w:val="none"/>
                <w14:textFill>
                  <w14:solidFill>
                    <w14:schemeClr w14:val="tx1"/>
                  </w14:solidFill>
                </w14:textFill>
              </w:rPr>
              <w:t>1000d</w:t>
            </w:r>
            <w:r>
              <w:rPr>
                <w:rFonts w:hint="eastAsia"/>
                <w:color w:val="000000" w:themeColor="text1"/>
                <w:szCs w:val="22"/>
                <w:highlight w:val="none"/>
                <w14:textFill>
                  <w14:solidFill>
                    <w14:schemeClr w14:val="tx1"/>
                  </w14:solidFill>
                </w14:textFill>
              </w:rPr>
              <w:t>、1825</w:t>
            </w:r>
            <w:r>
              <w:rPr>
                <w:color w:val="000000" w:themeColor="text1"/>
                <w:szCs w:val="22"/>
                <w:highlight w:val="none"/>
                <w14:textFill>
                  <w14:solidFill>
                    <w14:schemeClr w14:val="tx1"/>
                  </w14:solidFill>
                </w14:textFill>
              </w:rPr>
              <w:t>d</w:t>
            </w:r>
            <w:r>
              <w:rPr>
                <w:rFonts w:hint="eastAsia"/>
                <w:color w:val="000000" w:themeColor="text1"/>
                <w:szCs w:val="22"/>
                <w:highlight w:val="none"/>
                <w14:textFill>
                  <w14:solidFill>
                    <w14:schemeClr w14:val="tx1"/>
                  </w14:solidFill>
                </w14:textFill>
              </w:rPr>
              <w:t>、3650</w:t>
            </w:r>
            <w:r>
              <w:rPr>
                <w:color w:val="000000" w:themeColor="text1"/>
                <w:szCs w:val="22"/>
                <w:highlight w:val="none"/>
                <w14:textFill>
                  <w14:solidFill>
                    <w14:schemeClr w14:val="tx1"/>
                  </w14:solidFill>
                </w14:textFill>
              </w:rPr>
              <w:t>d</w:t>
            </w:r>
            <w:r>
              <w:rPr>
                <w:rFonts w:hint="eastAsia"/>
                <w:color w:val="000000" w:themeColor="text1"/>
                <w14:textFill>
                  <w14:solidFill>
                    <w14:schemeClr w14:val="tx1"/>
                  </w14:solidFill>
                </w14:textFill>
              </w:rPr>
              <w:t>后氟化物在地下水环境中的最大迁移扩散距离估算结果见下表，为项目施工建设和非正常状况下的地下水污染风险管控提供一定的指导作用。</w:t>
            </w:r>
          </w:p>
          <w:p w14:paraId="09834A23">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表4-13地下水中氟化物浓度变化预测结果表（单位：mg/L）</w:t>
            </w:r>
          </w:p>
          <w:tbl>
            <w:tblPr>
              <w:tblStyle w:val="40"/>
              <w:tblW w:w="4998" w:type="pct"/>
              <w:jc w:val="center"/>
              <w:tblLayout w:type="autofit"/>
              <w:tblCellMar>
                <w:top w:w="0" w:type="dxa"/>
                <w:left w:w="108" w:type="dxa"/>
                <w:bottom w:w="0" w:type="dxa"/>
                <w:right w:w="108" w:type="dxa"/>
              </w:tblCellMar>
            </w:tblPr>
            <w:tblGrid>
              <w:gridCol w:w="1267"/>
              <w:gridCol w:w="1378"/>
              <w:gridCol w:w="1378"/>
              <w:gridCol w:w="1379"/>
              <w:gridCol w:w="2427"/>
            </w:tblGrid>
            <w:tr w14:paraId="1D1F47D4">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15A78DE">
                  <w:pPr>
                    <w:pStyle w:val="64"/>
                    <w:ind w:left="0" w:leftChars="0" w:firstLine="0" w:firstLineChars="0"/>
                    <w:jc w:val="center"/>
                    <w:textAlignment w:val="baseline"/>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距离（m)</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81BCC64">
                  <w:pPr>
                    <w:pStyle w:val="64"/>
                    <w:ind w:left="0" w:leftChars="0" w:firstLine="0" w:firstLineChars="0"/>
                    <w:jc w:val="center"/>
                    <w:textAlignment w:val="baseline"/>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100天</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BBA24E6">
                  <w:pPr>
                    <w:pStyle w:val="64"/>
                    <w:ind w:left="0" w:leftChars="0" w:firstLine="0" w:firstLineChars="0"/>
                    <w:jc w:val="center"/>
                    <w:textAlignment w:val="baseline"/>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1000天</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EDD8DA2">
                  <w:pPr>
                    <w:pStyle w:val="64"/>
                    <w:ind w:left="0" w:leftChars="0" w:firstLine="0" w:firstLineChars="0"/>
                    <w:jc w:val="center"/>
                    <w:textAlignment w:val="baseline"/>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1825天</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C8BD418">
                  <w:pPr>
                    <w:pStyle w:val="64"/>
                    <w:ind w:left="0" w:leftChars="0" w:firstLine="0" w:firstLineChars="0"/>
                    <w:jc w:val="center"/>
                    <w:textAlignment w:val="baseline"/>
                    <w:rPr>
                      <w:b/>
                      <w:bCs w:val="0"/>
                      <w:color w:val="000000" w:themeColor="text1"/>
                      <w:highlight w:val="none"/>
                      <w14:textFill>
                        <w14:solidFill>
                          <w14:schemeClr w14:val="tx1"/>
                        </w14:solidFill>
                      </w14:textFill>
                    </w:rPr>
                  </w:pPr>
                  <w:r>
                    <w:rPr>
                      <w:rFonts w:hint="eastAsia"/>
                      <w:b/>
                      <w:bCs w:val="0"/>
                      <w:color w:val="000000" w:themeColor="text1"/>
                      <w:highlight w:val="none"/>
                      <w14:textFill>
                        <w14:solidFill>
                          <w14:schemeClr w14:val="tx1"/>
                        </w14:solidFill>
                      </w14:textFill>
                    </w:rPr>
                    <w:t>3650天</w:t>
                  </w:r>
                </w:p>
              </w:tc>
            </w:tr>
            <w:tr w14:paraId="0CFB5273">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2BEE369">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7DB207E">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3.84E+00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0DD363">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3.84E+00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C64469">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3.84E+00</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97653D">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3.84E+00</w:t>
                  </w:r>
                </w:p>
              </w:tc>
            </w:tr>
            <w:tr w14:paraId="60FE0363">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273F69">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ACFE7A">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2.74E+00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3DB0C3">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3.72E+00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9C449C3">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3.79E+00</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92EE7FC">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3.83E+00</w:t>
                  </w:r>
                </w:p>
              </w:tc>
            </w:tr>
            <w:tr w14:paraId="735C30BD">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558FE1">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6</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ABDC7F">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1.65E+00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2A478D">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3.56E+00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42144D">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3.73E+00</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6D7AEEE">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3.82E+00</w:t>
                  </w:r>
                </w:p>
              </w:tc>
            </w:tr>
            <w:tr w14:paraId="1C550CA4">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43A7979">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9</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15D4C">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8.18E-01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AEB142">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3.37E+00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305671B">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3.66E+00</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9A18DD">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3.80E+00</w:t>
                  </w:r>
                </w:p>
              </w:tc>
            </w:tr>
            <w:tr w14:paraId="710D83EA">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767678E">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15</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B19A8CA">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1.09E-01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9A49D41">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2.91E+00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BDED86">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3.46E+00</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9006DB">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3.76E+00</w:t>
                  </w:r>
                </w:p>
              </w:tc>
            </w:tr>
            <w:tr w14:paraId="4199A0C9">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11A0059">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389B4E1">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1.04E-02</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BA8F5EE">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2.45E+00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AE587B">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3.25E+00</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921C68">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3.71E+00</w:t>
                  </w:r>
                </w:p>
              </w:tc>
            </w:tr>
            <w:tr w14:paraId="2341D150">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BC95B0">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BD8DFE">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1.44E-05</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EA8A47E">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1.52E+00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73AEE3">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2.70E+00</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8A84EBD">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3.56E+00</w:t>
                  </w:r>
                </w:p>
              </w:tc>
            </w:tr>
            <w:tr w14:paraId="691C14AA">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F2F6E40">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37</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FCEBDA">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3.07E-08</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D7FC45">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9.59E-01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AD82855">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2.24E+00</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1746E70">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3.41E+00</w:t>
                  </w:r>
                </w:p>
              </w:tc>
            </w:tr>
            <w:tr w14:paraId="6555A448">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75B375">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50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D023C3A">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5.97E-15</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4FBEAF5">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3.06E-01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D06C4CB">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1.40E+00</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1E2AC5A">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3.03E+00</w:t>
                  </w:r>
                </w:p>
              </w:tc>
            </w:tr>
            <w:tr w14:paraId="277FB2DC">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7F3F1E">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57</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173DF3">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7DF918">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1.40E-01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88BE8A">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9.99E-01</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D51A6E3">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2.77E+00</w:t>
                  </w:r>
                </w:p>
              </w:tc>
            </w:tr>
            <w:tr w14:paraId="7E00F3C0">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0225D">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70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2E0E50D">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55A9EF">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2.40E-02</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7CF4257">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4.59E-01</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B56885">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2.22E+00</w:t>
                  </w:r>
                </w:p>
              </w:tc>
            </w:tr>
            <w:tr w14:paraId="0EFBCEB5">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F1C857E">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80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3B81E0D">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E695E7">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4.62E-03</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ED26DE8">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2.18E-01</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E398BE8">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1.77E+00</w:t>
                  </w:r>
                </w:p>
              </w:tc>
            </w:tr>
            <w:tr w14:paraId="1CC23BA7">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CBE4B90">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90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CA1B0CD">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2F8E490">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6.91E-04</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288BD3A">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9.10E-02</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2E2F06F">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1.34E+00</w:t>
                  </w:r>
                </w:p>
              </w:tc>
            </w:tr>
            <w:tr w14:paraId="6C4073CB">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64C9927">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99</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AF020">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24BF411">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1.00E-04</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822CC92">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3.69E-02</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F448989">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9.92E-01</w:t>
                  </w:r>
                </w:p>
              </w:tc>
            </w:tr>
            <w:tr w14:paraId="60E25713">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8AE6340">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106231">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785933">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7.99E-05</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F807558">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3.32E-02</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FCD686A">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9.57E-01</w:t>
                  </w:r>
                </w:p>
              </w:tc>
            </w:tr>
            <w:tr w14:paraId="362278BF">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191A17">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150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FC04ECD">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DD53D4">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1.85E-11</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E881016">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2.67E-05</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71CC51">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7.08E-02</w:t>
                  </w:r>
                </w:p>
              </w:tc>
            </w:tr>
            <w:tr w14:paraId="33F93D01">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619C191">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180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142C0B">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B246C31">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2.13E-16</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6314C4A">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6.80E-08</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D5E6F4">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6.70E-03</w:t>
                  </w:r>
                </w:p>
              </w:tc>
            </w:tr>
            <w:tr w14:paraId="3FBBD29C">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85CDB0">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DA7D32C">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1955865">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CCD35E6">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3.57E-10</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D3D75E7">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1.01E-03</w:t>
                  </w:r>
                </w:p>
              </w:tc>
            </w:tr>
            <w:tr w14:paraId="2237D667">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B15633A">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220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CAAFEA8">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C7D3D6">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A4834C4">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1.94E-12</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0487624">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1.12E-04</w:t>
                  </w:r>
                </w:p>
              </w:tc>
            </w:tr>
            <w:tr w14:paraId="69B29D2C">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836C75B">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240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4E8B01A">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4029B7">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31880AB">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5.33E-15</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FB30701">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1.14E-05</w:t>
                  </w:r>
                </w:p>
              </w:tc>
            </w:tr>
            <w:tr w14:paraId="01FCA4E1">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1551BBE">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260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352E0AD">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C0E41E3">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5FA4AF8">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7AA71B">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3.56E-07</w:t>
                  </w:r>
                </w:p>
              </w:tc>
            </w:tr>
            <w:tr w14:paraId="14D1AC60">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09FA7D0">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280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64220AF">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6AAA734">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DBE33DE">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4E2AD916">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1.66E-08</w:t>
                  </w:r>
                </w:p>
              </w:tc>
            </w:tr>
            <w:tr w14:paraId="6C5EF995">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7E31ED2A">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4463AAB">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0394A91">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D081760">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1D6F786">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5.77E-10</w:t>
                  </w:r>
                </w:p>
              </w:tc>
            </w:tr>
            <w:tr w14:paraId="2719A8C2">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65883E2D">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330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3137ADA">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76E6EB7">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8950687">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0AE3DFD4">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2.37E-12</w:t>
                  </w:r>
                </w:p>
              </w:tc>
            </w:tr>
            <w:tr w14:paraId="219BF95C">
              <w:tblPrEx>
                <w:tblCellMar>
                  <w:top w:w="0" w:type="dxa"/>
                  <w:left w:w="108" w:type="dxa"/>
                  <w:bottom w:w="0" w:type="dxa"/>
                  <w:right w:w="108" w:type="dxa"/>
                </w:tblCellMar>
              </w:tblPrEx>
              <w:trPr>
                <w:trHeight w:val="288" w:hRule="atLeast"/>
                <w:jc w:val="center"/>
              </w:trPr>
              <w:tc>
                <w:tcPr>
                  <w:tcW w:w="80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5A17F025">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376</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487D7BC">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175225C4">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880"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3C05BAD4">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0.00E+00</w:t>
                  </w:r>
                </w:p>
              </w:tc>
              <w:tc>
                <w:tcPr>
                  <w:tcW w:w="1549" w:type="pct"/>
                  <w:tcBorders>
                    <w:top w:val="single" w:color="000000" w:sz="4" w:space="0"/>
                    <w:left w:val="single" w:color="000000" w:sz="4" w:space="0"/>
                    <w:bottom w:val="single" w:color="000000" w:sz="4" w:space="0"/>
                    <w:right w:val="single" w:color="000000" w:sz="4" w:space="0"/>
                  </w:tcBorders>
                  <w:shd w:val="clear" w:color="auto" w:fill="auto"/>
                  <w:noWrap/>
                  <w:vAlign w:val="center"/>
                </w:tcPr>
                <w:p w14:paraId="24CD3E11">
                  <w:pPr>
                    <w:pStyle w:val="64"/>
                    <w:ind w:left="0" w:leftChars="0" w:firstLine="0" w:firstLineChars="0"/>
                    <w:jc w:val="center"/>
                    <w:textAlignment w:val="baseline"/>
                    <w:rPr>
                      <w:rFonts w:hint="eastAsia" w:ascii="Times New Roman" w:hAnsi="Times New Roman" w:eastAsia="宋体" w:cs="Times New Roman"/>
                      <w:color w:val="000000" w:themeColor="text1"/>
                      <w:highlight w:val="none"/>
                      <w:lang w:val="en-US" w:eastAsia="zh-CN"/>
                      <w14:textFill>
                        <w14:solidFill>
                          <w14:schemeClr w14:val="tx1"/>
                        </w14:solidFill>
                      </w14:textFill>
                    </w:rPr>
                  </w:pPr>
                  <w:r>
                    <w:rPr>
                      <w:rFonts w:hint="eastAsia" w:ascii="Times New Roman" w:hAnsi="Times New Roman" w:eastAsia="宋体" w:cs="Times New Roman"/>
                      <w:color w:val="000000" w:themeColor="text1"/>
                      <w:highlight w:val="none"/>
                      <w:lang w:val="en-US" w:eastAsia="zh-CN"/>
                      <w14:textFill>
                        <w14:solidFill>
                          <w14:schemeClr w14:val="tx1"/>
                        </w14:solidFill>
                      </w14:textFill>
                    </w:rPr>
                    <w:t>2.13E-16</w:t>
                  </w:r>
                </w:p>
              </w:tc>
            </w:tr>
          </w:tbl>
          <w:p w14:paraId="4F02DA7B">
            <w:pPr>
              <w:ind w:firstLine="480"/>
              <w:rPr>
                <w:color w:val="000000" w:themeColor="text1"/>
                <w14:textFill>
                  <w14:solidFill>
                    <w14:schemeClr w14:val="tx1"/>
                  </w14:solidFill>
                </w14:textFill>
              </w:rPr>
            </w:pPr>
          </w:p>
          <w:p w14:paraId="43B386A0">
            <w:pPr>
              <w:ind w:firstLine="0" w:firstLineChars="0"/>
              <w:jc w:val="center"/>
              <w:rPr>
                <w:color w:val="000000" w:themeColor="text1"/>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724400" cy="2667000"/>
                  <wp:effectExtent l="0" t="0" r="0" b="0"/>
                  <wp:docPr id="33"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26"/>
                          <pic:cNvPicPr>
                            <a:picLocks noChangeAspect="1"/>
                          </pic:cNvPicPr>
                        </pic:nvPicPr>
                        <pic:blipFill>
                          <a:blip r:embed="rId33"/>
                          <a:stretch>
                            <a:fillRect/>
                          </a:stretch>
                        </pic:blipFill>
                        <pic:spPr>
                          <a:xfrm>
                            <a:off x="0" y="0"/>
                            <a:ext cx="4724400" cy="2667000"/>
                          </a:xfrm>
                          <a:prstGeom prst="rect">
                            <a:avLst/>
                          </a:prstGeom>
                          <a:noFill/>
                          <a:ln>
                            <a:noFill/>
                          </a:ln>
                        </pic:spPr>
                      </pic:pic>
                    </a:graphicData>
                  </a:graphic>
                </wp:inline>
              </w:drawing>
            </w:r>
          </w:p>
          <w:p w14:paraId="199A5FD5">
            <w:pPr>
              <w:pStyle w:val="19"/>
              <w:numPr>
                <w:ilvl w:val="4"/>
                <w:numId w:val="0"/>
              </w:numPr>
              <w:spacing w:line="240" w:lineRule="auto"/>
              <w:rPr>
                <w:color w:val="000000" w:themeColor="text1"/>
                <w:sz w:val="24"/>
                <w:szCs w:val="24"/>
                <w14:textFill>
                  <w14:solidFill>
                    <w14:schemeClr w14:val="tx1"/>
                  </w14:solidFill>
                </w14:textFill>
              </w:rPr>
            </w:pPr>
            <w:bookmarkStart w:id="73" w:name="_Toc14444"/>
            <w:r>
              <w:rPr>
                <w:rFonts w:hint="eastAsia"/>
                <w:color w:val="000000" w:themeColor="text1"/>
                <w:sz w:val="24"/>
                <w:szCs w:val="24"/>
                <w14:textFill>
                  <w14:solidFill>
                    <w14:schemeClr w14:val="tx1"/>
                  </w14:solidFill>
                </w14:textFill>
              </w:rPr>
              <w:t>图4-1</w:t>
            </w:r>
            <w:r>
              <w:rPr>
                <w:rFonts w:hint="eastAsia"/>
                <w:color w:val="000000" w:themeColor="text1"/>
                <w:sz w:val="24"/>
                <w:szCs w:val="24"/>
                <w:lang w:val="en-US" w:eastAsia="zh-CN"/>
                <w14:textFill>
                  <w14:solidFill>
                    <w14:schemeClr w14:val="tx1"/>
                  </w14:solidFill>
                </w14:textFill>
              </w:rPr>
              <w:t xml:space="preserve">2 </w:t>
            </w:r>
            <w:r>
              <w:rPr>
                <w:rFonts w:hint="eastAsia"/>
                <w:color w:val="000000" w:themeColor="text1"/>
                <w:sz w:val="24"/>
                <w:szCs w:val="24"/>
                <w14:textFill>
                  <w14:solidFill>
                    <w14:schemeClr w14:val="tx1"/>
                  </w14:solidFill>
                </w14:textFill>
              </w:rPr>
              <w:t xml:space="preserve"> 项目区下游地下水中氟化物浓度变化曲线图</w:t>
            </w:r>
          </w:p>
          <w:p w14:paraId="146EAA08">
            <w:pPr>
              <w:ind w:firstLine="480"/>
              <w:rPr>
                <w:color w:val="000000" w:themeColor="text1"/>
                <w:highlight w:val="none"/>
                <w14:textFill>
                  <w14:solidFill>
                    <w14:schemeClr w14:val="tx1"/>
                  </w14:solidFill>
                </w14:textFill>
              </w:rPr>
            </w:pPr>
            <w:r>
              <w:rPr>
                <w:rFonts w:hint="eastAsia"/>
                <w:color w:val="000000" w:themeColor="text1"/>
                <w:highlight w:val="none"/>
                <w14:textFill>
                  <w14:solidFill>
                    <w14:schemeClr w14:val="tx1"/>
                  </w14:solidFill>
                </w14:textFill>
              </w:rPr>
              <w:t>从上表和图可看出，在渗滤液收集井或防渗层出现破损或破裂，渗滤液发生渗漏的非正常状况下，渗滤液持续渗入含水层中运移100d、1000d、1825d、3650d后，地下水环境受氟化物影响的最大距离分别为</w:t>
            </w:r>
            <w:r>
              <w:rPr>
                <w:rFonts w:hint="eastAsia"/>
                <w:color w:val="000000" w:themeColor="text1"/>
                <w:highlight w:val="none"/>
                <w:lang w:val="en-US" w:eastAsia="zh-CN"/>
                <w14:textFill>
                  <w14:solidFill>
                    <w14:schemeClr w14:val="tx1"/>
                  </w14:solidFill>
                </w14:textFill>
              </w:rPr>
              <w:t>52</w:t>
            </w:r>
            <w:r>
              <w:rPr>
                <w:rFonts w:hint="eastAsia"/>
                <w:color w:val="000000" w:themeColor="text1"/>
                <w:highlight w:val="none"/>
                <w14:textFill>
                  <w14:solidFill>
                    <w14:schemeClr w14:val="tx1"/>
                  </w14:solidFill>
                </w14:textFill>
              </w:rPr>
              <w:t>m、1</w:t>
            </w:r>
            <w:r>
              <w:rPr>
                <w:rFonts w:hint="eastAsia"/>
                <w:color w:val="000000" w:themeColor="text1"/>
                <w:highlight w:val="none"/>
                <w:lang w:val="en-US" w:eastAsia="zh-CN"/>
                <w14:textFill>
                  <w14:solidFill>
                    <w14:schemeClr w14:val="tx1"/>
                  </w14:solidFill>
                </w14:textFill>
              </w:rPr>
              <w:t>80</w:t>
            </w:r>
            <w:r>
              <w:rPr>
                <w:rFonts w:hint="eastAsia"/>
                <w:color w:val="000000" w:themeColor="text1"/>
                <w:highlight w:val="none"/>
                <w14:textFill>
                  <w14:solidFill>
                    <w14:schemeClr w14:val="tx1"/>
                  </w14:solidFill>
                </w14:textFill>
              </w:rPr>
              <w:t>m、2</w:t>
            </w:r>
            <w:r>
              <w:rPr>
                <w:rFonts w:hint="eastAsia"/>
                <w:color w:val="000000" w:themeColor="text1"/>
                <w:highlight w:val="none"/>
                <w:lang w:val="en-US" w:eastAsia="zh-CN"/>
                <w14:textFill>
                  <w14:solidFill>
                    <w14:schemeClr w14:val="tx1"/>
                  </w14:solidFill>
                </w14:textFill>
              </w:rPr>
              <w:t>52</w:t>
            </w:r>
            <w:r>
              <w:rPr>
                <w:rFonts w:hint="eastAsia"/>
                <w:color w:val="000000" w:themeColor="text1"/>
                <w:highlight w:val="none"/>
                <w14:textFill>
                  <w14:solidFill>
                    <w14:schemeClr w14:val="tx1"/>
                  </w14:solidFill>
                </w14:textFill>
              </w:rPr>
              <w:t>m、</w:t>
            </w:r>
            <w:r>
              <w:rPr>
                <w:rFonts w:hint="eastAsia"/>
                <w:color w:val="000000" w:themeColor="text1"/>
                <w:highlight w:val="none"/>
                <w:lang w:val="en-US" w:eastAsia="zh-CN"/>
                <w14:textFill>
                  <w14:solidFill>
                    <w14:schemeClr w14:val="tx1"/>
                  </w14:solidFill>
                </w14:textFill>
              </w:rPr>
              <w:t>376</w:t>
            </w:r>
            <w:r>
              <w:rPr>
                <w:rFonts w:hint="eastAsia"/>
                <w:color w:val="000000" w:themeColor="text1"/>
                <w:highlight w:val="none"/>
                <w14:textFill>
                  <w14:solidFill>
                    <w14:schemeClr w14:val="tx1"/>
                  </w14:solidFill>
                </w14:textFill>
              </w:rPr>
              <w:t>m。</w:t>
            </w:r>
          </w:p>
          <w:p w14:paraId="1A788C9B">
            <w:pPr>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污染物</w:t>
            </w:r>
            <w:r>
              <w:rPr>
                <w:color w:val="000000" w:themeColor="text1"/>
                <w:kern w:val="0"/>
                <w:lang w:bidi="ar"/>
                <w14:textFill>
                  <w14:solidFill>
                    <w14:schemeClr w14:val="tx1"/>
                  </w14:solidFill>
                </w14:textFill>
              </w:rPr>
              <w:t>渗漏进入含水层中的污染物在短时间内难以自净恢复，随着时间的增加，污染物在含水层中的迁移扩散距离还会增大，会对</w:t>
            </w:r>
            <w:r>
              <w:rPr>
                <w:rFonts w:hint="eastAsia"/>
                <w:color w:val="000000" w:themeColor="text1"/>
                <w:kern w:val="0"/>
                <w:lang w:bidi="ar"/>
                <w14:textFill>
                  <w14:solidFill>
                    <w14:schemeClr w14:val="tx1"/>
                  </w14:solidFill>
                </w14:textFill>
              </w:rPr>
              <w:t>修复</w:t>
            </w:r>
            <w:r>
              <w:rPr>
                <w:color w:val="000000" w:themeColor="text1"/>
                <w:kern w:val="0"/>
                <w:lang w:bidi="ar"/>
                <w14:textFill>
                  <w14:solidFill>
                    <w14:schemeClr w14:val="tx1"/>
                  </w14:solidFill>
                </w14:textFill>
              </w:rPr>
              <w:t>区及其下游的地下水环境造成不同程度的污染。</w:t>
            </w:r>
          </w:p>
          <w:p w14:paraId="0C7E855E">
            <w:pPr>
              <w:ind w:firstLine="480"/>
              <w:rPr>
                <w:color w:val="000000" w:themeColor="text1"/>
                <w14:textFill>
                  <w14:solidFill>
                    <w14:schemeClr w14:val="tx1"/>
                  </w14:solidFill>
                </w14:textFill>
              </w:rPr>
            </w:pPr>
            <w:r>
              <w:rPr>
                <w:color w:val="000000" w:themeColor="text1"/>
                <w:kern w:val="0"/>
                <w:lang w:bidi="ar"/>
                <w14:textFill>
                  <w14:solidFill>
                    <w14:schemeClr w14:val="tx1"/>
                  </w14:solidFill>
                </w14:textFill>
              </w:rPr>
              <w:t>因此，</w:t>
            </w:r>
            <w:r>
              <w:rPr>
                <w:rFonts w:hint="eastAsia"/>
                <w:color w:val="000000" w:themeColor="text1"/>
                <w:kern w:val="0"/>
                <w:lang w:bidi="ar"/>
                <w14:textFill>
                  <w14:solidFill>
                    <w14:schemeClr w14:val="tx1"/>
                  </w14:solidFill>
                </w14:textFill>
              </w:rPr>
              <w:t>在项目建设过程中要按要求做好相应的防渗措施，项目建成后需要定期检查渗滤液收集设施及修复区防渗层破损情况</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直到项目无渗滤液产生，如果</w:t>
            </w:r>
            <w:r>
              <w:rPr>
                <w:color w:val="000000" w:themeColor="text1"/>
                <w:kern w:val="0"/>
                <w:lang w:bidi="ar"/>
                <w14:textFill>
                  <w14:solidFill>
                    <w14:schemeClr w14:val="tx1"/>
                  </w14:solidFill>
                </w14:textFill>
              </w:rPr>
              <w:t>发现有破损</w:t>
            </w:r>
            <w:r>
              <w:rPr>
                <w:rFonts w:hint="eastAsia"/>
                <w:color w:val="000000" w:themeColor="text1"/>
                <w:kern w:val="0"/>
                <w:lang w:bidi="ar"/>
                <w14:textFill>
                  <w14:solidFill>
                    <w14:schemeClr w14:val="tx1"/>
                  </w14:solidFill>
                </w14:textFill>
              </w:rPr>
              <w:t>情况应立即进行修补。</w:t>
            </w:r>
            <w:r>
              <w:rPr>
                <w:color w:val="000000" w:themeColor="text1"/>
                <w:kern w:val="0"/>
                <w:lang w:bidi="ar"/>
                <w14:textFill>
                  <w14:solidFill>
                    <w14:schemeClr w14:val="tx1"/>
                  </w14:solidFill>
                </w14:textFill>
              </w:rPr>
              <w:t>杜绝非正常情况的发生，避免污染物进入含水层及地下水环境中</w:t>
            </w:r>
            <w:r>
              <w:rPr>
                <w:rFonts w:hint="eastAsia"/>
                <w:color w:val="000000" w:themeColor="text1"/>
                <w:kern w:val="0"/>
                <w:lang w:bidi="ar"/>
                <w14:textFill>
                  <w14:solidFill>
                    <w14:schemeClr w14:val="tx1"/>
                  </w14:solidFill>
                </w14:textFill>
              </w:rPr>
              <w:t>。</w:t>
            </w:r>
          </w:p>
          <w:p w14:paraId="48E5CF04">
            <w:pPr>
              <w:ind w:firstLine="480"/>
              <w:rPr>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④</w:t>
            </w:r>
            <w:r>
              <w:rPr>
                <w:rFonts w:hint="eastAsia"/>
                <w:color w:val="000000" w:themeColor="text1"/>
                <w14:textFill>
                  <w14:solidFill>
                    <w14:schemeClr w14:val="tx1"/>
                  </w14:solidFill>
                </w14:textFill>
              </w:rPr>
              <w:t>监控井穿透曲线</w:t>
            </w:r>
          </w:p>
          <w:p w14:paraId="4B5C6C77">
            <w:pPr>
              <w:tabs>
                <w:tab w:val="left" w:pos="420"/>
              </w:tabs>
              <w:ind w:firstLine="480" w:firstLineChars="0"/>
              <w:textAlignment w:val="baseline"/>
              <w:rPr>
                <w:color w:val="000000" w:themeColor="text1"/>
                <w14:textFill>
                  <w14:solidFill>
                    <w14:schemeClr w14:val="tx1"/>
                  </w14:solidFill>
                </w14:textFill>
              </w:rPr>
            </w:pPr>
            <w:r>
              <w:rPr>
                <w:color w:val="000000" w:themeColor="text1"/>
                <w:szCs w:val="21"/>
                <w14:textFill>
                  <w14:solidFill>
                    <w14:schemeClr w14:val="tx1"/>
                  </w14:solidFill>
                </w14:textFill>
              </w:rPr>
              <w:t>本次评价考虑</w:t>
            </w:r>
            <w:r>
              <w:rPr>
                <w:color w:val="000000" w:themeColor="text1"/>
                <w14:textFill>
                  <w14:solidFill>
                    <w14:schemeClr w14:val="tx1"/>
                  </w14:solidFill>
                </w14:textFill>
              </w:rPr>
              <w:t>项目</w:t>
            </w:r>
            <w:r>
              <w:rPr>
                <w:rFonts w:hint="eastAsia"/>
                <w:color w:val="000000" w:themeColor="text1"/>
                <w14:textFill>
                  <w14:solidFill>
                    <w14:schemeClr w14:val="tx1"/>
                  </w14:solidFill>
                </w14:textFill>
              </w:rPr>
              <w:t>渗滤液收集井</w:t>
            </w:r>
            <w:r>
              <w:rPr>
                <w:color w:val="000000" w:themeColor="text1"/>
                <w14:textFill>
                  <w14:solidFill>
                    <w14:schemeClr w14:val="tx1"/>
                  </w14:solidFill>
                </w14:textFill>
              </w:rPr>
              <w:t>防渗层出现破损或破裂，渗滤液发</w:t>
            </w:r>
            <w:r>
              <w:rPr>
                <w:color w:val="000000" w:themeColor="text1"/>
                <w:szCs w:val="21"/>
                <w14:textFill>
                  <w14:solidFill>
                    <w14:schemeClr w14:val="tx1"/>
                  </w14:solidFill>
                </w14:textFill>
              </w:rPr>
              <w:t>泄漏下渗进入地下水中，将各项参数代入所建立的解析模型，计算各污染物到达距离项目修复区</w:t>
            </w:r>
            <w:r>
              <w:rPr>
                <w:rFonts w:hint="eastAsia"/>
                <w:color w:val="000000" w:themeColor="text1"/>
                <w:szCs w:val="21"/>
                <w:lang w:val="en-US" w:eastAsia="zh-CN"/>
                <w14:textFill>
                  <w14:solidFill>
                    <w14:schemeClr w14:val="tx1"/>
                  </w14:solidFill>
                </w14:textFill>
              </w:rPr>
              <w:t>48</w:t>
            </w:r>
            <w:r>
              <w:rPr>
                <w:color w:val="000000" w:themeColor="text1"/>
                <w:szCs w:val="21"/>
                <w14:textFill>
                  <w14:solidFill>
                    <w14:schemeClr w14:val="tx1"/>
                  </w14:solidFill>
                </w14:textFill>
              </w:rPr>
              <w:t>m处的下游监控井的时间变化情况。</w:t>
            </w:r>
          </w:p>
          <w:p w14:paraId="069CE594">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表4-14渗滤液收集井发生泄漏下游监控井中氟化物浓度变化情况表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2"/>
              <w:gridCol w:w="3860"/>
            </w:tblGrid>
            <w:tr w14:paraId="475F8E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dxa"/>
                  <w:vAlign w:val="center"/>
                </w:tcPr>
                <w:p w14:paraId="258D5626">
                  <w:pPr>
                    <w:pStyle w:val="64"/>
                    <w:rPr>
                      <w:b/>
                      <w:bCs w:val="0"/>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时间（天）</w:t>
                  </w:r>
                </w:p>
              </w:tc>
              <w:tc>
                <w:tcPr>
                  <w:tcW w:w="4187" w:type="dxa"/>
                  <w:vAlign w:val="center"/>
                </w:tcPr>
                <w:p w14:paraId="2BEEFA69">
                  <w:pPr>
                    <w:pStyle w:val="64"/>
                    <w:rPr>
                      <w:b/>
                      <w:bCs w:val="0"/>
                      <w:color w:val="000000" w:themeColor="text1"/>
                      <w:highlight w:val="none"/>
                      <w14:textFill>
                        <w14:solidFill>
                          <w14:schemeClr w14:val="tx1"/>
                        </w14:solidFill>
                      </w14:textFill>
                    </w:rPr>
                  </w:pPr>
                  <w:r>
                    <w:rPr>
                      <w:b/>
                      <w:bCs w:val="0"/>
                      <w:color w:val="000000" w:themeColor="text1"/>
                      <w:highlight w:val="none"/>
                      <w14:textFill>
                        <w14:solidFill>
                          <w14:schemeClr w14:val="tx1"/>
                        </w14:solidFill>
                      </w14:textFill>
                    </w:rPr>
                    <w:t>浓度c(mg/l)</w:t>
                  </w:r>
                </w:p>
              </w:tc>
            </w:tr>
            <w:tr w14:paraId="482653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dxa"/>
                  <w:shd w:val="clear" w:color="auto" w:fill="auto"/>
                  <w:vAlign w:val="center"/>
                </w:tcPr>
                <w:p w14:paraId="45DD3234">
                  <w:pPr>
                    <w:pStyle w:val="64"/>
                    <w:ind w:firstLine="0" w:firstLineChars="0"/>
                    <w:rPr>
                      <w:rFonts w:ascii="Times New Roman" w:hAnsi="Times New Roman" w:eastAsia="宋体" w:cstheme="minorBidi"/>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w:t>
                  </w:r>
                </w:p>
              </w:tc>
              <w:tc>
                <w:tcPr>
                  <w:tcW w:w="4187" w:type="dxa"/>
                  <w:shd w:val="clear" w:color="auto" w:fill="auto"/>
                  <w:vAlign w:val="center"/>
                </w:tcPr>
                <w:p w14:paraId="234EC0D3">
                  <w:pPr>
                    <w:pStyle w:val="64"/>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0.43</w:t>
                  </w:r>
                </w:p>
              </w:tc>
            </w:tr>
            <w:tr w14:paraId="33EC9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dxa"/>
                  <w:shd w:val="clear" w:color="auto" w:fill="auto"/>
                  <w:vAlign w:val="center"/>
                </w:tcPr>
                <w:p w14:paraId="6C7E6DAF">
                  <w:pPr>
                    <w:pStyle w:val="64"/>
                    <w:ind w:firstLine="0" w:firstLineChars="0"/>
                    <w:rPr>
                      <w:rFonts w:ascii="Times New Roman" w:hAnsi="Times New Roman" w:eastAsia="宋体" w:cstheme="minorBidi"/>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50</w:t>
                  </w:r>
                </w:p>
              </w:tc>
              <w:tc>
                <w:tcPr>
                  <w:tcW w:w="4187" w:type="dxa"/>
                  <w:shd w:val="clear" w:color="auto" w:fill="auto"/>
                  <w:vAlign w:val="center"/>
                </w:tcPr>
                <w:p w14:paraId="7AE337DE">
                  <w:pPr>
                    <w:pStyle w:val="64"/>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0.43</w:t>
                  </w:r>
                </w:p>
              </w:tc>
            </w:tr>
            <w:tr w14:paraId="2DD91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dxa"/>
                  <w:shd w:val="clear" w:color="auto" w:fill="auto"/>
                  <w:vAlign w:val="center"/>
                </w:tcPr>
                <w:p w14:paraId="74785D1C">
                  <w:pPr>
                    <w:pStyle w:val="64"/>
                    <w:ind w:firstLine="0" w:firstLineChars="0"/>
                    <w:rPr>
                      <w:rFonts w:ascii="Times New Roman" w:hAnsi="Times New Roman" w:eastAsia="宋体" w:cstheme="minorBidi"/>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83</w:t>
                  </w:r>
                </w:p>
              </w:tc>
              <w:tc>
                <w:tcPr>
                  <w:tcW w:w="4187" w:type="dxa"/>
                  <w:shd w:val="clear" w:color="auto" w:fill="auto"/>
                  <w:vAlign w:val="center"/>
                </w:tcPr>
                <w:p w14:paraId="5E6E6B3D">
                  <w:pPr>
                    <w:pStyle w:val="64"/>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0.43</w:t>
                  </w:r>
                </w:p>
              </w:tc>
            </w:tr>
            <w:tr w14:paraId="79D085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dxa"/>
                  <w:shd w:val="clear" w:color="auto" w:fill="auto"/>
                  <w:vAlign w:val="center"/>
                </w:tcPr>
                <w:p w14:paraId="0254B1F1">
                  <w:pPr>
                    <w:pStyle w:val="64"/>
                    <w:ind w:firstLine="0" w:firstLineChars="0"/>
                    <w:rPr>
                      <w:rFonts w:ascii="Times New Roman" w:hAnsi="Times New Roman" w:eastAsia="宋体" w:cstheme="minorBidi"/>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100</w:t>
                  </w:r>
                </w:p>
              </w:tc>
              <w:tc>
                <w:tcPr>
                  <w:tcW w:w="4187" w:type="dxa"/>
                  <w:shd w:val="clear" w:color="auto" w:fill="auto"/>
                  <w:vAlign w:val="center"/>
                </w:tcPr>
                <w:p w14:paraId="05BB73AD">
                  <w:pPr>
                    <w:pStyle w:val="64"/>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0.43</w:t>
                  </w:r>
                </w:p>
              </w:tc>
            </w:tr>
            <w:tr w14:paraId="7ADAC6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dxa"/>
                  <w:shd w:val="clear" w:color="auto" w:fill="auto"/>
                  <w:vAlign w:val="center"/>
                </w:tcPr>
                <w:p w14:paraId="02A254E1">
                  <w:pPr>
                    <w:pStyle w:val="64"/>
                    <w:ind w:firstLine="0" w:firstLineChars="0"/>
                    <w:rPr>
                      <w:rFonts w:ascii="Times New Roman" w:hAnsi="Times New Roman" w:eastAsia="宋体" w:cstheme="minorBidi"/>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200</w:t>
                  </w:r>
                </w:p>
              </w:tc>
              <w:tc>
                <w:tcPr>
                  <w:tcW w:w="4187" w:type="dxa"/>
                  <w:shd w:val="clear" w:color="auto" w:fill="auto"/>
                  <w:vAlign w:val="center"/>
                </w:tcPr>
                <w:p w14:paraId="2A29D895">
                  <w:pPr>
                    <w:pStyle w:val="64"/>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0.43000102</w:t>
                  </w:r>
                </w:p>
              </w:tc>
            </w:tr>
            <w:tr w14:paraId="0E624B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dxa"/>
                  <w:shd w:val="clear" w:color="auto" w:fill="auto"/>
                  <w:vAlign w:val="center"/>
                </w:tcPr>
                <w:p w14:paraId="4F9E704B">
                  <w:pPr>
                    <w:pStyle w:val="64"/>
                    <w:ind w:firstLine="0" w:firstLineChars="0"/>
                    <w:rPr>
                      <w:rFonts w:ascii="Times New Roman" w:hAnsi="Times New Roman" w:eastAsia="宋体" w:cstheme="minorBidi"/>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300</w:t>
                  </w:r>
                </w:p>
              </w:tc>
              <w:tc>
                <w:tcPr>
                  <w:tcW w:w="4187" w:type="dxa"/>
                  <w:shd w:val="clear" w:color="auto" w:fill="auto"/>
                  <w:vAlign w:val="center"/>
                </w:tcPr>
                <w:p w14:paraId="3C25AE59">
                  <w:pPr>
                    <w:pStyle w:val="64"/>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0.430206</w:t>
                  </w:r>
                </w:p>
              </w:tc>
            </w:tr>
            <w:tr w14:paraId="2B7AB2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dxa"/>
                  <w:shd w:val="clear" w:color="auto" w:fill="auto"/>
                  <w:vAlign w:val="center"/>
                </w:tcPr>
                <w:p w14:paraId="6FCE5AD2">
                  <w:pPr>
                    <w:pStyle w:val="64"/>
                    <w:ind w:firstLine="0" w:firstLineChars="0"/>
                    <w:rPr>
                      <w:rFonts w:ascii="Times New Roman" w:hAnsi="Times New Roman" w:eastAsia="宋体" w:cstheme="minorBidi"/>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400</w:t>
                  </w:r>
                </w:p>
              </w:tc>
              <w:tc>
                <w:tcPr>
                  <w:tcW w:w="4187" w:type="dxa"/>
                  <w:shd w:val="clear" w:color="auto" w:fill="auto"/>
                  <w:vAlign w:val="center"/>
                </w:tcPr>
                <w:p w14:paraId="393E53F5">
                  <w:pPr>
                    <w:pStyle w:val="64"/>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0.43298</w:t>
                  </w:r>
                </w:p>
              </w:tc>
            </w:tr>
            <w:tr w14:paraId="4ABE79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7" w:hRule="atLeast"/>
              </w:trPr>
              <w:tc>
                <w:tcPr>
                  <w:tcW w:w="4335" w:type="dxa"/>
                  <w:shd w:val="clear" w:color="auto" w:fill="auto"/>
                  <w:vAlign w:val="center"/>
                </w:tcPr>
                <w:p w14:paraId="1D357FF5">
                  <w:pPr>
                    <w:pStyle w:val="64"/>
                    <w:ind w:firstLine="0" w:firstLineChars="0"/>
                    <w:rPr>
                      <w:rFonts w:ascii="Times New Roman" w:hAnsi="Times New Roman" w:eastAsia="宋体" w:cstheme="minorBidi"/>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500</w:t>
                  </w:r>
                </w:p>
              </w:tc>
              <w:tc>
                <w:tcPr>
                  <w:tcW w:w="4187" w:type="dxa"/>
                  <w:shd w:val="clear" w:color="auto" w:fill="auto"/>
                  <w:vAlign w:val="center"/>
                </w:tcPr>
                <w:p w14:paraId="14F77F80">
                  <w:pPr>
                    <w:pStyle w:val="64"/>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0.4449</w:t>
                  </w:r>
                </w:p>
              </w:tc>
            </w:tr>
            <w:tr w14:paraId="499C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dxa"/>
                  <w:shd w:val="clear" w:color="auto" w:fill="auto"/>
                  <w:vAlign w:val="center"/>
                </w:tcPr>
                <w:p w14:paraId="16FA3272">
                  <w:pPr>
                    <w:pStyle w:val="64"/>
                    <w:ind w:firstLine="0" w:firstLineChars="0"/>
                    <w:rPr>
                      <w:rFonts w:ascii="Times New Roman" w:hAnsi="Times New Roman" w:eastAsia="宋体" w:cstheme="minorBidi"/>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600</w:t>
                  </w:r>
                </w:p>
              </w:tc>
              <w:tc>
                <w:tcPr>
                  <w:tcW w:w="4187" w:type="dxa"/>
                  <w:shd w:val="clear" w:color="auto" w:fill="auto"/>
                  <w:vAlign w:val="center"/>
                </w:tcPr>
                <w:p w14:paraId="02B9A929">
                  <w:pPr>
                    <w:pStyle w:val="64"/>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0.4737</w:t>
                  </w:r>
                </w:p>
              </w:tc>
            </w:tr>
            <w:tr w14:paraId="0161E8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dxa"/>
                  <w:shd w:val="clear" w:color="auto" w:fill="auto"/>
                  <w:vAlign w:val="center"/>
                </w:tcPr>
                <w:p w14:paraId="6990D692">
                  <w:pPr>
                    <w:pStyle w:val="64"/>
                    <w:ind w:firstLine="0" w:firstLineChars="0"/>
                    <w:rPr>
                      <w:rFonts w:ascii="Times New Roman" w:hAnsi="Times New Roman" w:eastAsia="宋体" w:cstheme="minorBidi"/>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700</w:t>
                  </w:r>
                </w:p>
              </w:tc>
              <w:tc>
                <w:tcPr>
                  <w:tcW w:w="4187" w:type="dxa"/>
                  <w:shd w:val="clear" w:color="auto" w:fill="auto"/>
                  <w:vAlign w:val="center"/>
                </w:tcPr>
                <w:p w14:paraId="5AEC7511">
                  <w:pPr>
                    <w:pStyle w:val="64"/>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0.5243</w:t>
                  </w:r>
                </w:p>
              </w:tc>
            </w:tr>
            <w:tr w14:paraId="56E34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dxa"/>
                  <w:shd w:val="clear" w:color="auto" w:fill="auto"/>
                  <w:vAlign w:val="center"/>
                </w:tcPr>
                <w:p w14:paraId="5DAE5106">
                  <w:pPr>
                    <w:pStyle w:val="64"/>
                    <w:ind w:firstLine="0" w:firstLineChars="0"/>
                    <w:rPr>
                      <w:rFonts w:ascii="Times New Roman" w:hAnsi="Times New Roman" w:eastAsia="宋体" w:cstheme="minorBidi"/>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800</w:t>
                  </w:r>
                </w:p>
              </w:tc>
              <w:tc>
                <w:tcPr>
                  <w:tcW w:w="4187" w:type="dxa"/>
                  <w:shd w:val="clear" w:color="auto" w:fill="auto"/>
                  <w:vAlign w:val="center"/>
                </w:tcPr>
                <w:p w14:paraId="0835EC7D">
                  <w:pPr>
                    <w:pStyle w:val="64"/>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0.598</w:t>
                  </w:r>
                </w:p>
              </w:tc>
            </w:tr>
            <w:tr w14:paraId="20F5B6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dxa"/>
                  <w:shd w:val="clear" w:color="auto" w:fill="auto"/>
                  <w:vAlign w:val="center"/>
                </w:tcPr>
                <w:p w14:paraId="78DB2712">
                  <w:pPr>
                    <w:pStyle w:val="64"/>
                    <w:ind w:firstLine="0" w:firstLineChars="0"/>
                    <w:rPr>
                      <w:rFonts w:ascii="Times New Roman" w:hAnsi="Times New Roman" w:eastAsia="宋体" w:cstheme="minorBidi"/>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900</w:t>
                  </w:r>
                </w:p>
              </w:tc>
              <w:tc>
                <w:tcPr>
                  <w:tcW w:w="4187" w:type="dxa"/>
                  <w:shd w:val="clear" w:color="auto" w:fill="auto"/>
                  <w:vAlign w:val="center"/>
                </w:tcPr>
                <w:p w14:paraId="644BF625">
                  <w:pPr>
                    <w:pStyle w:val="64"/>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0.692</w:t>
                  </w:r>
                </w:p>
              </w:tc>
            </w:tr>
            <w:tr w14:paraId="7624D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dxa"/>
                  <w:shd w:val="clear" w:color="auto" w:fill="auto"/>
                  <w:vAlign w:val="center"/>
                </w:tcPr>
                <w:p w14:paraId="7F094A96">
                  <w:pPr>
                    <w:pStyle w:val="64"/>
                    <w:ind w:firstLine="0" w:firstLineChars="0"/>
                    <w:rPr>
                      <w:rFonts w:ascii="Times New Roman" w:hAnsi="Times New Roman" w:eastAsia="宋体" w:cstheme="minorBidi"/>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1000</w:t>
                  </w:r>
                </w:p>
              </w:tc>
              <w:tc>
                <w:tcPr>
                  <w:tcW w:w="4187" w:type="dxa"/>
                  <w:shd w:val="clear" w:color="auto" w:fill="auto"/>
                  <w:vAlign w:val="center"/>
                </w:tcPr>
                <w:p w14:paraId="0F171221">
                  <w:pPr>
                    <w:pStyle w:val="64"/>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0.804</w:t>
                  </w:r>
                </w:p>
              </w:tc>
            </w:tr>
            <w:tr w14:paraId="06DFB1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dxa"/>
                  <w:shd w:val="clear" w:color="auto" w:fill="auto"/>
                  <w:vAlign w:val="center"/>
                </w:tcPr>
                <w:p w14:paraId="754F7E85">
                  <w:pPr>
                    <w:pStyle w:val="64"/>
                    <w:ind w:firstLine="0" w:firstLineChars="0"/>
                    <w:rPr>
                      <w:rFonts w:ascii="Times New Roman" w:hAnsi="Times New Roman" w:eastAsia="宋体" w:cstheme="minorBidi"/>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1100</w:t>
                  </w:r>
                </w:p>
              </w:tc>
              <w:tc>
                <w:tcPr>
                  <w:tcW w:w="4187" w:type="dxa"/>
                  <w:shd w:val="clear" w:color="auto" w:fill="auto"/>
                  <w:vAlign w:val="center"/>
                </w:tcPr>
                <w:p w14:paraId="1FCCEAF2">
                  <w:pPr>
                    <w:pStyle w:val="64"/>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0.929</w:t>
                  </w:r>
                </w:p>
              </w:tc>
            </w:tr>
            <w:tr w14:paraId="204A17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dxa"/>
                  <w:shd w:val="clear" w:color="auto" w:fill="auto"/>
                  <w:vAlign w:val="center"/>
                </w:tcPr>
                <w:p w14:paraId="72C2201A">
                  <w:pPr>
                    <w:pStyle w:val="64"/>
                    <w:ind w:firstLine="0" w:firstLineChars="0"/>
                    <w:rPr>
                      <w:rFonts w:hint="default"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1154</w:t>
                  </w:r>
                </w:p>
              </w:tc>
              <w:tc>
                <w:tcPr>
                  <w:tcW w:w="4187" w:type="dxa"/>
                  <w:shd w:val="clear" w:color="auto" w:fill="auto"/>
                  <w:vAlign w:val="center"/>
                </w:tcPr>
                <w:p w14:paraId="26A6B54D">
                  <w:pPr>
                    <w:pStyle w:val="64"/>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1.001</w:t>
                  </w:r>
                </w:p>
              </w:tc>
            </w:tr>
            <w:tr w14:paraId="59BB75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dxa"/>
                  <w:shd w:val="clear" w:color="auto" w:fill="auto"/>
                  <w:vAlign w:val="center"/>
                </w:tcPr>
                <w:p w14:paraId="22A6C33C">
                  <w:pPr>
                    <w:pStyle w:val="64"/>
                    <w:ind w:firstLine="0" w:firstLineChars="0"/>
                    <w:rPr>
                      <w:rFonts w:ascii="Times New Roman" w:hAnsi="Times New Roman" w:eastAsia="宋体" w:cstheme="minorBidi"/>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1200</w:t>
                  </w:r>
                </w:p>
              </w:tc>
              <w:tc>
                <w:tcPr>
                  <w:tcW w:w="4187" w:type="dxa"/>
                  <w:shd w:val="clear" w:color="auto" w:fill="auto"/>
                  <w:vAlign w:val="center"/>
                </w:tcPr>
                <w:p w14:paraId="473DCE06">
                  <w:pPr>
                    <w:pStyle w:val="64"/>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1.064</w:t>
                  </w:r>
                </w:p>
              </w:tc>
            </w:tr>
            <w:tr w14:paraId="579D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dxa"/>
                  <w:shd w:val="clear" w:color="auto" w:fill="auto"/>
                  <w:vAlign w:val="center"/>
                </w:tcPr>
                <w:p w14:paraId="6E93098D">
                  <w:pPr>
                    <w:pStyle w:val="64"/>
                    <w:ind w:firstLine="0" w:firstLineChars="0"/>
                    <w:rPr>
                      <w:rFonts w:ascii="Times New Roman" w:hAnsi="Times New Roman" w:eastAsia="宋体" w:cstheme="minorBidi"/>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1300</w:t>
                  </w:r>
                </w:p>
              </w:tc>
              <w:tc>
                <w:tcPr>
                  <w:tcW w:w="4187" w:type="dxa"/>
                  <w:shd w:val="clear" w:color="auto" w:fill="auto"/>
                  <w:vAlign w:val="center"/>
                </w:tcPr>
                <w:p w14:paraId="06AD1895">
                  <w:pPr>
                    <w:pStyle w:val="64"/>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1.205</w:t>
                  </w:r>
                </w:p>
              </w:tc>
            </w:tr>
            <w:tr w14:paraId="020F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dxa"/>
                  <w:shd w:val="clear" w:color="auto" w:fill="auto"/>
                  <w:vAlign w:val="center"/>
                </w:tcPr>
                <w:p w14:paraId="6ADFEBF1">
                  <w:pPr>
                    <w:pStyle w:val="64"/>
                    <w:ind w:firstLine="0" w:firstLineChars="0"/>
                    <w:rPr>
                      <w:rFonts w:ascii="Times New Roman" w:hAnsi="Times New Roman" w:eastAsia="宋体" w:cstheme="minorBidi"/>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1400</w:t>
                  </w:r>
                </w:p>
              </w:tc>
              <w:tc>
                <w:tcPr>
                  <w:tcW w:w="4187" w:type="dxa"/>
                  <w:shd w:val="clear" w:color="auto" w:fill="auto"/>
                  <w:vAlign w:val="center"/>
                </w:tcPr>
                <w:p w14:paraId="73A516D5">
                  <w:pPr>
                    <w:pStyle w:val="64"/>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1.35</w:t>
                  </w:r>
                </w:p>
              </w:tc>
            </w:tr>
            <w:tr w14:paraId="227E2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335" w:type="dxa"/>
                  <w:shd w:val="clear" w:color="auto" w:fill="auto"/>
                  <w:vAlign w:val="center"/>
                </w:tcPr>
                <w:p w14:paraId="6C396634">
                  <w:pPr>
                    <w:pStyle w:val="64"/>
                    <w:ind w:firstLine="0" w:firstLineChars="0"/>
                    <w:rPr>
                      <w:rFonts w:ascii="Times New Roman" w:hAnsi="Times New Roman" w:eastAsia="宋体" w:cstheme="minorBidi"/>
                      <w:bCs/>
                      <w:color w:val="000000" w:themeColor="text1"/>
                      <w:kern w:val="2"/>
                      <w:sz w:val="21"/>
                      <w:szCs w:val="24"/>
                      <w:highlight w:val="none"/>
                      <w:lang w:val="en-US" w:eastAsia="zh-CN" w:bidi="ar-SA"/>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1460</w:t>
                  </w:r>
                </w:p>
              </w:tc>
              <w:tc>
                <w:tcPr>
                  <w:tcW w:w="4187" w:type="dxa"/>
                  <w:shd w:val="clear" w:color="auto" w:fill="auto"/>
                  <w:vAlign w:val="center"/>
                </w:tcPr>
                <w:p w14:paraId="2B846B75">
                  <w:pPr>
                    <w:pStyle w:val="64"/>
                    <w:ind w:firstLine="0" w:firstLineChars="0"/>
                    <w:rPr>
                      <w:rFonts w:hint="eastAsia" w:ascii="Times New Roman" w:hAnsi="Times New Roman" w:eastAsia="宋体"/>
                      <w:color w:val="000000" w:themeColor="text1"/>
                      <w:highlight w:val="none"/>
                      <w:lang w:val="en-US" w:eastAsia="zh-CN"/>
                      <w14:textFill>
                        <w14:solidFill>
                          <w14:schemeClr w14:val="tx1"/>
                        </w14:solidFill>
                      </w14:textFill>
                    </w:rPr>
                  </w:pPr>
                  <w:r>
                    <w:rPr>
                      <w:rFonts w:hint="eastAsia" w:ascii="Times New Roman" w:hAnsi="Times New Roman" w:eastAsia="宋体"/>
                      <w:color w:val="000000" w:themeColor="text1"/>
                      <w:highlight w:val="none"/>
                      <w:lang w:val="en-US" w:eastAsia="zh-CN"/>
                      <w14:textFill>
                        <w14:solidFill>
                          <w14:schemeClr w14:val="tx1"/>
                        </w14:solidFill>
                      </w14:textFill>
                    </w:rPr>
                    <w:t>1.44</w:t>
                  </w:r>
                </w:p>
              </w:tc>
            </w:tr>
            <w:tr w14:paraId="2454D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gridSpan w:val="2"/>
                  <w:vAlign w:val="center"/>
                </w:tcPr>
                <w:p w14:paraId="6F4B917B">
                  <w:pPr>
                    <w:pStyle w:val="64"/>
                    <w:rPr>
                      <w:color w:val="000000" w:themeColor="text1"/>
                      <w:highlight w:val="none"/>
                      <w14:textFill>
                        <w14:solidFill>
                          <w14:schemeClr w14:val="tx1"/>
                        </w14:solidFill>
                      </w14:textFill>
                    </w:rPr>
                  </w:pPr>
                  <w:r>
                    <w:rPr>
                      <w:color w:val="000000" w:themeColor="text1"/>
                      <w:highlight w:val="none"/>
                      <w14:textFill>
                        <w14:solidFill>
                          <w14:schemeClr w14:val="tx1"/>
                        </w14:solidFill>
                      </w14:textFill>
                    </w:rPr>
                    <w:t>备注：背景浓度取现状监测最大值</w:t>
                  </w:r>
                  <w:r>
                    <w:rPr>
                      <w:rFonts w:hint="eastAsia"/>
                      <w:color w:val="000000" w:themeColor="text1"/>
                      <w:highlight w:val="none"/>
                      <w14:textFill>
                        <w14:solidFill>
                          <w14:schemeClr w14:val="tx1"/>
                        </w14:solidFill>
                      </w14:textFill>
                    </w:rPr>
                    <w:t>，0.23mg/L</w:t>
                  </w:r>
                </w:p>
              </w:tc>
            </w:tr>
          </w:tbl>
          <w:p w14:paraId="3BA6DDE0">
            <w:pPr>
              <w:keepNext/>
              <w:keepLines/>
              <w:tabs>
                <w:tab w:val="left" w:pos="420"/>
              </w:tabs>
              <w:adjustRightInd w:val="0"/>
              <w:snapToGrid w:val="0"/>
              <w:ind w:firstLine="0" w:firstLineChars="0"/>
              <w:jc w:val="center"/>
              <w:textAlignment w:val="baseline"/>
              <w:rPr>
                <w:b/>
                <w:bCs/>
                <w:color w:val="000000" w:themeColor="text1"/>
                <w14:textFill>
                  <w14:solidFill>
                    <w14:schemeClr w14:val="tx1"/>
                  </w14:solidFill>
                </w14:textFill>
              </w:rPr>
            </w:pPr>
            <w:r>
              <w:rPr>
                <w:color w:val="000000" w:themeColor="text1"/>
                <w:highlight w:val="none"/>
                <w14:textFill>
                  <w14:solidFill>
                    <w14:schemeClr w14:val="tx1"/>
                  </w14:solidFill>
                </w14:textFill>
              </w:rPr>
              <w:drawing>
                <wp:inline distT="0" distB="0" distL="114300" distR="114300">
                  <wp:extent cx="4724400" cy="2657475"/>
                  <wp:effectExtent l="0" t="0" r="0" b="9525"/>
                  <wp:docPr id="56" name="图片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36"/>
                          <pic:cNvPicPr>
                            <a:picLocks noChangeAspect="1"/>
                          </pic:cNvPicPr>
                        </pic:nvPicPr>
                        <pic:blipFill>
                          <a:blip r:embed="rId34"/>
                          <a:stretch>
                            <a:fillRect/>
                          </a:stretch>
                        </pic:blipFill>
                        <pic:spPr>
                          <a:xfrm>
                            <a:off x="0" y="0"/>
                            <a:ext cx="4724400" cy="2657475"/>
                          </a:xfrm>
                          <a:prstGeom prst="rect">
                            <a:avLst/>
                          </a:prstGeom>
                          <a:noFill/>
                          <a:ln>
                            <a:noFill/>
                          </a:ln>
                        </pic:spPr>
                      </pic:pic>
                    </a:graphicData>
                  </a:graphic>
                </wp:inline>
              </w:drawing>
            </w:r>
          </w:p>
          <w:p w14:paraId="4986EFCB">
            <w:pPr>
              <w:keepNext/>
              <w:keepLines/>
              <w:tabs>
                <w:tab w:val="left" w:pos="420"/>
              </w:tabs>
              <w:adjustRightInd w:val="0"/>
              <w:snapToGrid w:val="0"/>
              <w:ind w:firstLine="0" w:firstLineChars="0"/>
              <w:jc w:val="center"/>
              <w:textAlignment w:val="baseline"/>
              <w:rPr>
                <w:b/>
                <w:bCs/>
                <w:color w:val="000000" w:themeColor="text1"/>
                <w:sz w:val="24"/>
                <w:szCs w:val="24"/>
                <w14:textFill>
                  <w14:solidFill>
                    <w14:schemeClr w14:val="tx1"/>
                  </w14:solidFill>
                </w14:textFill>
              </w:rPr>
            </w:pPr>
            <w:r>
              <w:rPr>
                <w:b/>
                <w:bCs/>
                <w:color w:val="000000" w:themeColor="text1"/>
                <w:sz w:val="24"/>
                <w:szCs w:val="24"/>
                <w14:textFill>
                  <w14:solidFill>
                    <w14:schemeClr w14:val="tx1"/>
                  </w14:solidFill>
                </w14:textFill>
              </w:rPr>
              <w:t>图</w:t>
            </w:r>
            <w:r>
              <w:rPr>
                <w:rFonts w:hint="eastAsia"/>
                <w:b/>
                <w:bCs/>
                <w:color w:val="000000" w:themeColor="text1"/>
                <w:sz w:val="24"/>
                <w:szCs w:val="24"/>
                <w14:textFill>
                  <w14:solidFill>
                    <w14:schemeClr w14:val="tx1"/>
                  </w14:solidFill>
                </w14:textFill>
              </w:rPr>
              <w:t>4-1</w:t>
            </w:r>
            <w:r>
              <w:rPr>
                <w:rFonts w:hint="eastAsia"/>
                <w:b/>
                <w:bCs/>
                <w:color w:val="000000" w:themeColor="text1"/>
                <w:sz w:val="24"/>
                <w:szCs w:val="24"/>
                <w:lang w:val="en-US" w:eastAsia="zh-CN"/>
                <w14:textFill>
                  <w14:solidFill>
                    <w14:schemeClr w14:val="tx1"/>
                  </w14:solidFill>
                </w14:textFill>
              </w:rPr>
              <w:t xml:space="preserve">3 </w:t>
            </w:r>
            <w:r>
              <w:rPr>
                <w:rFonts w:hint="eastAsia"/>
                <w:b/>
                <w:bCs/>
                <w:color w:val="000000" w:themeColor="text1"/>
                <w:sz w:val="24"/>
                <w:szCs w:val="24"/>
                <w14:textFill>
                  <w14:solidFill>
                    <w14:schemeClr w14:val="tx1"/>
                  </w14:solidFill>
                </w14:textFill>
              </w:rPr>
              <w:t xml:space="preserve"> 项目区下游监控井中氟化物穿透曲线</w:t>
            </w:r>
          </w:p>
          <w:p w14:paraId="3C6964EF">
            <w:pPr>
              <w:ind w:firstLine="480"/>
              <w:textAlignment w:val="baseline"/>
              <w:rPr>
                <w:rFonts w:cs="Times New Roman"/>
                <w:color w:val="000000" w:themeColor="text1"/>
                <w:szCs w:val="21"/>
                <w:highlight w:val="none"/>
                <w14:textFill>
                  <w14:solidFill>
                    <w14:schemeClr w14:val="tx1"/>
                  </w14:solidFill>
                </w14:textFill>
              </w:rPr>
            </w:pPr>
            <w:r>
              <w:rPr>
                <w:rFonts w:cs="Times New Roman"/>
                <w:color w:val="000000" w:themeColor="text1"/>
                <w:szCs w:val="21"/>
                <w:highlight w:val="none"/>
                <w14:textFill>
                  <w14:solidFill>
                    <w14:schemeClr w14:val="tx1"/>
                  </w14:solidFill>
                </w14:textFill>
              </w:rPr>
              <w:t>根据上表及图分析，在项目渗滤液收集井发生泄漏后，污染物氟化物在泄漏后第</w:t>
            </w:r>
            <w:r>
              <w:rPr>
                <w:rFonts w:hint="eastAsia" w:cs="Times New Roman"/>
                <w:color w:val="000000" w:themeColor="text1"/>
                <w:szCs w:val="21"/>
                <w:highlight w:val="none"/>
                <w:lang w:val="en-US" w:eastAsia="zh-CN"/>
                <w14:textFill>
                  <w14:solidFill>
                    <w14:schemeClr w14:val="tx1"/>
                  </w14:solidFill>
                </w14:textFill>
              </w:rPr>
              <w:t>83</w:t>
            </w:r>
            <w:r>
              <w:rPr>
                <w:rFonts w:cs="Times New Roman"/>
                <w:color w:val="000000" w:themeColor="text1"/>
                <w:szCs w:val="21"/>
                <w:highlight w:val="none"/>
                <w14:textFill>
                  <w14:solidFill>
                    <w14:schemeClr w14:val="tx1"/>
                  </w14:solidFill>
                </w14:textFill>
              </w:rPr>
              <w:t>d时到达监控井，污染物可到达监测井处，预测中的镍浓度随着泄漏时间的推移逐渐升高，泄露到</w:t>
            </w:r>
            <w:r>
              <w:rPr>
                <w:rFonts w:hint="eastAsia" w:cs="Times New Roman"/>
                <w:color w:val="000000" w:themeColor="text1"/>
                <w:szCs w:val="21"/>
                <w:highlight w:val="none"/>
                <w:lang w:val="en-US" w:eastAsia="zh-CN"/>
                <w14:textFill>
                  <w14:solidFill>
                    <w14:schemeClr w14:val="tx1"/>
                  </w14:solidFill>
                </w14:textFill>
              </w:rPr>
              <w:t>1154</w:t>
            </w:r>
            <w:r>
              <w:rPr>
                <w:rFonts w:cs="Times New Roman"/>
                <w:color w:val="000000" w:themeColor="text1"/>
                <w:szCs w:val="21"/>
                <w:highlight w:val="none"/>
                <w14:textFill>
                  <w14:solidFill>
                    <w14:schemeClr w14:val="tx1"/>
                  </w14:solidFill>
                </w14:textFill>
              </w:rPr>
              <w:t>d</w:t>
            </w:r>
            <w:r>
              <w:rPr>
                <w:rFonts w:hint="eastAsia" w:cs="Times New Roman"/>
                <w:color w:val="000000" w:themeColor="text1"/>
                <w:szCs w:val="21"/>
                <w:highlight w:val="none"/>
                <w:lang w:val="en-US" w:eastAsia="zh-CN"/>
                <w14:textFill>
                  <w14:solidFill>
                    <w14:schemeClr w14:val="tx1"/>
                  </w14:solidFill>
                </w14:textFill>
              </w:rPr>
              <w:t>后</w:t>
            </w:r>
            <w:r>
              <w:rPr>
                <w:rFonts w:cs="Times New Roman"/>
                <w:color w:val="000000" w:themeColor="text1"/>
                <w:szCs w:val="21"/>
                <w:highlight w:val="none"/>
                <w14:textFill>
                  <w14:solidFill>
                    <w14:schemeClr w14:val="tx1"/>
                  </w14:solidFill>
                </w14:textFill>
              </w:rPr>
              <w:t>监测井中的</w:t>
            </w:r>
            <w:r>
              <w:rPr>
                <w:rFonts w:hint="eastAsia" w:cs="Times New Roman"/>
                <w:color w:val="000000" w:themeColor="text1"/>
                <w:szCs w:val="21"/>
                <w:highlight w:val="none"/>
                <w:lang w:val="en-US" w:eastAsia="zh-CN"/>
                <w14:textFill>
                  <w14:solidFill>
                    <w14:schemeClr w14:val="tx1"/>
                  </w14:solidFill>
                </w14:textFill>
              </w:rPr>
              <w:t>氟化物开始超标</w:t>
            </w:r>
            <w:r>
              <w:rPr>
                <w:rFonts w:cs="Times New Roman"/>
                <w:color w:val="000000" w:themeColor="text1"/>
                <w:szCs w:val="21"/>
                <w:highlight w:val="none"/>
                <w14:textFill>
                  <w14:solidFill>
                    <w14:schemeClr w14:val="tx1"/>
                  </w14:solidFill>
                </w14:textFill>
              </w:rPr>
              <w:t>。</w:t>
            </w:r>
          </w:p>
          <w:p w14:paraId="1A230667">
            <w:pPr>
              <w:ind w:firstLine="480"/>
              <w:textAlignment w:val="baseline"/>
              <w:rPr>
                <w:color w:val="000000" w:themeColor="text1"/>
                <w:szCs w:val="21"/>
                <w14:textFill>
                  <w14:solidFill>
                    <w14:schemeClr w14:val="tx1"/>
                  </w14:solidFill>
                </w14:textFill>
              </w:rPr>
            </w:pPr>
            <w:r>
              <w:rPr>
                <w:rFonts w:hint="eastAsia"/>
                <w:color w:val="000000" w:themeColor="text1"/>
                <w:szCs w:val="21"/>
                <w14:textFill>
                  <w14:solidFill>
                    <w14:schemeClr w14:val="tx1"/>
                  </w14:solidFill>
                </w14:textFill>
              </w:rPr>
              <w:t>本项目施工期避开了雨季且设置了位移监测设施与地下水监控井，能够及时监控项目渗滤液情况，在做好防渗情况下</w:t>
            </w:r>
            <w:r>
              <w:rPr>
                <w:color w:val="000000" w:themeColor="text1"/>
                <w:szCs w:val="21"/>
                <w14:textFill>
                  <w14:solidFill>
                    <w14:schemeClr w14:val="tx1"/>
                  </w14:solidFill>
                </w14:textFill>
              </w:rPr>
              <w:t>项目</w:t>
            </w:r>
            <w:r>
              <w:rPr>
                <w:rFonts w:hint="eastAsia"/>
                <w:color w:val="000000" w:themeColor="text1"/>
                <w:szCs w:val="21"/>
                <w14:textFill>
                  <w14:solidFill>
                    <w14:schemeClr w14:val="tx1"/>
                  </w14:solidFill>
                </w14:textFill>
              </w:rPr>
              <w:t>渗滤液收集井</w:t>
            </w:r>
            <w:r>
              <w:rPr>
                <w:color w:val="000000" w:themeColor="text1"/>
                <w:szCs w:val="21"/>
                <w14:textFill>
                  <w14:solidFill>
                    <w14:schemeClr w14:val="tx1"/>
                  </w14:solidFill>
                </w14:textFill>
              </w:rPr>
              <w:t>发生泄漏</w:t>
            </w:r>
            <w:r>
              <w:rPr>
                <w:rFonts w:hint="eastAsia"/>
                <w:color w:val="000000" w:themeColor="text1"/>
                <w:szCs w:val="21"/>
                <w14:textFill>
                  <w14:solidFill>
                    <w14:schemeClr w14:val="tx1"/>
                  </w14:solidFill>
                </w14:textFill>
              </w:rPr>
              <w:t>后污染物随地下水流到项目范围外的可能极小。本项目采取了各项防渗措施，建立地下水环境监控体系，包括建立地下水污染监控制度和环境管理体系，制定监测计划、配备先进的检测仪器和设备，以便及时发现问题，及时采取预防措施。</w:t>
            </w:r>
          </w:p>
          <w:p w14:paraId="1B24550F">
            <w:pPr>
              <w:ind w:firstLine="480"/>
              <w:rPr>
                <w:color w:val="000000" w:themeColor="text1"/>
                <w:szCs w:val="21"/>
                <w14:textFill>
                  <w14:solidFill>
                    <w14:schemeClr w14:val="tx1"/>
                  </w14:solidFill>
                </w14:textFill>
              </w:rPr>
            </w:pPr>
            <w:r>
              <w:rPr>
                <w:rFonts w:hint="eastAsia"/>
                <w:color w:val="000000" w:themeColor="text1"/>
                <w:kern w:val="0"/>
                <w:lang w:bidi="ar"/>
                <w14:textFill>
                  <w14:solidFill>
                    <w14:schemeClr w14:val="tx1"/>
                  </w14:solidFill>
                </w14:textFill>
              </w:rPr>
              <w:t>综上，当发生非正常情况时，渗滤液短时间下渗对地下水环境影响较小。如</w:t>
            </w:r>
            <w:r>
              <w:rPr>
                <w:rFonts w:hint="eastAsia"/>
                <w:color w:val="000000" w:themeColor="text1"/>
                <w:szCs w:val="21"/>
                <w14:textFill>
                  <w14:solidFill>
                    <w14:schemeClr w14:val="tx1"/>
                  </w14:solidFill>
                </w14:textFill>
              </w:rPr>
              <w:t>防渗层破损导致渗滤液泄露长时间会对地下水造成影响，因此项目需严格做好防渗措施，严格按监测计划进行跟踪监测，做好预防措施，避免对周边环境造成较大影响。</w:t>
            </w:r>
          </w:p>
          <w:p w14:paraId="1E66F71B">
            <w:pPr>
              <w:ind w:firstLine="482"/>
              <w:rPr>
                <w:b/>
                <w:bCs/>
                <w:color w:val="000000" w:themeColor="text1"/>
                <w:kern w:val="0"/>
                <w:lang w:bidi="ar"/>
                <w14:textFill>
                  <w14:solidFill>
                    <w14:schemeClr w14:val="tx1"/>
                  </w14:solidFill>
                </w14:textFill>
              </w:rPr>
            </w:pPr>
            <w:bookmarkStart w:id="74" w:name="_Toc6556"/>
            <w:bookmarkStart w:id="75" w:name="_Toc13209"/>
            <w:bookmarkStart w:id="76" w:name="_Toc30169"/>
            <w:bookmarkStart w:id="77" w:name="_Toc12324"/>
            <w:r>
              <w:rPr>
                <w:rFonts w:hint="eastAsia"/>
                <w:b/>
                <w:bCs/>
                <w:color w:val="000000" w:themeColor="text1"/>
                <w:kern w:val="0"/>
                <w:lang w:bidi="ar"/>
                <w14:textFill>
                  <w14:solidFill>
                    <w14:schemeClr w14:val="tx1"/>
                  </w14:solidFill>
                </w14:textFill>
              </w:rPr>
              <w:t>4.15地下水环境保护措施</w:t>
            </w:r>
            <w:bookmarkEnd w:id="73"/>
            <w:bookmarkEnd w:id="74"/>
            <w:bookmarkEnd w:id="75"/>
            <w:bookmarkEnd w:id="76"/>
            <w:bookmarkEnd w:id="77"/>
          </w:p>
          <w:p w14:paraId="7773D784">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为了避免非正常情况发生，项目实施过程中主要从源头防控、过程控制、末端监管方面制定污染防治措施，具体如下：</w:t>
            </w:r>
          </w:p>
          <w:p w14:paraId="022A0840">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根据关于地下水保护的相关规定，针对项目可能发生的地下水污染情况，按照“源头控制、分区防治、污染监控、应急响应”的防控原则。从污染物的产生、入渗、扩散、应急响应等全阶段进行控制。拟建项目以主动防渗措施为主，被动防渗措施为辅；人工防渗措施和自然防渗条件保护相结合，防止地下水受到污染。</w:t>
            </w:r>
          </w:p>
          <w:p w14:paraId="35E90890">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（1）源头控制措施</w:t>
            </w:r>
          </w:p>
          <w:p w14:paraId="522D089B">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①根据云南省地方标准《改性磷石膏用于矿山废弃地生态修复回填技术规范》（DB53/T1269-2024），改性磷石膏按照HJ557规定方法制备改性磷石膏浸出液中任何一种特征污染物浓度均不应超过GB 8978最高允许排放浓度（第二类污染物最高允许排放浓度按照一级标准执行）才允许入场回填，主要污染物及控制指标如下：</w:t>
            </w:r>
          </w:p>
          <w:p w14:paraId="1ABC6CFA">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eastAsia" w:ascii="宋体" w:hAnsi="宋体" w:eastAsia="宋体" w:cs="宋体"/>
                <w:b/>
                <w:color w:val="000000" w:themeColor="text1"/>
                <w:sz w:val="24"/>
                <w:highlight w:val="none"/>
                <w14:textFill>
                  <w14:solidFill>
                    <w14:schemeClr w14:val="tx1"/>
                  </w14:solidFill>
                </w14:textFill>
              </w:rPr>
            </w:pPr>
            <w:r>
              <w:rPr>
                <w:rFonts w:hint="eastAsia" w:ascii="宋体" w:hAnsi="宋体" w:eastAsia="宋体" w:cs="宋体"/>
                <w:b/>
                <w:color w:val="000000" w:themeColor="text1"/>
                <w:sz w:val="24"/>
                <w:highlight w:val="none"/>
                <w14:textFill>
                  <w14:solidFill>
                    <w14:schemeClr w14:val="tx1"/>
                  </w14:solidFill>
                </w14:textFill>
              </w:rPr>
              <w:t>表4-15</w:t>
            </w:r>
            <w:r>
              <w:rPr>
                <w:rFonts w:hint="eastAsia" w:ascii="宋体" w:hAnsi="宋体" w:cs="宋体"/>
                <w:b/>
                <w:color w:val="000000" w:themeColor="text1"/>
                <w:sz w:val="24"/>
                <w:highlight w:val="none"/>
                <w:lang w:val="en-US" w:eastAsia="zh-CN"/>
                <w14:textFill>
                  <w14:solidFill>
                    <w14:schemeClr w14:val="tx1"/>
                  </w14:solidFill>
                </w14:textFill>
              </w:rPr>
              <w:t xml:space="preserve">  </w:t>
            </w:r>
            <w:r>
              <w:rPr>
                <w:rFonts w:hint="eastAsia" w:ascii="宋体" w:hAnsi="宋体" w:eastAsia="宋体" w:cs="宋体"/>
                <w:b/>
                <w:color w:val="000000" w:themeColor="text1"/>
                <w:sz w:val="24"/>
                <w:highlight w:val="none"/>
                <w14:textFill>
                  <w14:solidFill>
                    <w14:schemeClr w14:val="tx1"/>
                  </w14:solidFill>
                </w14:textFill>
              </w:rPr>
              <w:t>改性磷石膏浸出液主要指标</w:t>
            </w:r>
          </w:p>
          <w:tbl>
            <w:tblPr>
              <w:tblStyle w:val="40"/>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606"/>
              <w:gridCol w:w="2608"/>
              <w:gridCol w:w="2608"/>
            </w:tblGrid>
            <w:tr w14:paraId="254B0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0B6D0383">
                  <w:pPr>
                    <w:pStyle w:val="64"/>
                    <w:spacing w:beforeLines="0" w:afterLines="0" w:line="240" w:lineRule="auto"/>
                    <w:ind w:firstLine="0" w:firstLineChars="0"/>
                    <w:rPr>
                      <w:rFonts w:ascii="Times New Roman"/>
                      <w:b/>
                      <w:bCs/>
                      <w:color w:val="000000" w:themeColor="text1"/>
                      <w:sz w:val="21"/>
                      <w:lang w:bidi="ar"/>
                      <w14:textFill>
                        <w14:solidFill>
                          <w14:schemeClr w14:val="tx1"/>
                        </w14:solidFill>
                      </w14:textFill>
                    </w:rPr>
                  </w:pPr>
                  <w:r>
                    <w:rPr>
                      <w:rFonts w:hint="eastAsia" w:ascii="Times New Roman"/>
                      <w:b/>
                      <w:bCs/>
                      <w:color w:val="000000" w:themeColor="text1"/>
                      <w:sz w:val="21"/>
                      <w:lang w:bidi="ar"/>
                      <w14:textFill>
                        <w14:solidFill>
                          <w14:schemeClr w14:val="tx1"/>
                        </w14:solidFill>
                      </w14:textFill>
                    </w:rPr>
                    <w:t>序号</w:t>
                  </w:r>
                </w:p>
              </w:tc>
              <w:tc>
                <w:tcPr>
                  <w:tcW w:w="2614" w:type="dxa"/>
                </w:tcPr>
                <w:p w14:paraId="2BDD5A39">
                  <w:pPr>
                    <w:pStyle w:val="64"/>
                    <w:spacing w:beforeLines="0" w:afterLines="0" w:line="240" w:lineRule="auto"/>
                    <w:ind w:firstLine="0" w:firstLineChars="0"/>
                    <w:rPr>
                      <w:rFonts w:ascii="Times New Roman"/>
                      <w:b/>
                      <w:bCs/>
                      <w:color w:val="000000" w:themeColor="text1"/>
                      <w:sz w:val="21"/>
                      <w:lang w:bidi="ar"/>
                      <w14:textFill>
                        <w14:solidFill>
                          <w14:schemeClr w14:val="tx1"/>
                        </w14:solidFill>
                      </w14:textFill>
                    </w:rPr>
                  </w:pPr>
                  <w:r>
                    <w:rPr>
                      <w:rFonts w:hint="eastAsia" w:ascii="Times New Roman"/>
                      <w:b/>
                      <w:bCs/>
                      <w:color w:val="000000" w:themeColor="text1"/>
                      <w:sz w:val="21"/>
                      <w:lang w:bidi="ar"/>
                      <w14:textFill>
                        <w14:solidFill>
                          <w14:schemeClr w14:val="tx1"/>
                        </w14:solidFill>
                      </w14:textFill>
                    </w:rPr>
                    <w:t>污染物项目</w:t>
                  </w:r>
                </w:p>
              </w:tc>
              <w:tc>
                <w:tcPr>
                  <w:tcW w:w="2614" w:type="dxa"/>
                </w:tcPr>
                <w:p w14:paraId="609A0B0B">
                  <w:pPr>
                    <w:pStyle w:val="64"/>
                    <w:spacing w:beforeLines="0" w:afterLines="0" w:line="240" w:lineRule="auto"/>
                    <w:ind w:firstLine="0" w:firstLineChars="0"/>
                    <w:rPr>
                      <w:rFonts w:ascii="Times New Roman"/>
                      <w:b/>
                      <w:bCs/>
                      <w:color w:val="000000" w:themeColor="text1"/>
                      <w:sz w:val="21"/>
                      <w:lang w:bidi="ar"/>
                      <w14:textFill>
                        <w14:solidFill>
                          <w14:schemeClr w14:val="tx1"/>
                        </w14:solidFill>
                      </w14:textFill>
                    </w:rPr>
                  </w:pPr>
                  <w:r>
                    <w:rPr>
                      <w:rFonts w:hint="eastAsia" w:ascii="Times New Roman"/>
                      <w:b/>
                      <w:bCs/>
                      <w:color w:val="000000" w:themeColor="text1"/>
                      <w:sz w:val="21"/>
                      <w:lang w:bidi="ar"/>
                      <w14:textFill>
                        <w14:solidFill>
                          <w14:schemeClr w14:val="tx1"/>
                        </w14:solidFill>
                      </w14:textFill>
                    </w:rPr>
                    <w:t>指标</w:t>
                  </w:r>
                </w:p>
              </w:tc>
            </w:tr>
            <w:tr w14:paraId="79F34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773EDF87">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1</w:t>
                  </w:r>
                </w:p>
              </w:tc>
              <w:tc>
                <w:tcPr>
                  <w:tcW w:w="2614" w:type="dxa"/>
                </w:tcPr>
                <w:p w14:paraId="6C6E7C65">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pH</w:t>
                  </w:r>
                </w:p>
              </w:tc>
              <w:tc>
                <w:tcPr>
                  <w:tcW w:w="2614" w:type="dxa"/>
                </w:tcPr>
                <w:p w14:paraId="400DF221">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6~9</w:t>
                  </w:r>
                </w:p>
              </w:tc>
            </w:tr>
            <w:tr w14:paraId="43FBD7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324B021B">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2</w:t>
                  </w:r>
                </w:p>
              </w:tc>
              <w:tc>
                <w:tcPr>
                  <w:tcW w:w="2614" w:type="dxa"/>
                </w:tcPr>
                <w:p w14:paraId="08ECDFA0">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磷酸盐（以P计）</w:t>
                  </w:r>
                </w:p>
              </w:tc>
              <w:tc>
                <w:tcPr>
                  <w:tcW w:w="2614" w:type="dxa"/>
                </w:tcPr>
                <w:p w14:paraId="1B300BF4">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≤0.5</w:t>
                  </w:r>
                </w:p>
              </w:tc>
            </w:tr>
            <w:tr w14:paraId="23017F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4B0C1EF0">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3</w:t>
                  </w:r>
                </w:p>
              </w:tc>
              <w:tc>
                <w:tcPr>
                  <w:tcW w:w="2614" w:type="dxa"/>
                </w:tcPr>
                <w:p w14:paraId="106E4F51">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氟化物</w:t>
                  </w:r>
                </w:p>
              </w:tc>
              <w:tc>
                <w:tcPr>
                  <w:tcW w:w="2614" w:type="dxa"/>
                </w:tcPr>
                <w:p w14:paraId="301D5E2A">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≤10</w:t>
                  </w:r>
                </w:p>
              </w:tc>
            </w:tr>
            <w:tr w14:paraId="24A4FA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27D3C7D4">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4</w:t>
                  </w:r>
                </w:p>
              </w:tc>
              <w:tc>
                <w:tcPr>
                  <w:tcW w:w="2614" w:type="dxa"/>
                </w:tcPr>
                <w:p w14:paraId="3B64C259">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总汞</w:t>
                  </w:r>
                </w:p>
              </w:tc>
              <w:tc>
                <w:tcPr>
                  <w:tcW w:w="2614" w:type="dxa"/>
                </w:tcPr>
                <w:p w14:paraId="43C5CA8E">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≤0.05</w:t>
                  </w:r>
                </w:p>
              </w:tc>
            </w:tr>
            <w:tr w14:paraId="6E339F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0524B8BD">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5</w:t>
                  </w:r>
                </w:p>
              </w:tc>
              <w:tc>
                <w:tcPr>
                  <w:tcW w:w="2614" w:type="dxa"/>
                </w:tcPr>
                <w:p w14:paraId="046ECE2A">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总镉</w:t>
                  </w:r>
                </w:p>
              </w:tc>
              <w:tc>
                <w:tcPr>
                  <w:tcW w:w="2614" w:type="dxa"/>
                </w:tcPr>
                <w:p w14:paraId="21E53682">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≤0.1</w:t>
                  </w:r>
                </w:p>
              </w:tc>
            </w:tr>
            <w:tr w14:paraId="34E1E6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7406730A">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6</w:t>
                  </w:r>
                </w:p>
              </w:tc>
              <w:tc>
                <w:tcPr>
                  <w:tcW w:w="2614" w:type="dxa"/>
                </w:tcPr>
                <w:p w14:paraId="06C05F8E">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总铬</w:t>
                  </w:r>
                </w:p>
              </w:tc>
              <w:tc>
                <w:tcPr>
                  <w:tcW w:w="2614" w:type="dxa"/>
                </w:tcPr>
                <w:p w14:paraId="4FA6BFA5">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≤1.5</w:t>
                  </w:r>
                </w:p>
              </w:tc>
            </w:tr>
            <w:tr w14:paraId="1537A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622CE563">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7</w:t>
                  </w:r>
                </w:p>
              </w:tc>
              <w:tc>
                <w:tcPr>
                  <w:tcW w:w="2614" w:type="dxa"/>
                </w:tcPr>
                <w:p w14:paraId="0A66971A">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六价铬</w:t>
                  </w:r>
                </w:p>
              </w:tc>
              <w:tc>
                <w:tcPr>
                  <w:tcW w:w="2614" w:type="dxa"/>
                </w:tcPr>
                <w:p w14:paraId="45D8925A">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≤0.5</w:t>
                  </w:r>
                </w:p>
              </w:tc>
            </w:tr>
            <w:tr w14:paraId="7AB6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392CCAEC">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8</w:t>
                  </w:r>
                </w:p>
              </w:tc>
              <w:tc>
                <w:tcPr>
                  <w:tcW w:w="2614" w:type="dxa"/>
                </w:tcPr>
                <w:p w14:paraId="5F94F486">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总砷</w:t>
                  </w:r>
                </w:p>
              </w:tc>
              <w:tc>
                <w:tcPr>
                  <w:tcW w:w="2614" w:type="dxa"/>
                </w:tcPr>
                <w:p w14:paraId="4ABE83DC">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≤0.5</w:t>
                  </w:r>
                </w:p>
              </w:tc>
            </w:tr>
            <w:tr w14:paraId="77D2B5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5299826F">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9</w:t>
                  </w:r>
                </w:p>
              </w:tc>
              <w:tc>
                <w:tcPr>
                  <w:tcW w:w="2614" w:type="dxa"/>
                </w:tcPr>
                <w:p w14:paraId="418EE819">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总铅</w:t>
                  </w:r>
                </w:p>
              </w:tc>
              <w:tc>
                <w:tcPr>
                  <w:tcW w:w="2614" w:type="dxa"/>
                </w:tcPr>
                <w:p w14:paraId="52777E6B">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≤1.0</w:t>
                  </w:r>
                </w:p>
              </w:tc>
            </w:tr>
            <w:tr w14:paraId="5D00E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347549DA">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10</w:t>
                  </w:r>
                </w:p>
              </w:tc>
              <w:tc>
                <w:tcPr>
                  <w:tcW w:w="2614" w:type="dxa"/>
                </w:tcPr>
                <w:p w14:paraId="29C48CD6">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总镍</w:t>
                  </w:r>
                </w:p>
              </w:tc>
              <w:tc>
                <w:tcPr>
                  <w:tcW w:w="2614" w:type="dxa"/>
                </w:tcPr>
                <w:p w14:paraId="346DD6B9">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≤1.0</w:t>
                  </w:r>
                </w:p>
              </w:tc>
            </w:tr>
            <w:tr w14:paraId="65E5E6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6D9A2796">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11</w:t>
                  </w:r>
                </w:p>
              </w:tc>
              <w:tc>
                <w:tcPr>
                  <w:tcW w:w="2614" w:type="dxa"/>
                </w:tcPr>
                <w:p w14:paraId="46CC3607">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总锌</w:t>
                  </w:r>
                </w:p>
              </w:tc>
              <w:tc>
                <w:tcPr>
                  <w:tcW w:w="2614" w:type="dxa"/>
                </w:tcPr>
                <w:p w14:paraId="12EDC0F7">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≤2.0</w:t>
                  </w:r>
                </w:p>
              </w:tc>
            </w:tr>
            <w:tr w14:paraId="0BC1E2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69C6B8F4">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12</w:t>
                  </w:r>
                </w:p>
              </w:tc>
              <w:tc>
                <w:tcPr>
                  <w:tcW w:w="2614" w:type="dxa"/>
                </w:tcPr>
                <w:p w14:paraId="22EC2A2B">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总铍</w:t>
                  </w:r>
                </w:p>
              </w:tc>
              <w:tc>
                <w:tcPr>
                  <w:tcW w:w="2614" w:type="dxa"/>
                </w:tcPr>
                <w:p w14:paraId="488E30A6">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≤0.005</w:t>
                  </w:r>
                </w:p>
              </w:tc>
            </w:tr>
            <w:tr w14:paraId="3EAFF8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1D6ADBD7">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13</w:t>
                  </w:r>
                </w:p>
              </w:tc>
              <w:tc>
                <w:tcPr>
                  <w:tcW w:w="2614" w:type="dxa"/>
                </w:tcPr>
                <w:p w14:paraId="4BC63586">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总银</w:t>
                  </w:r>
                </w:p>
              </w:tc>
              <w:tc>
                <w:tcPr>
                  <w:tcW w:w="2614" w:type="dxa"/>
                </w:tcPr>
                <w:p w14:paraId="75268A12">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≤0.5</w:t>
                  </w:r>
                </w:p>
              </w:tc>
            </w:tr>
            <w:tr w14:paraId="76D122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14" w:type="dxa"/>
                </w:tcPr>
                <w:p w14:paraId="28F56014">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14</w:t>
                  </w:r>
                </w:p>
              </w:tc>
              <w:tc>
                <w:tcPr>
                  <w:tcW w:w="2614" w:type="dxa"/>
                </w:tcPr>
                <w:p w14:paraId="4C046D86">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烷基汞</w:t>
                  </w:r>
                </w:p>
              </w:tc>
              <w:tc>
                <w:tcPr>
                  <w:tcW w:w="2614" w:type="dxa"/>
                </w:tcPr>
                <w:p w14:paraId="6CED76EC">
                  <w:pPr>
                    <w:pStyle w:val="64"/>
                    <w:spacing w:beforeLines="0" w:afterLines="0" w:line="240" w:lineRule="auto"/>
                    <w:ind w:firstLine="0" w:firstLineChars="0"/>
                    <w:rPr>
                      <w:rFonts w:ascii="Times New Roman"/>
                      <w:color w:val="000000" w:themeColor="text1"/>
                      <w:sz w:val="21"/>
                      <w:lang w:bidi="ar"/>
                      <w14:textFill>
                        <w14:solidFill>
                          <w14:schemeClr w14:val="tx1"/>
                        </w14:solidFill>
                      </w14:textFill>
                    </w:rPr>
                  </w:pPr>
                  <w:r>
                    <w:rPr>
                      <w:rFonts w:hint="eastAsia" w:ascii="Times New Roman"/>
                      <w:color w:val="000000" w:themeColor="text1"/>
                      <w:sz w:val="21"/>
                      <w:lang w:bidi="ar"/>
                      <w14:textFill>
                        <w14:solidFill>
                          <w14:schemeClr w14:val="tx1"/>
                        </w14:solidFill>
                      </w14:textFill>
                    </w:rPr>
                    <w:t>不得检出</w:t>
                  </w:r>
                </w:p>
              </w:tc>
            </w:tr>
          </w:tbl>
          <w:p w14:paraId="021E1A5D">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根据云南省地方标准《改性磷石膏用于矿山废弃地生态修复回填技术规范》（DB53/T1269-2024），改性磷石膏的采样规则、检测要求为：采样批次：回填规模≤300000T，以5000T改性磷石膏为一批次；300000T&lt;回填规模≤1000000T，以15000T改性磷石膏为一批次；回填规模&gt;1000000T，以30000T改性磷石膏为一批次。采样方法：改性磷石膏用于回填区地形重塑后进行采样，结合回填工艺确定采样区域。采样区域使用网格法结合堆积高度确定采样点位数，每批次采样点位不少于3个，每批次份样数不少于6个，将上述份样制成一个混合样，按照HJ/T20中第5章的要求进行制样分析。检测要求：应对改性磷石膏浸出液进行检测，浸出方法按照HJ557。</w:t>
            </w:r>
          </w:p>
          <w:p w14:paraId="7A461E2C">
            <w:pPr>
              <w:widowControl/>
              <w:ind w:firstLine="480"/>
              <w:rPr>
                <w:color w:val="000000" w:themeColor="text1"/>
                <w:kern w:val="0"/>
                <w:lang w:bidi="ar"/>
                <w14:textFill>
                  <w14:solidFill>
                    <w14:schemeClr w14:val="tx1"/>
                  </w14:solidFill>
                </w14:textFill>
              </w:rPr>
            </w:pPr>
            <w:r>
              <w:rPr>
                <w:rFonts w:hint="eastAsia" w:ascii="Times New Roman" w:hAnsi="Times New Roman" w:eastAsia="宋体" w:cs="Times New Roman"/>
                <w:color w:val="000000" w:themeColor="text1"/>
                <w:kern w:val="0"/>
                <w:lang w:bidi="ar"/>
                <w14:textFill>
                  <w14:solidFill>
                    <w14:schemeClr w14:val="tx1"/>
                  </w14:solidFill>
                </w14:textFill>
              </w:rPr>
              <w:t>建设单位设专人管理回填料合格性检测，本项目改性磷石膏回填量</w:t>
            </w:r>
            <w:r>
              <w:rPr>
                <w:rFonts w:hint="eastAsia" w:ascii="Times New Roman" w:hAnsi="Times New Roman" w:eastAsia="宋体" w:cs="Times New Roman"/>
                <w:color w:val="000000" w:themeColor="text1"/>
                <w:kern w:val="0"/>
                <w:lang w:val="en-US" w:eastAsia="zh-CN" w:bidi="ar"/>
                <w14:textFill>
                  <w14:solidFill>
                    <w14:schemeClr w14:val="tx1"/>
                  </w14:solidFill>
                </w14:textFill>
              </w:rPr>
              <w:t>约</w:t>
            </w:r>
            <w:r>
              <w:rPr>
                <w:rFonts w:hint="eastAsia" w:ascii="Times New Roman" w:hAnsi="Times New Roman" w:eastAsia="宋体" w:cs="Times New Roman"/>
                <w:color w:val="000000" w:themeColor="text1"/>
                <w:kern w:val="0"/>
                <w:lang w:bidi="ar"/>
                <w14:textFill>
                  <w14:solidFill>
                    <w14:schemeClr w14:val="tx1"/>
                  </w14:solidFill>
                </w14:textFill>
              </w:rPr>
              <w:t>为</w:t>
            </w:r>
            <w:r>
              <w:rPr>
                <w:rFonts w:hint="eastAsia" w:ascii="Times New Roman" w:hAnsi="Times New Roman" w:eastAsia="宋体" w:cs="Times New Roman"/>
                <w:color w:val="000000" w:themeColor="text1"/>
                <w:kern w:val="0"/>
                <w:lang w:val="en-US" w:eastAsia="zh-CN" w:bidi="ar"/>
                <w14:textFill>
                  <w14:solidFill>
                    <w14:schemeClr w14:val="tx1"/>
                  </w14:solidFill>
                </w14:textFill>
              </w:rPr>
              <w:t>215.622万吨</w:t>
            </w:r>
            <w:r>
              <w:rPr>
                <w:rFonts w:hint="eastAsia" w:ascii="Times New Roman" w:hAnsi="Times New Roman" w:eastAsia="宋体" w:cs="Times New Roman"/>
                <w:color w:val="000000" w:themeColor="text1"/>
                <w:kern w:val="0"/>
                <w:lang w:bidi="ar"/>
                <w14:textFill>
                  <w14:solidFill>
                    <w14:schemeClr w14:val="tx1"/>
                  </w14:solidFill>
                </w14:textFill>
              </w:rPr>
              <w:t>，</w:t>
            </w:r>
            <w:r>
              <w:rPr>
                <w:rFonts w:hint="eastAsia" w:ascii="Times New Roman" w:hAnsi="Times New Roman" w:eastAsia="宋体" w:cs="Times New Roman"/>
                <w:color w:val="000000" w:themeColor="text1"/>
                <w:kern w:val="0"/>
                <w:lang w:val="en-US" w:eastAsia="zh-CN" w:bidi="ar"/>
                <w14:textFill>
                  <w14:solidFill>
                    <w14:schemeClr w14:val="tx1"/>
                  </w14:solidFill>
                </w14:textFill>
              </w:rPr>
              <w:t>2156220</w:t>
            </w:r>
            <w:r>
              <w:rPr>
                <w:rFonts w:hint="eastAsia" w:ascii="Times New Roman" w:hAnsi="Times New Roman" w:eastAsia="宋体" w:cs="Times New Roman"/>
                <w:color w:val="000000" w:themeColor="text1"/>
                <w:kern w:val="0"/>
                <w:lang w:bidi="ar"/>
                <w14:textFill>
                  <w14:solidFill>
                    <w14:schemeClr w14:val="tx1"/>
                  </w14:solidFill>
                </w14:textFill>
              </w:rPr>
              <w:t>T&gt;1000000T，以30000T改性磷石膏为一批次取6组样品，</w:t>
            </w:r>
            <w:r>
              <w:rPr>
                <w:rFonts w:hint="eastAsia"/>
                <w:color w:val="000000" w:themeColor="text1"/>
                <w:kern w:val="0"/>
                <w:lang w:bidi="ar"/>
                <w14:textFill>
                  <w14:solidFill>
                    <w14:schemeClr w14:val="tx1"/>
                  </w14:solidFill>
                </w14:textFill>
              </w:rPr>
              <w:t>制成一个混合样进行分析。经检验合格后方可运入回填区回填，并保留监测记录；</w:t>
            </w:r>
          </w:p>
          <w:p w14:paraId="271B2241">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③从源头起进行严格控制，加大监督力度，对混入回填修复区的生活垃圾应立即清理出场；</w:t>
            </w:r>
          </w:p>
          <w:p w14:paraId="0F036847">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④防止生活垃圾混入，在回填、推平过程中也要检查，一旦发现生活垃圾混入，应立即停止回填，确保生活垃圾不得进入回填修复区；</w:t>
            </w:r>
          </w:p>
          <w:p w14:paraId="6D6E51EC">
            <w:pPr>
              <w:pStyle w:val="39"/>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⑤改性磷石膏回填过程应严格做好台账记录，实现对改性磷石膏回填过程的信息追溯，如实记录改性磷石膏的来源、批次、转运情况以及改性磷石膏回填的使用量和回填区域等信息；</w:t>
            </w:r>
          </w:p>
          <w:p w14:paraId="0168B212">
            <w:pPr>
              <w:widowControl/>
              <w:ind w:firstLine="480"/>
              <w:rPr>
                <w:color w:val="000000" w:themeColor="text1"/>
                <w14:textFill>
                  <w14:solidFill>
                    <w14:schemeClr w14:val="tx1"/>
                  </w14:solidFill>
                </w14:textFill>
              </w:rPr>
            </w:pPr>
            <w:r>
              <w:rPr>
                <w:rFonts w:hint="eastAsia" w:ascii="仿宋" w:hAnsi="仿宋" w:eastAsia="仿宋" w:cs="仿宋"/>
                <w:color w:val="000000" w:themeColor="text1"/>
                <w:kern w:val="0"/>
                <w:lang w:bidi="ar"/>
                <w14:textFill>
                  <w14:solidFill>
                    <w14:schemeClr w14:val="tx1"/>
                  </w14:solidFill>
                </w14:textFill>
              </w:rPr>
              <w:t>⑥</w:t>
            </w:r>
            <w:r>
              <w:rPr>
                <w:rFonts w:hint="eastAsia"/>
                <w:color w:val="000000" w:themeColor="text1"/>
                <w:kern w:val="0"/>
                <w:lang w:bidi="ar"/>
                <w14:textFill>
                  <w14:solidFill>
                    <w14:schemeClr w14:val="tx1"/>
                  </w14:solidFill>
                </w14:textFill>
              </w:rPr>
              <w:t>回填区植被选择须考虑根系简单，不会破坏顶部防渗层的植被，不应选择根系发达，容易破坏防渗层的植被。</w:t>
            </w:r>
          </w:p>
          <w:p w14:paraId="75A23D29">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（2）分区防治措施</w:t>
            </w:r>
          </w:p>
          <w:p w14:paraId="5C83DF33">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项目防渗工程应满足《改性磷石膏用于矿山废弃地生态修复回填技术规范》（DB53/T1269-2024）要求“当矿山废弃地天然基础层饱和渗透系数≤1.0×10</w:t>
            </w:r>
            <w:r>
              <w:rPr>
                <w:rFonts w:hint="eastAsia"/>
                <w:color w:val="000000" w:themeColor="text1"/>
                <w:kern w:val="0"/>
                <w:vertAlign w:val="superscript"/>
                <w:lang w:bidi="ar"/>
                <w14:textFill>
                  <w14:solidFill>
                    <w14:schemeClr w14:val="tx1"/>
                  </w14:solidFill>
                </w14:textFill>
              </w:rPr>
              <w:t>-5</w:t>
            </w:r>
            <w:r>
              <w:rPr>
                <w:rFonts w:hint="eastAsia"/>
                <w:color w:val="000000" w:themeColor="text1"/>
                <w:kern w:val="0"/>
                <w:lang w:bidi="ar"/>
                <w14:textFill>
                  <w14:solidFill>
                    <w14:schemeClr w14:val="tx1"/>
                  </w14:solidFill>
                </w14:textFill>
              </w:rPr>
              <w:t>cm/s，且厚度≥0.75m时，可采用天然基础层作为防渗衬层。当天然基础层不满足上述防渗要求时，应采用改性压实粘土类衬层或具有同等以上隔水效力的其他材料防渗衬层，其防渗性能应至少相当于渗透系数为1.0×10</w:t>
            </w:r>
            <w:r>
              <w:rPr>
                <w:rFonts w:hint="eastAsia"/>
                <w:color w:val="000000" w:themeColor="text1"/>
                <w:kern w:val="0"/>
                <w:vertAlign w:val="superscript"/>
                <w:lang w:bidi="ar"/>
                <w14:textFill>
                  <w14:solidFill>
                    <w14:schemeClr w14:val="tx1"/>
                  </w14:solidFill>
                </w14:textFill>
              </w:rPr>
              <w:t>-5</w:t>
            </w:r>
            <w:r>
              <w:rPr>
                <w:rFonts w:hint="eastAsia"/>
                <w:color w:val="000000" w:themeColor="text1"/>
                <w:kern w:val="0"/>
                <w:lang w:bidi="ar"/>
                <w14:textFill>
                  <w14:solidFill>
                    <w14:schemeClr w14:val="tx1"/>
                  </w14:solidFill>
                </w14:textFill>
              </w:rPr>
              <w:t>cm/s，且厚度为0.75m的天然基础层；回填区域应设置渗漏监控系统，监控防渗衬层的完整性”。</w:t>
            </w:r>
          </w:p>
          <w:p w14:paraId="697F1F99">
            <w:pPr>
              <w:widowControl/>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根据项目堆填设计，设计参照磷石膏堆存防渗要求对矿坑场底及岸坡进行全防渗处置。底部及岸坡防渗层结构为在场地整平后，铺0.75m厚黏土层，然后依次铺设聚酯长丝土工布，HDPE防渗膜（渗透系数≤1.0×10</w:t>
            </w:r>
            <w:r>
              <w:rPr>
                <w:rFonts w:hint="eastAsia"/>
                <w:color w:val="000000" w:themeColor="text1"/>
                <w:kern w:val="0"/>
                <w:vertAlign w:val="superscript"/>
                <w:lang w:bidi="ar"/>
                <w14:textFill>
                  <w14:solidFill>
                    <w14:schemeClr w14:val="tx1"/>
                  </w14:solidFill>
                </w14:textFill>
              </w:rPr>
              <w:t>-7</w:t>
            </w:r>
            <w:r>
              <w:rPr>
                <w:rFonts w:hint="eastAsia"/>
                <w:color w:val="000000" w:themeColor="text1"/>
                <w:kern w:val="0"/>
                <w:lang w:bidi="ar"/>
                <w14:textFill>
                  <w14:solidFill>
                    <w14:schemeClr w14:val="tx1"/>
                  </w14:solidFill>
                </w14:textFill>
              </w:rPr>
              <w:t>cm/s），聚酯长丝土工布防渗层。通过设置人工防渗系统将场地基底及岸坡与磷石膏基新型材料产品完全隔离，以达到防渗要求。具体防渗措施如下：</w:t>
            </w:r>
          </w:p>
          <w:p w14:paraId="2A6AB497">
            <w:pPr>
              <w:keepNext w:val="0"/>
              <w:keepLines w:val="0"/>
              <w:pageBreakBefore w:val="0"/>
              <w:kinsoku/>
              <w:wordWrap/>
              <w:overflowPunct/>
              <w:topLinePunct w:val="0"/>
              <w:autoSpaceDE/>
              <w:autoSpaceDN/>
              <w:bidi w:val="0"/>
              <w:adjustRightInd w:val="0"/>
              <w:snapToGrid w:val="0"/>
              <w:ind w:firstLine="480"/>
              <w:rPr>
                <w:b/>
                <w:bCs/>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①</w:t>
            </w:r>
            <w:r>
              <w:rPr>
                <w:rFonts w:hint="eastAsia"/>
                <w:b/>
                <w:bCs/>
                <w:color w:val="000000" w:themeColor="text1"/>
                <w:kern w:val="0"/>
                <w:lang w:bidi="ar"/>
                <w14:textFill>
                  <w14:solidFill>
                    <w14:schemeClr w14:val="tx1"/>
                  </w14:solidFill>
                </w14:textFill>
              </w:rPr>
              <w:t>底部及岸坡防渗层结构</w:t>
            </w:r>
          </w:p>
          <w:p w14:paraId="4E880917">
            <w:pPr>
              <w:pStyle w:val="93"/>
              <w:rPr>
                <w:rFonts w:ascii="Times New Roman" w:hAnsi="Times New Roman" w:eastAsia="宋体"/>
                <w:color w:val="000000" w:themeColor="text1"/>
                <w14:textFill>
                  <w14:solidFill>
                    <w14:schemeClr w14:val="tx1"/>
                  </w14:solidFill>
                </w14:textFill>
              </w:rPr>
            </w:pPr>
            <w:r>
              <w:rPr>
                <w:rFonts w:hint="eastAsia" w:ascii="Times New Roman" w:hAnsi="Times New Roman" w:eastAsia="宋体"/>
                <w:color w:val="000000" w:themeColor="text1"/>
                <w:lang w:val="en-US" w:eastAsia="zh-CN"/>
                <w14:textFill>
                  <w14:solidFill>
                    <w14:schemeClr w14:val="tx1"/>
                  </w14:solidFill>
                </w14:textFill>
              </w:rPr>
              <w:t>1）</w:t>
            </w:r>
            <w:r>
              <w:rPr>
                <w:rFonts w:ascii="Times New Roman" w:hAnsi="Times New Roman" w:eastAsia="宋体"/>
                <w:color w:val="000000" w:themeColor="text1"/>
                <w14:textFill>
                  <w14:solidFill>
                    <w14:schemeClr w14:val="tx1"/>
                  </w14:solidFill>
                </w14:textFill>
              </w:rPr>
              <w:t>底部防渗层结构</w:t>
            </w:r>
          </w:p>
          <w:p w14:paraId="634E7B19">
            <w:pPr>
              <w:adjustRightInd w:val="0"/>
              <w:ind w:firstLine="480"/>
              <w:rPr>
                <w:rFonts w:ascii="Times New Roman" w:hAnsi="Times New Roman" w:eastAsia="宋体"/>
                <w:color w:val="000000" w:themeColor="text1"/>
                <w:shd w:val="clear" w:color="auto" w:fill="FFFFFF"/>
                <w14:textFill>
                  <w14:solidFill>
                    <w14:schemeClr w14:val="tx1"/>
                  </w14:solidFill>
                </w14:textFill>
              </w:rPr>
            </w:pPr>
            <w:r>
              <w:rPr>
                <w:rFonts w:ascii="Times New Roman" w:hAnsi="Times New Roman" w:eastAsia="宋体"/>
                <w:color w:val="000000" w:themeColor="text1"/>
                <w14:textFill>
                  <w14:solidFill>
                    <w14:schemeClr w14:val="tx1"/>
                  </w14:solidFill>
                </w14:textFill>
              </w:rPr>
              <w:t>修复区底部先进行场地清理；整平后在场地底部铺设0.75m厚粘土作为支撑层，粘土</w:t>
            </w:r>
            <w:r>
              <w:rPr>
                <w:rFonts w:ascii="Times New Roman" w:hAnsi="Times New Roman" w:eastAsia="宋体"/>
                <w:color w:val="000000" w:themeColor="text1"/>
                <w:kern w:val="0"/>
                <w14:textFill>
                  <w14:solidFill>
                    <w14:schemeClr w14:val="tx1"/>
                  </w14:solidFill>
                </w14:textFill>
              </w:rPr>
              <w:t>采用市场购买方式获得，要求</w:t>
            </w:r>
            <w:r>
              <w:rPr>
                <w:rFonts w:ascii="Times New Roman" w:hAnsi="Times New Roman" w:eastAsia="宋体"/>
                <w:color w:val="000000" w:themeColor="text1"/>
                <w14:textFill>
                  <w14:solidFill>
                    <w14:schemeClr w14:val="tx1"/>
                  </w14:solidFill>
                </w14:textFill>
              </w:rPr>
              <w:t>粘土</w:t>
            </w:r>
            <w:r>
              <w:rPr>
                <w:rFonts w:ascii="Times New Roman" w:hAnsi="Times New Roman" w:eastAsia="宋体"/>
                <w:color w:val="000000" w:themeColor="text1"/>
                <w:kern w:val="0"/>
                <w14:textFill>
                  <w14:solidFill>
                    <w14:schemeClr w14:val="tx1"/>
                  </w14:solidFill>
                </w14:textFill>
              </w:rPr>
              <w:t>干净、含沙量小、黏粘、粒径小于0.05mm的含量应超过25%、塑性指数大于15。</w:t>
            </w:r>
            <w:r>
              <w:rPr>
                <w:rFonts w:ascii="Times New Roman" w:hAnsi="Times New Roman" w:eastAsia="宋体"/>
                <w:color w:val="000000" w:themeColor="text1"/>
                <w:shd w:val="clear" w:color="auto" w:fill="FFFFFF"/>
                <w14:textFill>
                  <w14:solidFill>
                    <w14:schemeClr w14:val="tx1"/>
                  </w14:solidFill>
                </w14:textFill>
              </w:rPr>
              <w:t>经压实措施处理后的饱和渗透系数不应大于 1.0×10</w:t>
            </w:r>
            <w:r>
              <w:rPr>
                <w:rFonts w:ascii="Times New Roman" w:hAnsi="Times New Roman" w:eastAsia="宋体"/>
                <w:color w:val="000000" w:themeColor="text1"/>
                <w:shd w:val="clear" w:color="auto" w:fill="FFFFFF"/>
                <w:vertAlign w:val="superscript"/>
                <w14:textFill>
                  <w14:solidFill>
                    <w14:schemeClr w14:val="tx1"/>
                  </w14:solidFill>
                </w14:textFill>
              </w:rPr>
              <w:t>-7</w:t>
            </w:r>
            <w:r>
              <w:rPr>
                <w:rFonts w:ascii="Times New Roman" w:hAnsi="Times New Roman" w:eastAsia="宋体"/>
                <w:color w:val="000000" w:themeColor="text1"/>
                <w:shd w:val="clear" w:color="auto" w:fill="FFFFFF"/>
                <w14:textFill>
                  <w14:solidFill>
                    <w14:schemeClr w14:val="tx1"/>
                  </w14:solidFill>
                </w14:textFill>
              </w:rPr>
              <w:t xml:space="preserve"> cm/s。粘土层上铺设400g/m</w:t>
            </w:r>
            <w:r>
              <w:rPr>
                <w:rFonts w:ascii="Times New Roman" w:hAnsi="Times New Roman" w:eastAsia="宋体"/>
                <w:color w:val="000000" w:themeColor="text1"/>
                <w:shd w:val="clear" w:color="auto" w:fill="FFFFFF"/>
                <w:vertAlign w:val="superscript"/>
                <w14:textFill>
                  <w14:solidFill>
                    <w14:schemeClr w14:val="tx1"/>
                  </w14:solidFill>
                </w14:textFill>
              </w:rPr>
              <w:t>2</w:t>
            </w:r>
            <w:r>
              <w:rPr>
                <w:rFonts w:ascii="Times New Roman" w:hAnsi="Times New Roman" w:eastAsia="宋体"/>
                <w:color w:val="000000" w:themeColor="text1"/>
                <w:shd w:val="clear" w:color="auto" w:fill="FFFFFF"/>
                <w14:textFill>
                  <w14:solidFill>
                    <w14:schemeClr w14:val="tx1"/>
                  </w14:solidFill>
                </w14:textFill>
              </w:rPr>
              <w:t>无纺长丝土工布作为</w:t>
            </w:r>
            <w:r>
              <w:rPr>
                <w:rFonts w:ascii="Times New Roman" w:hAnsi="Times New Roman" w:eastAsia="宋体"/>
                <w:color w:val="000000" w:themeColor="text1"/>
                <w14:textFill>
                  <w14:solidFill>
                    <w14:schemeClr w14:val="tx1"/>
                  </w14:solidFill>
                </w14:textFill>
              </w:rPr>
              <w:t>土工膜保护层，</w:t>
            </w:r>
            <w:r>
              <w:rPr>
                <w:rFonts w:ascii="Times New Roman" w:hAnsi="Times New Roman" w:eastAsia="宋体"/>
                <w:color w:val="000000" w:themeColor="text1"/>
                <w:shd w:val="clear" w:color="auto" w:fill="FFFFFF"/>
                <w14:textFill>
                  <w14:solidFill>
                    <w14:schemeClr w14:val="tx1"/>
                  </w14:solidFill>
                </w14:textFill>
              </w:rPr>
              <w:t>之后铺设</w:t>
            </w:r>
            <w:r>
              <w:rPr>
                <w:rFonts w:ascii="Times New Roman" w:hAnsi="Times New Roman" w:eastAsia="宋体"/>
                <w:color w:val="000000" w:themeColor="text1"/>
                <w:kern w:val="0"/>
                <w14:textFill>
                  <w14:solidFill>
                    <w14:schemeClr w14:val="tx1"/>
                  </w14:solidFill>
                </w14:textFill>
              </w:rPr>
              <w:t>1.5mm厚单糙面HEPD膜</w:t>
            </w:r>
            <w:r>
              <w:rPr>
                <w:rFonts w:ascii="Times New Roman" w:hAnsi="Times New Roman" w:eastAsia="宋体"/>
                <w:color w:val="000000" w:themeColor="text1"/>
                <w14:textFill>
                  <w14:solidFill>
                    <w14:schemeClr w14:val="tx1"/>
                  </w14:solidFill>
                </w14:textFill>
              </w:rPr>
              <w:t>防渗</w:t>
            </w:r>
            <w:r>
              <w:rPr>
                <w:rFonts w:ascii="Times New Roman" w:hAnsi="Times New Roman" w:eastAsia="宋体"/>
                <w:color w:val="000000" w:themeColor="text1"/>
                <w:shd w:val="clear" w:color="auto" w:fill="FFFFFF"/>
                <w14:textFill>
                  <w14:solidFill>
                    <w14:schemeClr w14:val="tx1"/>
                  </w14:solidFill>
                </w14:textFill>
              </w:rPr>
              <w:t>，并满足GB/T 17643和</w:t>
            </w:r>
            <w:r>
              <w:rPr>
                <w:rFonts w:ascii="Times New Roman" w:hAnsi="Times New Roman" w:eastAsia="宋体"/>
                <w:color w:val="000000" w:themeColor="text1"/>
                <w14:textFill>
                  <w14:solidFill>
                    <w14:schemeClr w14:val="tx1"/>
                  </w14:solidFill>
                </w14:textFill>
              </w:rPr>
              <w:t>CJ/T234-2006</w:t>
            </w:r>
            <w:r>
              <w:rPr>
                <w:rFonts w:ascii="Times New Roman" w:hAnsi="Times New Roman" w:eastAsia="宋体"/>
                <w:color w:val="000000" w:themeColor="text1"/>
                <w:shd w:val="clear" w:color="auto" w:fill="FFFFFF"/>
                <w14:textFill>
                  <w14:solidFill>
                    <w14:schemeClr w14:val="tx1"/>
                  </w14:solidFill>
                </w14:textFill>
              </w:rPr>
              <w:t>规定的技术指标要求；最后在上部回填改性磷石膏基质填料。</w:t>
            </w:r>
          </w:p>
          <w:p w14:paraId="36FA6C7C">
            <w:pPr>
              <w:pStyle w:val="9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2）边坡防渗结构</w:t>
            </w:r>
          </w:p>
          <w:p w14:paraId="50D81728">
            <w:pPr>
              <w:pStyle w:val="93"/>
              <w:rPr>
                <w:rFonts w:ascii="Times New Roman" w:hAnsi="Times New Roman" w:eastAsia="宋体"/>
                <w:color w:val="000000" w:themeColor="text1"/>
                <w14:textFill>
                  <w14:solidFill>
                    <w14:schemeClr w14:val="tx1"/>
                  </w14:solidFill>
                </w14:textFill>
              </w:rPr>
            </w:pPr>
            <w:r>
              <w:rPr>
                <w:rFonts w:ascii="Times New Roman" w:hAnsi="Times New Roman" w:eastAsia="宋体"/>
                <w:color w:val="000000" w:themeColor="text1"/>
                <w14:textFill>
                  <w14:solidFill>
                    <w14:schemeClr w14:val="tx1"/>
                  </w14:solidFill>
                </w14:textFill>
              </w:rPr>
              <w:t>由于场地边坡部分较陡，粘土层无法铺设，设计对边坡进行清理整平，挂网喷浆，然后再铺设一层</w:t>
            </w:r>
            <w:r>
              <w:rPr>
                <w:rFonts w:ascii="Times New Roman" w:hAnsi="Times New Roman" w:eastAsia="宋体"/>
                <w:color w:val="000000" w:themeColor="text1"/>
                <w:shd w:val="clear" w:color="auto" w:fill="FFFFFF"/>
                <w14:textFill>
                  <w14:solidFill>
                    <w14:schemeClr w14:val="tx1"/>
                  </w14:solidFill>
                </w14:textFill>
              </w:rPr>
              <w:t>400g/m</w:t>
            </w:r>
            <w:r>
              <w:rPr>
                <w:rFonts w:ascii="Times New Roman" w:hAnsi="Times New Roman" w:eastAsia="宋体"/>
                <w:color w:val="000000" w:themeColor="text1"/>
                <w:shd w:val="clear" w:color="auto" w:fill="FFFFFF"/>
                <w:vertAlign w:val="superscript"/>
                <w14:textFill>
                  <w14:solidFill>
                    <w14:schemeClr w14:val="tx1"/>
                  </w14:solidFill>
                </w14:textFill>
              </w:rPr>
              <w:t>2</w:t>
            </w:r>
            <w:r>
              <w:rPr>
                <w:rFonts w:ascii="Times New Roman" w:hAnsi="Times New Roman" w:eastAsia="宋体"/>
                <w:color w:val="000000" w:themeColor="text1"/>
                <w:shd w:val="clear" w:color="auto" w:fill="FFFFFF"/>
                <w14:textFill>
                  <w14:solidFill>
                    <w14:schemeClr w14:val="tx1"/>
                  </w14:solidFill>
                </w14:textFill>
              </w:rPr>
              <w:t>无纺长丝土工布</w:t>
            </w:r>
            <w:r>
              <w:rPr>
                <w:rFonts w:ascii="Times New Roman" w:hAnsi="Times New Roman" w:eastAsia="宋体"/>
                <w:color w:val="000000" w:themeColor="text1"/>
                <w14:textFill>
                  <w14:solidFill>
                    <w14:schemeClr w14:val="tx1"/>
                  </w14:solidFill>
                </w14:textFill>
              </w:rPr>
              <w:t>作为防渗膜的保护层铺设在边坡上，上部铺设HDPE防渗膜。</w:t>
            </w:r>
            <w:r>
              <w:rPr>
                <w:rFonts w:ascii="Times New Roman" w:hAnsi="Times New Roman" w:eastAsia="宋体"/>
                <w:color w:val="000000" w:themeColor="text1"/>
                <w:shd w:val="clear" w:color="auto" w:fill="FFFFFF"/>
                <w14:textFill>
                  <w14:solidFill>
                    <w14:schemeClr w14:val="tx1"/>
                  </w14:solidFill>
                </w14:textFill>
              </w:rPr>
              <w:t>土工布</w:t>
            </w:r>
            <w:r>
              <w:rPr>
                <w:rFonts w:ascii="Times New Roman" w:hAnsi="Times New Roman" w:eastAsia="宋体"/>
                <w:color w:val="000000" w:themeColor="text1"/>
                <w14:textFill>
                  <w14:solidFill>
                    <w14:schemeClr w14:val="tx1"/>
                  </w14:solidFill>
                </w14:textFill>
              </w:rPr>
              <w:t>和防渗膜均在矿坑顶部和分台台阶处设锚固沟进行锚固。</w:t>
            </w:r>
          </w:p>
          <w:p w14:paraId="706F02FA">
            <w:pPr>
              <w:adjustRightInd w:val="0"/>
              <w:ind w:firstLine="480"/>
              <w:rPr>
                <w:b/>
                <w:bCs/>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②</w:t>
            </w:r>
            <w:r>
              <w:rPr>
                <w:rFonts w:hint="eastAsia"/>
                <w:b/>
                <w:bCs/>
                <w:color w:val="000000" w:themeColor="text1"/>
                <w:kern w:val="0"/>
                <w:lang w:bidi="ar"/>
                <w14:textFill>
                  <w14:solidFill>
                    <w14:schemeClr w14:val="tx1"/>
                  </w14:solidFill>
                </w14:textFill>
              </w:rPr>
              <w:t>顶部防渗</w:t>
            </w:r>
          </w:p>
          <w:p w14:paraId="1E01B612">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露天采矿区改性磷石膏回填完成后，先在其顶部、台阶以及坡面上铺设防渗层，本项目设计堆体表层防渗层结构为：400g/m</w:t>
            </w:r>
            <w:r>
              <w:rPr>
                <w:rFonts w:ascii="Times New Roman" w:hAnsi="Times New Roman"/>
                <w:color w:val="000000" w:themeColor="text1"/>
                <w:sz w:val="24"/>
                <w:szCs w:val="24"/>
                <w:vertAlign w:val="super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无纺长丝土工布+1.5mmHDPE双糙面防渗膜+400g/m</w:t>
            </w:r>
            <w:r>
              <w:rPr>
                <w:rFonts w:ascii="Times New Roman" w:hAnsi="Times New Roman"/>
                <w:color w:val="000000" w:themeColor="text1"/>
                <w:sz w:val="24"/>
                <w:szCs w:val="24"/>
                <w:vertAlign w:val="super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无纺长丝土工布。在铺设防渗层前，铺设DN100HDP膜下排气管，导排表层防渗层与堆体间空气，防止表层防渗层下气体积累影响防渗层的防渗性能。表层HDPE土工膜与底部HDPE土工膜沿周边相连，以防雨水入渗。然后设置DN200HDPE排水管，导排下渗至防渗层上部的雨水，防治顶部防渗层浸泡雨水影响防渗性能。最后在顶部防渗层上部覆土复垦，表层土层适当压实，以便于后续进行生态复绿。</w:t>
            </w:r>
          </w:p>
          <w:p w14:paraId="49236553">
            <w:pPr>
              <w:widowControl/>
              <w:ind w:firstLine="480"/>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④施工质量管理</w:t>
            </w:r>
          </w:p>
          <w:p w14:paraId="2B644E32">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施工方案包括施工质量保证和施工质量控制内容，明确环保条款和责任，施工完毕后保存施工报告、全套竣工图、所有材料的现场及实验室检测报告，提供人工防渗衬层完整性检测报告。</w:t>
            </w:r>
          </w:p>
          <w:p w14:paraId="5BAED9BF">
            <w:pPr>
              <w:widowControl/>
              <w:ind w:firstLine="480"/>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⑤防渗材料性能要求</w:t>
            </w:r>
          </w:p>
          <w:p w14:paraId="20747FA3">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双糙面防渗土工膜性能要求：土工膜幅宽应≥7m，极限厚度偏差应控制在±10%之内；土工膜产品颜色要求为黑色，外观质量应符合CJ/T234-2006的规定；其他性能指标应符合CJ/T234-2006的规定。</w:t>
            </w:r>
          </w:p>
          <w:p w14:paraId="351C0E45">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土工布性能要求：土工布原材料采用抗氧化性和紫外线强的长丝无纺土工布；土工布外观质量需逐卷进行检验和评定，每卷土工布不得出现孔洞和破损；外观疵点不得出现下表中的重缺陷，轻缺陷每200㎡不超过5个。</w:t>
            </w:r>
          </w:p>
          <w:p w14:paraId="1EE77C70">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（3）地下水污染监控措施</w:t>
            </w:r>
          </w:p>
          <w:p w14:paraId="2F1B6C8A">
            <w:pPr>
              <w:snapToGrid w:val="0"/>
              <w:spacing w:line="360" w:lineRule="auto"/>
              <w:ind w:right="-1" w:firstLine="480" w:firstLineChars="200"/>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建立回填区地下水环境监控体系，包括建立地下水污染监控制度和环境管理体系，以便及时发现问题，及时采取预防措施。根据《改性磷石膏用于矿山废弃地生态修复回填技术规范》（DB53T/1269-2024）要求，结合项目实际水文地质调查情况，项目设置</w:t>
            </w:r>
            <w:r>
              <w:rPr>
                <w:rFonts w:hint="eastAsia" w:ascii="宋体" w:hAnsi="宋体"/>
                <w:color w:val="000000" w:themeColor="text1"/>
                <w:kern w:val="0"/>
                <w:sz w:val="24"/>
                <w:lang w:val="en-US" w:eastAsia="zh-CN"/>
                <w14:textFill>
                  <w14:solidFill>
                    <w14:schemeClr w14:val="tx1"/>
                  </w14:solidFill>
                </w14:textFill>
              </w:rPr>
              <w:t>7</w:t>
            </w:r>
            <w:r>
              <w:rPr>
                <w:rFonts w:ascii="宋体" w:hAnsi="宋体"/>
                <w:color w:val="000000" w:themeColor="text1"/>
                <w:kern w:val="0"/>
                <w:sz w:val="24"/>
                <w14:textFill>
                  <w14:solidFill>
                    <w14:schemeClr w14:val="tx1"/>
                  </w14:solidFill>
                </w14:textFill>
              </w:rPr>
              <w:t>个地下水跟踪监测井。</w:t>
            </w:r>
          </w:p>
          <w:p w14:paraId="6A393DDE">
            <w:pPr>
              <w:snapToGrid w:val="0"/>
              <w:spacing w:line="360" w:lineRule="auto"/>
              <w:ind w:right="-1" w:firstLine="480" w:firstLineChars="200"/>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1、定期对渗滤液进行监测，记录水质情况，直到连续2年不超出地下水本底水平。</w:t>
            </w:r>
          </w:p>
          <w:p w14:paraId="6F12384E">
            <w:pPr>
              <w:snapToGrid w:val="0"/>
              <w:spacing w:line="360" w:lineRule="auto"/>
              <w:ind w:right="-1" w:firstLine="480" w:firstLineChars="200"/>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2、</w:t>
            </w:r>
            <w:r>
              <w:rPr>
                <w:rFonts w:hint="eastAsia"/>
                <w:color w:val="000000" w:themeColor="text1"/>
                <w:highlight w:val="none"/>
                <w14:textFill>
                  <w14:solidFill>
                    <w14:schemeClr w14:val="tx1"/>
                  </w14:solidFill>
                </w14:textFill>
              </w:rPr>
              <w:t>项目地下水总体流向由</w:t>
            </w:r>
            <w:r>
              <w:rPr>
                <w:rFonts w:hint="eastAsia"/>
                <w:color w:val="000000" w:themeColor="text1"/>
                <w:highlight w:val="none"/>
                <w:lang w:val="en-US" w:eastAsia="zh-CN"/>
                <w14:textFill>
                  <w14:solidFill>
                    <w14:schemeClr w14:val="tx1"/>
                  </w14:solidFill>
                </w14:textFill>
              </w:rPr>
              <w:t>东北</w:t>
            </w:r>
            <w:r>
              <w:rPr>
                <w:rFonts w:hint="eastAsia"/>
                <w:color w:val="000000" w:themeColor="text1"/>
                <w:highlight w:val="none"/>
                <w14:textFill>
                  <w14:solidFill>
                    <w14:schemeClr w14:val="tx1"/>
                  </w14:solidFill>
                </w14:textFill>
              </w:rPr>
              <w:t>向</w:t>
            </w:r>
            <w:r>
              <w:rPr>
                <w:rFonts w:hint="eastAsia"/>
                <w:color w:val="000000" w:themeColor="text1"/>
                <w:highlight w:val="none"/>
                <w:lang w:val="en-US" w:eastAsia="zh-CN"/>
                <w14:textFill>
                  <w14:solidFill>
                    <w14:schemeClr w14:val="tx1"/>
                  </w14:solidFill>
                </w14:textFill>
              </w:rPr>
              <w:t>西南</w:t>
            </w:r>
            <w:r>
              <w:rPr>
                <w:rFonts w:hint="eastAsia"/>
                <w:color w:val="000000" w:themeColor="text1"/>
                <w:highlight w:val="none"/>
                <w14:textFill>
                  <w14:solidFill>
                    <w14:schemeClr w14:val="tx1"/>
                  </w14:solidFill>
                </w14:textFill>
              </w:rPr>
              <w:t>径排，拟建项目设置</w:t>
            </w:r>
            <w:r>
              <w:rPr>
                <w:rFonts w:hint="eastAsia"/>
                <w:color w:val="000000" w:themeColor="text1"/>
                <w:highlight w:val="none"/>
                <w:lang w:val="en-US" w:eastAsia="zh-CN"/>
                <w14:textFill>
                  <w14:solidFill>
                    <w14:schemeClr w14:val="tx1"/>
                  </w14:solidFill>
                </w14:textFill>
              </w:rPr>
              <w:t>7</w:t>
            </w:r>
            <w:r>
              <w:rPr>
                <w:rFonts w:hint="eastAsia"/>
                <w:color w:val="000000" w:themeColor="text1"/>
                <w:highlight w:val="none"/>
                <w14:textFill>
                  <w14:solidFill>
                    <w14:schemeClr w14:val="tx1"/>
                  </w14:solidFill>
                </w14:textFill>
              </w:rPr>
              <w:t>个地下水水质监测井，分别位于矿坑上游、两侧和下游位置，</w:t>
            </w:r>
            <w:r>
              <w:rPr>
                <w:rFonts w:hint="eastAsia"/>
                <w:color w:val="000000" w:themeColor="text1"/>
                <w:highlight w:val="none"/>
                <w:lang w:val="en-US" w:eastAsia="zh-CN"/>
                <w14:textFill>
                  <w14:solidFill>
                    <w14:schemeClr w14:val="tx1"/>
                  </w14:solidFill>
                </w14:textFill>
              </w:rPr>
              <w:t>以及新石桥村，</w:t>
            </w:r>
            <w:r>
              <w:rPr>
                <w:rFonts w:hint="eastAsia"/>
                <w:color w:val="000000" w:themeColor="text1"/>
                <w:highlight w:val="none"/>
                <w14:textFill>
                  <w14:solidFill>
                    <w14:schemeClr w14:val="tx1"/>
                  </w14:solidFill>
                </w14:textFill>
              </w:rPr>
              <w:t>其中上游布设1个水质监测井，两侧垂直于矿坑地下水主径流方向</w:t>
            </w:r>
            <w:r>
              <w:rPr>
                <w:rFonts w:hint="eastAsia"/>
                <w:color w:val="000000" w:themeColor="text1"/>
                <w:highlight w:val="none"/>
                <w:lang w:val="en-US" w:eastAsia="zh-CN"/>
                <w14:textFill>
                  <w14:solidFill>
                    <w14:schemeClr w14:val="tx1"/>
                  </w14:solidFill>
                </w14:textFill>
              </w:rPr>
              <w:t>共</w:t>
            </w:r>
            <w:r>
              <w:rPr>
                <w:rFonts w:hint="eastAsia"/>
                <w:color w:val="000000" w:themeColor="text1"/>
                <w:highlight w:val="none"/>
                <w14:textFill>
                  <w14:solidFill>
                    <w14:schemeClr w14:val="tx1"/>
                  </w14:solidFill>
                </w14:textFill>
              </w:rPr>
              <w:t>布设</w:t>
            </w:r>
            <w:r>
              <w:rPr>
                <w:rFonts w:hint="eastAsia"/>
                <w:color w:val="000000" w:themeColor="text1"/>
                <w:highlight w:val="none"/>
                <w:lang w:val="en-US" w:eastAsia="zh-CN"/>
                <w14:textFill>
                  <w14:solidFill>
                    <w14:schemeClr w14:val="tx1"/>
                  </w14:solidFill>
                </w14:textFill>
              </w:rPr>
              <w:t>3</w:t>
            </w:r>
            <w:r>
              <w:rPr>
                <w:rFonts w:hint="eastAsia"/>
                <w:color w:val="000000" w:themeColor="text1"/>
                <w:highlight w:val="none"/>
                <w14:textFill>
                  <w14:solidFill>
                    <w14:schemeClr w14:val="tx1"/>
                  </w14:solidFill>
                </w14:textFill>
              </w:rPr>
              <w:t>个水质监测井，代表矿坑测游污染扩散井，下游布设</w:t>
            </w:r>
            <w:r>
              <w:rPr>
                <w:rFonts w:hint="eastAsia"/>
                <w:color w:val="000000" w:themeColor="text1"/>
                <w:highlight w:val="none"/>
                <w:lang w:val="en-US" w:eastAsia="zh-CN"/>
                <w14:textFill>
                  <w14:solidFill>
                    <w14:schemeClr w14:val="tx1"/>
                  </w14:solidFill>
                </w14:textFill>
              </w:rPr>
              <w:t>1</w:t>
            </w:r>
            <w:r>
              <w:rPr>
                <w:rFonts w:hint="eastAsia"/>
                <w:color w:val="000000" w:themeColor="text1"/>
                <w:highlight w:val="none"/>
                <w14:textFill>
                  <w14:solidFill>
                    <w14:schemeClr w14:val="tx1"/>
                  </w14:solidFill>
                </w14:textFill>
              </w:rPr>
              <w:t>个水质监测井</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新石桥村设置2口水质监控井</w:t>
            </w:r>
            <w:r>
              <w:rPr>
                <w:rFonts w:hint="eastAsia"/>
                <w:color w:val="000000" w:themeColor="text1"/>
                <w:highlight w:val="none"/>
                <w14:textFill>
                  <w14:solidFill>
                    <w14:schemeClr w14:val="tx1"/>
                  </w14:solidFill>
                </w14:textFill>
              </w:rPr>
              <w:t>。</w:t>
            </w:r>
            <w:r>
              <w:rPr>
                <w:rFonts w:ascii="宋体" w:hAnsi="宋体"/>
                <w:color w:val="000000" w:themeColor="text1"/>
                <w:kern w:val="0"/>
                <w:sz w:val="24"/>
                <w14:textFill>
                  <w14:solidFill>
                    <w14:schemeClr w14:val="tx1"/>
                  </w14:solidFill>
                </w14:textFill>
              </w:rPr>
              <w:t>生态修复覆土绿化完成后，监测频次至少每半年1次，直到地下水水质连续2年不超出地下水本底水平。</w:t>
            </w:r>
          </w:p>
          <w:p w14:paraId="6F6E48C2">
            <w:pPr>
              <w:widowControl/>
              <w:ind w:firstLine="480"/>
              <w:rPr>
                <w:color w:val="000000" w:themeColor="text1"/>
                <w:kern w:val="0"/>
                <w:lang w:bidi="ar"/>
                <w14:textFill>
                  <w14:solidFill>
                    <w14:schemeClr w14:val="tx1"/>
                  </w14:solidFill>
                </w14:textFill>
              </w:rPr>
            </w:pPr>
            <w:r>
              <w:rPr>
                <w:rFonts w:ascii="宋体" w:hAnsi="宋体"/>
                <w:color w:val="000000" w:themeColor="text1"/>
                <w:kern w:val="0"/>
                <w:sz w:val="24"/>
                <w14:textFill>
                  <w14:solidFill>
                    <w14:schemeClr w14:val="tx1"/>
                  </w14:solidFill>
                </w14:textFill>
              </w:rPr>
              <w:t>3、通过地下水监控井和生态修复回填场防渗膜底部地下水导排管对地下水和防渗效果进行监控，防止地下水污染，监测资料存档，便于长时间观测生态修复区下游水质变化情况，一旦发现监控井中水质出现异常，及时上报主管部门。</w:t>
            </w:r>
          </w:p>
          <w:p w14:paraId="2D8E9B0B">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（4）</w:t>
            </w:r>
            <w:r>
              <w:rPr>
                <w:rFonts w:hint="eastAsia"/>
                <w:b/>
                <w:bCs/>
                <w:color w:val="000000" w:themeColor="text1"/>
                <w14:textFill>
                  <w14:solidFill>
                    <w14:schemeClr w14:val="tx1"/>
                  </w14:solidFill>
                </w14:textFill>
              </w:rPr>
              <w:t>渗滤液</w:t>
            </w:r>
            <w:r>
              <w:rPr>
                <w:rFonts w:hint="eastAsia"/>
                <w:b/>
                <w:bCs/>
                <w:color w:val="000000" w:themeColor="text1"/>
                <w:kern w:val="0"/>
                <w:lang w:bidi="ar"/>
                <w14:textFill>
                  <w14:solidFill>
                    <w14:schemeClr w14:val="tx1"/>
                  </w14:solidFill>
                </w14:textFill>
              </w:rPr>
              <w:t>跟踪监测</w:t>
            </w:r>
          </w:p>
          <w:p w14:paraId="2149023B">
            <w:pPr>
              <w:widowControl/>
              <w:ind w:firstLine="480"/>
              <w:rPr>
                <w:rFonts w:hint="eastAsia"/>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根据</w:t>
            </w:r>
            <w:r>
              <w:rPr>
                <w:rFonts w:hint="eastAsia"/>
                <w:color w:val="000000" w:themeColor="text1"/>
                <w14:textFill>
                  <w14:solidFill>
                    <w14:schemeClr w14:val="tx1"/>
                  </w14:solidFill>
                </w14:textFill>
              </w:rPr>
              <w:t>《改性磷石膏用于矿山废弃地生态修复回填技术规范》（DB53/T1269-2024）</w:t>
            </w:r>
            <w:r>
              <w:rPr>
                <w:rFonts w:hint="eastAsia"/>
                <w:color w:val="000000" w:themeColor="text1"/>
                <w:kern w:val="0"/>
                <w:lang w:bidi="ar"/>
                <w14:textFill>
                  <w14:solidFill>
                    <w14:schemeClr w14:val="tx1"/>
                  </w14:solidFill>
                </w14:textFill>
              </w:rPr>
              <w:t>的要求，项目实施过程中，对</w:t>
            </w:r>
            <w:r>
              <w:rPr>
                <w:rFonts w:hint="eastAsia"/>
                <w:color w:val="000000" w:themeColor="text1"/>
                <w14:textFill>
                  <w14:solidFill>
                    <w14:schemeClr w14:val="tx1"/>
                  </w14:solidFill>
                </w14:textFill>
              </w:rPr>
              <w:t>渗滤液</w:t>
            </w:r>
            <w:r>
              <w:rPr>
                <w:rFonts w:hint="eastAsia"/>
                <w:color w:val="000000" w:themeColor="text1"/>
                <w:kern w:val="0"/>
                <w:lang w:bidi="ar"/>
                <w14:textFill>
                  <w14:solidFill>
                    <w14:schemeClr w14:val="tx1"/>
                  </w14:solidFill>
                </w14:textFill>
              </w:rPr>
              <w:t>进行检测。封场后渗滤液收集井、</w:t>
            </w:r>
            <w:r>
              <w:rPr>
                <w:rFonts w:hint="eastAsia"/>
                <w:color w:val="000000" w:themeColor="text1"/>
                <w14:textFill>
                  <w14:solidFill>
                    <w14:schemeClr w14:val="tx1"/>
                  </w14:solidFill>
                </w14:textFill>
              </w:rPr>
              <w:t>渗滤液</w:t>
            </w:r>
            <w:r>
              <w:rPr>
                <w:rFonts w:hint="eastAsia"/>
                <w:color w:val="000000" w:themeColor="text1"/>
                <w:kern w:val="0"/>
                <w:lang w:bidi="ar"/>
                <w14:textFill>
                  <w14:solidFill>
                    <w14:schemeClr w14:val="tx1"/>
                  </w14:solidFill>
                </w14:textFill>
              </w:rPr>
              <w:t>污染物监测应继续正常运行，直到连续3年内没有</w:t>
            </w:r>
            <w:r>
              <w:rPr>
                <w:rFonts w:hint="eastAsia"/>
                <w:color w:val="000000" w:themeColor="text1"/>
                <w14:textFill>
                  <w14:solidFill>
                    <w14:schemeClr w14:val="tx1"/>
                  </w14:solidFill>
                </w14:textFill>
              </w:rPr>
              <w:t>渗滤液</w:t>
            </w:r>
            <w:r>
              <w:rPr>
                <w:rFonts w:hint="eastAsia"/>
                <w:color w:val="000000" w:themeColor="text1"/>
                <w:kern w:val="0"/>
                <w:lang w:bidi="ar"/>
                <w14:textFill>
                  <w14:solidFill>
                    <w14:schemeClr w14:val="tx1"/>
                  </w14:solidFill>
                </w14:textFill>
              </w:rPr>
              <w:t>产生或产生的</w:t>
            </w:r>
            <w:r>
              <w:rPr>
                <w:rFonts w:hint="eastAsia"/>
                <w:color w:val="000000" w:themeColor="text1"/>
                <w14:textFill>
                  <w14:solidFill>
                    <w14:schemeClr w14:val="tx1"/>
                  </w14:solidFill>
                </w14:textFill>
              </w:rPr>
              <w:t>渗滤液</w:t>
            </w:r>
            <w:r>
              <w:rPr>
                <w:rFonts w:hint="eastAsia"/>
                <w:color w:val="000000" w:themeColor="text1"/>
                <w:kern w:val="0"/>
                <w:lang w:bidi="ar"/>
                <w14:textFill>
                  <w14:solidFill>
                    <w14:schemeClr w14:val="tx1"/>
                  </w14:solidFill>
                </w14:textFill>
              </w:rPr>
              <w:t>未经处理即可稳定达标排放。</w:t>
            </w:r>
          </w:p>
          <w:p w14:paraId="6C0F6112">
            <w:pPr>
              <w:pStyle w:val="2"/>
              <w:rPr>
                <w:rFonts w:hint="eastAsia" w:eastAsia="宋体"/>
                <w:color w:val="000000" w:themeColor="text1"/>
                <w:lang w:eastAsia="zh-CN"/>
                <w14:textFill>
                  <w14:solidFill>
                    <w14:schemeClr w14:val="tx1"/>
                  </w14:solidFill>
                </w14:textFill>
              </w:rPr>
            </w:pPr>
            <w:r>
              <w:rPr>
                <w:rFonts w:hint="eastAsia"/>
                <w:b/>
                <w:bCs/>
                <w:color w:val="000000" w:themeColor="text1"/>
                <w:kern w:val="0"/>
                <w:lang w:eastAsia="zh-CN" w:bidi="ar"/>
                <w14:textFill>
                  <w14:solidFill>
                    <w14:schemeClr w14:val="tx1"/>
                  </w14:solidFill>
                </w14:textFill>
              </w:rPr>
              <w:t>（</w:t>
            </w:r>
            <w:r>
              <w:rPr>
                <w:rFonts w:hint="eastAsia"/>
                <w:b/>
                <w:bCs/>
                <w:color w:val="000000" w:themeColor="text1"/>
                <w:kern w:val="0"/>
                <w:lang w:val="en-US" w:eastAsia="zh-CN" w:bidi="ar"/>
                <w14:textFill>
                  <w14:solidFill>
                    <w14:schemeClr w14:val="tx1"/>
                  </w14:solidFill>
                </w14:textFill>
              </w:rPr>
              <w:t>5</w:t>
            </w:r>
            <w:r>
              <w:rPr>
                <w:rFonts w:hint="eastAsia"/>
                <w:b/>
                <w:bCs/>
                <w:color w:val="000000" w:themeColor="text1"/>
                <w:kern w:val="0"/>
                <w:lang w:eastAsia="zh-CN" w:bidi="ar"/>
                <w14:textFill>
                  <w14:solidFill>
                    <w14:schemeClr w14:val="tx1"/>
                  </w14:solidFill>
                </w14:textFill>
              </w:rPr>
              <w:t>）</w:t>
            </w:r>
            <w:r>
              <w:rPr>
                <w:rFonts w:hint="eastAsia" w:ascii="宋体" w:hAnsi="宋体" w:cs="宋体"/>
                <w:b/>
                <w:bCs/>
                <w:color w:val="000000" w:themeColor="text1"/>
                <w:szCs w:val="21"/>
                <w:highlight w:val="none"/>
                <w:lang w:val="en-US" w:eastAsia="zh-CN"/>
                <w14:textFill>
                  <w14:solidFill>
                    <w14:schemeClr w14:val="tx1"/>
                  </w14:solidFill>
                </w14:textFill>
              </w:rPr>
              <w:t>周边民用水井保护措施</w:t>
            </w:r>
          </w:p>
          <w:p w14:paraId="3E9EABEB">
            <w:pPr>
              <w:keepNext w:val="0"/>
              <w:keepLines w:val="0"/>
              <w:pageBreakBefore w:val="0"/>
              <w:widowControl/>
              <w:kinsoku/>
              <w:wordWrap/>
              <w:overflowPunct/>
              <w:topLinePunct w:val="0"/>
              <w:autoSpaceDE/>
              <w:autoSpaceDN/>
              <w:bidi w:val="0"/>
              <w:adjustRightInd w:val="0"/>
              <w:snapToGrid w:val="0"/>
              <w:ind w:firstLine="480"/>
              <w:textAlignment w:val="auto"/>
              <w:rPr>
                <w:rFonts w:hint="default"/>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寻甸县回族彝族自治县水务局出具的《关于寻甸县鸡街镇废弃采石场矿坑生态修复项目选址的回复意见》中指出：“原则同意项目选址意见，但在项目实施前应有限解决项目周边涉及村庄的饮水安全问题，并做好地下水保护措施，防止地下水污染，合理规划保护周边村组用水和水源点。”详见附件6。</w:t>
            </w:r>
          </w:p>
          <w:p w14:paraId="18BF7B18">
            <w:pPr>
              <w:keepNext w:val="0"/>
              <w:keepLines w:val="0"/>
              <w:pageBreakBefore w:val="0"/>
              <w:widowControl/>
              <w:kinsoku/>
              <w:wordWrap/>
              <w:overflowPunct/>
              <w:topLinePunct w:val="0"/>
              <w:autoSpaceDE/>
              <w:autoSpaceDN/>
              <w:bidi w:val="0"/>
              <w:adjustRightInd w:val="0"/>
              <w:snapToGrid w:val="0"/>
              <w:ind w:firstLine="480"/>
              <w:textAlignment w:val="auto"/>
              <w:rPr>
                <w:rFonts w:hint="default"/>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根据</w:t>
            </w:r>
            <w:r>
              <w:rPr>
                <w:rFonts w:hint="default"/>
                <w:color w:val="000000" w:themeColor="text1"/>
                <w:kern w:val="0"/>
                <w:lang w:bidi="ar"/>
                <w14:textFill>
                  <w14:solidFill>
                    <w14:schemeClr w14:val="tx1"/>
                  </w14:solidFill>
                </w14:textFill>
              </w:rPr>
              <w:t>《云南省寻甸县大旋塘采石场废弃矿坑生态修复水文地质勘察报告》</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bidi="ar"/>
                <w14:textFill>
                  <w14:solidFill>
                    <w14:schemeClr w14:val="tx1"/>
                  </w14:solidFill>
                </w14:textFill>
              </w:rPr>
              <w:t>评价区周边新石桥村分布5口SJ1-SJ5民用水井，位于场地西侧约1</w:t>
            </w:r>
            <w:r>
              <w:rPr>
                <w:rFonts w:hint="eastAsia"/>
                <w:color w:val="000000" w:themeColor="text1"/>
                <w:kern w:val="0"/>
                <w:lang w:val="en-US" w:eastAsia="zh-CN" w:bidi="ar"/>
                <w14:textFill>
                  <w14:solidFill>
                    <w14:schemeClr w14:val="tx1"/>
                  </w14:solidFill>
                </w14:textFill>
              </w:rPr>
              <w:t>090</w:t>
            </w:r>
            <w:r>
              <w:rPr>
                <w:rFonts w:hint="eastAsia"/>
                <w:color w:val="000000" w:themeColor="text1"/>
                <w:kern w:val="0"/>
                <w:lang w:bidi="ar"/>
                <w14:textFill>
                  <w14:solidFill>
                    <w14:schemeClr w14:val="tx1"/>
                  </w14:solidFill>
                </w14:textFill>
              </w:rPr>
              <w:t>米</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bidi="ar"/>
                <w14:textFill>
                  <w14:solidFill>
                    <w14:schemeClr w14:val="tx1"/>
                  </w14:solidFill>
                </w14:textFill>
              </w:rPr>
              <w:t>民井开采层位为二叠系（P1-2a）斜斑玄武岩基岩裂隙水含水层</w:t>
            </w:r>
            <w:r>
              <w:rPr>
                <w:rFonts w:hint="eastAsia"/>
                <w:color w:val="000000" w:themeColor="text1"/>
                <w:kern w:val="0"/>
                <w:lang w:val="zh-CN" w:bidi="ar"/>
                <w14:textFill>
                  <w14:solidFill>
                    <w14:schemeClr w14:val="tx1"/>
                  </w14:solidFill>
                </w14:textFill>
              </w:rPr>
              <w:t>，</w:t>
            </w:r>
            <w:r>
              <w:rPr>
                <w:rFonts w:hint="eastAsia"/>
                <w:color w:val="000000" w:themeColor="text1"/>
                <w:kern w:val="0"/>
                <w:lang w:bidi="ar"/>
                <w14:textFill>
                  <w14:solidFill>
                    <w14:schemeClr w14:val="tx1"/>
                  </w14:solidFill>
                </w14:textFill>
              </w:rPr>
              <w:t>与项目区地下水不属于同一层位。</w:t>
            </w:r>
            <w:r>
              <w:rPr>
                <w:rFonts w:hint="eastAsia"/>
                <w:color w:val="000000" w:themeColor="text1"/>
                <w:kern w:val="0"/>
                <w:lang w:val="en-US" w:eastAsia="zh-CN" w:bidi="ar"/>
                <w14:textFill>
                  <w14:solidFill>
                    <w14:schemeClr w14:val="tx1"/>
                  </w14:solidFill>
                </w14:textFill>
              </w:rPr>
              <w:t>根据项目厂址地下水流场图，项目厂址</w:t>
            </w:r>
            <w:r>
              <w:rPr>
                <w:rFonts w:hint="default"/>
                <w:color w:val="000000" w:themeColor="text1"/>
                <w:kern w:val="0"/>
                <w:lang w:bidi="ar"/>
                <w14:textFill>
                  <w14:solidFill>
                    <w14:schemeClr w14:val="tx1"/>
                  </w14:solidFill>
                </w14:textFill>
              </w:rPr>
              <w:t>地下水总体由东北向西南径流</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bidi="ar"/>
                <w14:textFill>
                  <w14:solidFill>
                    <w14:schemeClr w14:val="tx1"/>
                  </w14:solidFill>
                </w14:textFill>
              </w:rPr>
              <w:t>新石桥村分布</w:t>
            </w:r>
            <w:r>
              <w:rPr>
                <w:rFonts w:hint="eastAsia"/>
                <w:color w:val="000000" w:themeColor="text1"/>
                <w:kern w:val="0"/>
                <w:lang w:val="en-US" w:eastAsia="zh-CN" w:bidi="ar"/>
                <w14:textFill>
                  <w14:solidFill>
                    <w14:schemeClr w14:val="tx1"/>
                  </w14:solidFill>
                </w14:textFill>
              </w:rPr>
              <w:t>的</w:t>
            </w:r>
            <w:r>
              <w:rPr>
                <w:rFonts w:hint="eastAsia"/>
                <w:color w:val="000000" w:themeColor="text1"/>
                <w:kern w:val="0"/>
                <w:lang w:bidi="ar"/>
                <w14:textFill>
                  <w14:solidFill>
                    <w14:schemeClr w14:val="tx1"/>
                  </w14:solidFill>
                </w14:textFill>
              </w:rPr>
              <w:t>5口SJ1-SJ5民用水井</w:t>
            </w:r>
            <w:r>
              <w:rPr>
                <w:rFonts w:hint="eastAsia"/>
                <w:color w:val="000000" w:themeColor="text1"/>
                <w:kern w:val="0"/>
                <w:lang w:val="en-US" w:eastAsia="zh-CN" w:bidi="ar"/>
                <w14:textFill>
                  <w14:solidFill>
                    <w14:schemeClr w14:val="tx1"/>
                  </w14:solidFill>
                </w14:textFill>
              </w:rPr>
              <w:t>均位于项目西侧约1公里，位于项目地下水流向的侧游。</w:t>
            </w:r>
          </w:p>
          <w:p w14:paraId="5CB4012D">
            <w:pPr>
              <w:keepNext w:val="0"/>
              <w:keepLines w:val="0"/>
              <w:pageBreakBefore w:val="0"/>
              <w:widowControl/>
              <w:kinsoku/>
              <w:wordWrap/>
              <w:overflowPunct/>
              <w:topLinePunct w:val="0"/>
              <w:autoSpaceDE/>
              <w:autoSpaceDN/>
              <w:bidi w:val="0"/>
              <w:adjustRightInd w:val="0"/>
              <w:snapToGrid w:val="0"/>
              <w:ind w:firstLine="480"/>
              <w:textAlignment w:val="auto"/>
              <w:rPr>
                <w:rFonts w:hint="eastAsia"/>
                <w:color w:val="000000" w:themeColor="text1"/>
                <w:kern w:val="0"/>
                <w:lang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根据</w:t>
            </w:r>
            <w:r>
              <w:rPr>
                <w:rFonts w:hint="eastAsia"/>
                <w:color w:val="000000" w:themeColor="text1"/>
                <w:kern w:val="0"/>
                <w:lang w:bidi="ar"/>
                <w14:textFill>
                  <w14:solidFill>
                    <w14:schemeClr w14:val="tx1"/>
                  </w14:solidFill>
                </w14:textFill>
              </w:rPr>
              <w:t>《云南省寻甸县大旋塘采石场废弃矿坑生态修复实施方案》</w:t>
            </w:r>
            <w:r>
              <w:rPr>
                <w:rFonts w:hint="eastAsia"/>
                <w:color w:val="000000" w:themeColor="text1"/>
                <w:kern w:val="0"/>
                <w:lang w:val="en-US" w:eastAsia="zh-CN" w:bidi="ar"/>
                <w14:textFill>
                  <w14:solidFill>
                    <w14:schemeClr w14:val="tx1"/>
                  </w14:solidFill>
                </w14:textFill>
              </w:rPr>
              <w:t>内容：</w:t>
            </w:r>
            <w:r>
              <w:rPr>
                <w:rFonts w:hint="eastAsia"/>
                <w:color w:val="000000" w:themeColor="text1"/>
                <w:kern w:val="0"/>
                <w:lang w:bidi="ar"/>
                <w14:textFill>
                  <w14:solidFill>
                    <w14:schemeClr w14:val="tx1"/>
                  </w14:solidFill>
                </w14:textFill>
              </w:rPr>
              <w:t>针对寻甸县水务局关于本项目选址意见中提出的“</w:t>
            </w:r>
            <w:r>
              <w:rPr>
                <w:rFonts w:hint="eastAsia"/>
                <w:color w:val="000000" w:themeColor="text1"/>
                <w:kern w:val="0"/>
                <w:lang w:val="en-US" w:eastAsia="zh-CN" w:bidi="ar"/>
                <w14:textFill>
                  <w14:solidFill>
                    <w14:schemeClr w14:val="tx1"/>
                  </w14:solidFill>
                </w14:textFill>
              </w:rPr>
              <w:t>原则同意项目选址意见，但在项目实施前应有限解决项目周边涉及村庄的饮水安全问题，并错号地下水保护措施，防止地下水污染，合理规划保护周边村组用水和水源点</w:t>
            </w:r>
            <w:r>
              <w:rPr>
                <w:rFonts w:hint="eastAsia"/>
                <w:color w:val="000000" w:themeColor="text1"/>
                <w:kern w:val="0"/>
                <w:lang w:bidi="ar"/>
                <w14:textFill>
                  <w14:solidFill>
                    <w14:schemeClr w14:val="tx1"/>
                  </w14:solidFill>
                </w14:textFill>
              </w:rPr>
              <w:t>”的内容</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bidi="ar"/>
                <w14:textFill>
                  <w14:solidFill>
                    <w14:schemeClr w14:val="tx1"/>
                  </w14:solidFill>
                </w14:textFill>
              </w:rPr>
              <w:t>本项目在生态修复区底部防渗层施工质量确保完整有效的基础上，建设项目周边古城村委会新石桥村人饮备用水源设施。备用水源由寻甸县鸡街镇东海水库进行引水，饮水线路长度4.3km，从水库提水至沉砂池后，再通过不锈钢管引水至新石桥村水源点，水源点处设置500方供水水池。在本项目实施后，若监测</w:t>
            </w:r>
            <w:r>
              <w:rPr>
                <w:rFonts w:hint="eastAsia"/>
                <w:color w:val="000000" w:themeColor="text1"/>
                <w:kern w:val="0"/>
                <w:lang w:val="en-US" w:eastAsia="zh-CN" w:bidi="ar"/>
                <w14:textFill>
                  <w14:solidFill>
                    <w14:schemeClr w14:val="tx1"/>
                  </w14:solidFill>
                </w14:textFill>
              </w:rPr>
              <w:t>发现</w:t>
            </w:r>
            <w:r>
              <w:rPr>
                <w:rFonts w:hint="eastAsia"/>
                <w:color w:val="000000" w:themeColor="text1"/>
                <w:kern w:val="0"/>
                <w:lang w:bidi="ar"/>
                <w14:textFill>
                  <w14:solidFill>
                    <w14:schemeClr w14:val="tx1"/>
                  </w14:solidFill>
                </w14:textFill>
              </w:rPr>
              <w:t>村子里水源点或是地下水水质超标，</w:t>
            </w:r>
            <w:r>
              <w:rPr>
                <w:rFonts w:hint="eastAsia"/>
                <w:color w:val="000000" w:themeColor="text1"/>
                <w:kern w:val="0"/>
                <w:lang w:val="en-US" w:eastAsia="zh-CN" w:bidi="ar"/>
                <w14:textFill>
                  <w14:solidFill>
                    <w14:schemeClr w14:val="tx1"/>
                  </w14:solidFill>
                </w14:textFill>
              </w:rPr>
              <w:t>立即</w:t>
            </w:r>
            <w:r>
              <w:rPr>
                <w:rFonts w:hint="eastAsia"/>
                <w:color w:val="000000" w:themeColor="text1"/>
                <w:kern w:val="0"/>
                <w:lang w:bidi="ar"/>
                <w14:textFill>
                  <w14:solidFill>
                    <w14:schemeClr w14:val="tx1"/>
                  </w14:solidFill>
                </w14:textFill>
              </w:rPr>
              <w:t>启用备用水源设施进行供水，并及时查找水质超标的原因，采取措施进行补救，确保项目实施尽可能减小对周边居民生活和生产的影响。</w:t>
            </w:r>
          </w:p>
          <w:p w14:paraId="326BED88">
            <w:pPr>
              <w:keepNext w:val="0"/>
              <w:keepLines w:val="0"/>
              <w:pageBreakBefore w:val="0"/>
              <w:widowControl/>
              <w:kinsoku/>
              <w:wordWrap/>
              <w:overflowPunct/>
              <w:topLinePunct w:val="0"/>
              <w:autoSpaceDE/>
              <w:autoSpaceDN/>
              <w:bidi w:val="0"/>
              <w:adjustRightInd w:val="0"/>
              <w:snapToGrid w:val="0"/>
              <w:ind w:firstLine="480"/>
              <w:textAlignment w:val="auto"/>
              <w:rPr>
                <w:rFonts w:hint="default" w:eastAsia="宋体"/>
                <w:color w:val="000000" w:themeColor="text1"/>
                <w:kern w:val="0"/>
                <w:lang w:val="en-US" w:eastAsia="zh-CN"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根据《云南省寻甸县东海水库除险加固工程初步设计报告》（2015年）大坝为均质土坝，水库总库容为255.80万m³，最大坝高为20m，是一座以灌溉为主，兼顾防洪及人畜饮水的小型水库，水库设计灌溉面积5200亩，并兼顾下游1.5万亩农田、9个村庄约2万人口及三级公路4km、四级公路9km的防洪任务。本项目采用东海水库作为</w:t>
            </w:r>
            <w:r>
              <w:rPr>
                <w:rFonts w:hint="eastAsia"/>
                <w:color w:val="000000" w:themeColor="text1"/>
                <w:kern w:val="0"/>
                <w:lang w:bidi="ar"/>
                <w14:textFill>
                  <w14:solidFill>
                    <w14:schemeClr w14:val="tx1"/>
                  </w14:solidFill>
                </w14:textFill>
              </w:rPr>
              <w:t>备用</w:t>
            </w:r>
            <w:r>
              <w:rPr>
                <w:rFonts w:hint="eastAsia"/>
                <w:color w:val="000000" w:themeColor="text1"/>
                <w:kern w:val="0"/>
                <w:lang w:val="en-US" w:eastAsia="zh-CN" w:bidi="ar"/>
                <w14:textFill>
                  <w14:solidFill>
                    <w14:schemeClr w14:val="tx1"/>
                  </w14:solidFill>
                </w14:textFill>
              </w:rPr>
              <w:t>水源是可行的。</w:t>
            </w:r>
          </w:p>
          <w:p w14:paraId="7143D8BA">
            <w:pPr>
              <w:keepNext w:val="0"/>
              <w:keepLines w:val="0"/>
              <w:pageBreakBefore w:val="0"/>
              <w:widowControl/>
              <w:kinsoku/>
              <w:wordWrap/>
              <w:overflowPunct/>
              <w:topLinePunct w:val="0"/>
              <w:autoSpaceDE/>
              <w:autoSpaceDN/>
              <w:bidi w:val="0"/>
              <w:adjustRightInd w:val="0"/>
              <w:snapToGrid w:val="0"/>
              <w:ind w:firstLine="480"/>
              <w:textAlignment w:val="auto"/>
              <w:rPr>
                <w:rFonts w:hint="eastAsia"/>
                <w:color w:val="000000" w:themeColor="text1"/>
                <w:kern w:val="0"/>
                <w:lang w:bidi="ar"/>
                <w14:textFill>
                  <w14:solidFill>
                    <w14:schemeClr w14:val="tx1"/>
                  </w14:solidFill>
                </w14:textFill>
              </w:rPr>
            </w:pPr>
            <w:r>
              <w:rPr>
                <w:rFonts w:hint="eastAsia"/>
                <w:color w:val="000000" w:themeColor="text1"/>
                <w:kern w:val="0"/>
                <w:lang w:val="en-US" w:eastAsia="zh-CN" w:bidi="ar"/>
                <w14:textFill>
                  <w14:solidFill>
                    <w14:schemeClr w14:val="tx1"/>
                  </w14:solidFill>
                </w14:textFill>
              </w:rPr>
              <w:t>综上，</w:t>
            </w:r>
            <w:r>
              <w:rPr>
                <w:rFonts w:hint="eastAsia"/>
                <w:color w:val="000000" w:themeColor="text1"/>
                <w:kern w:val="0"/>
                <w:lang w:bidi="ar"/>
                <w14:textFill>
                  <w14:solidFill>
                    <w14:schemeClr w14:val="tx1"/>
                  </w14:solidFill>
                </w14:textFill>
              </w:rPr>
              <w:t>评价区周边新石桥村分布5口SJ1-SJ5民用水井与项目区地下水不属于同一层位</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val="en-US" w:eastAsia="zh-CN" w:bidi="ar"/>
                <w14:textFill>
                  <w14:solidFill>
                    <w14:schemeClr w14:val="tx1"/>
                  </w14:solidFill>
                </w14:textFill>
              </w:rPr>
              <w:t>位于项目地下水流向的侧游。项目在施工期及管护期加强项目场区监控井和</w:t>
            </w:r>
            <w:r>
              <w:rPr>
                <w:rFonts w:hint="eastAsia"/>
                <w:color w:val="000000" w:themeColor="text1"/>
                <w:kern w:val="0"/>
                <w:lang w:bidi="ar"/>
                <w14:textFill>
                  <w14:solidFill>
                    <w14:schemeClr w14:val="tx1"/>
                  </w14:solidFill>
                </w14:textFill>
              </w:rPr>
              <w:t>新石桥村</w:t>
            </w:r>
            <w:r>
              <w:rPr>
                <w:rFonts w:hint="eastAsia"/>
                <w:color w:val="000000" w:themeColor="text1"/>
                <w:kern w:val="0"/>
                <w:lang w:val="en-US" w:eastAsia="zh-CN" w:bidi="ar"/>
                <w14:textFill>
                  <w14:solidFill>
                    <w14:schemeClr w14:val="tx1"/>
                  </w14:solidFill>
                </w14:textFill>
              </w:rPr>
              <w:t>水井水质的监测，同时建设完成</w:t>
            </w:r>
            <w:r>
              <w:rPr>
                <w:rFonts w:hint="eastAsia"/>
                <w:color w:val="000000" w:themeColor="text1"/>
                <w:kern w:val="0"/>
                <w:lang w:bidi="ar"/>
                <w14:textFill>
                  <w14:solidFill>
                    <w14:schemeClr w14:val="tx1"/>
                  </w14:solidFill>
                </w14:textFill>
              </w:rPr>
              <w:t>项目周边古城村委会新石桥村人饮备用水源设施</w:t>
            </w:r>
            <w:r>
              <w:rPr>
                <w:rFonts w:hint="eastAsia"/>
                <w:color w:val="000000" w:themeColor="text1"/>
                <w:kern w:val="0"/>
                <w:lang w:val="en-US" w:eastAsia="zh-CN" w:bidi="ar"/>
                <w14:textFill>
                  <w14:solidFill>
                    <w14:schemeClr w14:val="tx1"/>
                  </w14:solidFill>
                </w14:textFill>
              </w:rPr>
              <w:t>后，</w:t>
            </w:r>
            <w:r>
              <w:rPr>
                <w:rFonts w:hint="eastAsia"/>
                <w:color w:val="000000" w:themeColor="text1"/>
                <w:kern w:val="0"/>
                <w:lang w:bidi="ar"/>
                <w14:textFill>
                  <w14:solidFill>
                    <w14:schemeClr w14:val="tx1"/>
                  </w14:solidFill>
                </w14:textFill>
              </w:rPr>
              <w:t>可有效降低对</w:t>
            </w:r>
            <w:r>
              <w:rPr>
                <w:rFonts w:hint="eastAsia"/>
                <w:color w:val="000000" w:themeColor="text1"/>
                <w:kern w:val="0"/>
                <w:lang w:val="en-US" w:eastAsia="zh-CN" w:bidi="ar"/>
                <w14:textFill>
                  <w14:solidFill>
                    <w14:schemeClr w14:val="tx1"/>
                  </w14:solidFill>
                </w14:textFill>
              </w:rPr>
              <w:t>项目区及周边</w:t>
            </w:r>
            <w:r>
              <w:rPr>
                <w:rFonts w:hint="eastAsia"/>
                <w:color w:val="000000" w:themeColor="text1"/>
                <w:kern w:val="0"/>
                <w:lang w:bidi="ar"/>
                <w14:textFill>
                  <w14:solidFill>
                    <w14:schemeClr w14:val="tx1"/>
                  </w14:solidFill>
                </w14:textFill>
              </w:rPr>
              <w:t>地下水污染的风险。</w:t>
            </w:r>
          </w:p>
          <w:p w14:paraId="2A7A5793">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w:t>
            </w:r>
            <w:r>
              <w:rPr>
                <w:rFonts w:hint="eastAsia"/>
                <w:b/>
                <w:bCs/>
                <w:color w:val="000000" w:themeColor="text1"/>
                <w:kern w:val="0"/>
                <w:lang w:val="en-US" w:eastAsia="zh-CN" w:bidi="ar"/>
                <w14:textFill>
                  <w14:solidFill>
                    <w14:schemeClr w14:val="tx1"/>
                  </w14:solidFill>
                </w14:textFill>
              </w:rPr>
              <w:t>6</w:t>
            </w:r>
            <w:r>
              <w:rPr>
                <w:rFonts w:hint="eastAsia"/>
                <w:b/>
                <w:bCs/>
                <w:color w:val="000000" w:themeColor="text1"/>
                <w:kern w:val="0"/>
                <w:lang w:bidi="ar"/>
                <w14:textFill>
                  <w14:solidFill>
                    <w14:schemeClr w14:val="tx1"/>
                  </w14:solidFill>
                </w14:textFill>
              </w:rPr>
              <w:t>）小结</w:t>
            </w:r>
          </w:p>
          <w:p w14:paraId="4F91A3E9">
            <w:pPr>
              <w:widowControl/>
              <w:ind w:firstLine="480"/>
              <w:rPr>
                <w:rFonts w:hint="eastAsia" w:ascii="宋体" w:hAnsi="宋体" w:cs="宋体"/>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本项目为废弃矿坑生态修复项目，项目采用改性磷石膏作为矿坑回填修复材料，回填区域参照</w:t>
            </w:r>
            <w:r>
              <w:rPr>
                <w:rFonts w:hint="eastAsia"/>
                <w:color w:val="000000" w:themeColor="text1"/>
                <w14:textFill>
                  <w14:solidFill>
                    <w14:schemeClr w14:val="tx1"/>
                  </w14:solidFill>
                </w14:textFill>
              </w:rPr>
              <w:t>《改性磷石膏用于矿山废弃地生态修复回填技术规范》（DB53/T1269-2024）</w:t>
            </w:r>
            <w:r>
              <w:rPr>
                <w:rFonts w:hint="eastAsia"/>
                <w:color w:val="000000" w:themeColor="text1"/>
                <w:kern w:val="0"/>
                <w:lang w:bidi="ar"/>
                <w14:textFill>
                  <w14:solidFill>
                    <w14:schemeClr w14:val="tx1"/>
                  </w14:solidFill>
                </w14:textFill>
              </w:rPr>
              <w:t>要求进行防渗，回填材料应达到《改性磷石膏用于矿山废弃地生态修复回填技术规范》（DB53/T1269-2024）及</w:t>
            </w:r>
            <w:r>
              <w:rPr>
                <w:rFonts w:hint="eastAsia"/>
                <w:color w:val="000000" w:themeColor="text1"/>
                <w14:textFill>
                  <w14:solidFill>
                    <w14:schemeClr w14:val="tx1"/>
                  </w14:solidFill>
                </w14:textFill>
              </w:rPr>
              <w:t>《磷石膏的处理处置规范》（GB/T 32124-2024）相关要求</w:t>
            </w:r>
            <w:r>
              <w:rPr>
                <w:rFonts w:hint="eastAsia"/>
                <w:color w:val="000000" w:themeColor="text1"/>
                <w:kern w:val="0"/>
                <w:lang w:bidi="ar"/>
                <w14:textFill>
                  <w14:solidFill>
                    <w14:schemeClr w14:val="tx1"/>
                  </w14:solidFill>
                </w14:textFill>
              </w:rPr>
              <w:t>，改性磷石膏按照HJ557规定方法制备改性磷石膏浸出液中任何一种特征污染物浓度均不应超过GB 8978最高允许排放浓度（第二类污染物最高允许排放浓度按照一级标准执行）才允许入场回填，项目建设对区域周边地下水环境影响不大。</w:t>
            </w:r>
          </w:p>
          <w:p w14:paraId="3E0F1ADE">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建设单位通过采取以上措施处理之后，正常情况下回填场渗滤液基本不会下渗，非正常排放渗滤液影响范围有限，非正常排放对下游地下水水质产生一定的影响，建设单位需要认真落实防渗措施，通过地下水监控井和生态修复回填场防渗膜底部地下水导排管对地下水和防渗效果进行监控，防止地下水污染，监测资料存档，便于长时间观测生态修复区下游水质变化情况，一旦发现监控井中水质出现异常，要及时上报主管部门。</w:t>
            </w:r>
          </w:p>
          <w:p w14:paraId="5661E845">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4、声环境影响</w:t>
            </w:r>
          </w:p>
          <w:p w14:paraId="4B0E9C24">
            <w:pPr>
              <w:widowControl/>
              <w:adjustRightInd w:val="0"/>
              <w:snapToGrid w:val="0"/>
              <w:ind w:firstLine="482"/>
              <w:rPr>
                <w:b/>
                <w:bCs/>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1</w:t>
            </w:r>
            <w:r>
              <w:rPr>
                <w:rFonts w:hint="eastAsia"/>
                <w:b/>
                <w:bCs/>
                <w:color w:val="000000" w:themeColor="text1"/>
                <w:kern w:val="0"/>
                <w:lang w:bidi="ar"/>
                <w14:textFill>
                  <w14:solidFill>
                    <w14:schemeClr w14:val="tx1"/>
                  </w14:solidFill>
                </w14:textFill>
              </w:rPr>
              <w:t>）主要噪声源强</w:t>
            </w:r>
          </w:p>
          <w:p w14:paraId="54C0A3C8">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施工期间噪声主要是施工现场的各类机械设备噪声、施工作业噪声以及物料运输造成的交通噪声。不同的施工阶段会使用不同的机械设备，所以施工现场会产生强度较高、无规则、不连续的施工噪声。其强度与施工机械的类型、功率、工作状态等因素都有关。</w:t>
            </w:r>
          </w:p>
          <w:p w14:paraId="29F02C16">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经查阅相关工程监测资料可知，施工阶段主要噪声源及其声级值见下表。</w:t>
            </w:r>
          </w:p>
          <w:p w14:paraId="169B8575">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default" w:ascii="Times New Roman" w:hAnsi="Times New Roman" w:eastAsia="宋体" w:cs="Times New Roman"/>
                <w:b/>
                <w:color w:val="000000" w:themeColor="text1"/>
                <w:sz w:val="24"/>
                <w:highlight w:val="none"/>
                <w14:textFill>
                  <w14:solidFill>
                    <w14:schemeClr w14:val="tx1"/>
                  </w14:solidFill>
                </w14:textFill>
              </w:rPr>
              <w:t>表4-1</w:t>
            </w:r>
            <w:r>
              <w:rPr>
                <w:rFonts w:hint="default" w:ascii="Times New Roman" w:hAnsi="Times New Roman" w:cs="Times New Roman"/>
                <w:b/>
                <w:color w:val="000000" w:themeColor="text1"/>
                <w:sz w:val="24"/>
                <w:highlight w:val="none"/>
                <w:lang w:val="en-US" w:eastAsia="zh-CN"/>
                <w14:textFill>
                  <w14:solidFill>
                    <w14:schemeClr w14:val="tx1"/>
                  </w14:solidFill>
                </w14:textFill>
              </w:rPr>
              <w:t xml:space="preserve">6  </w:t>
            </w:r>
            <w:r>
              <w:rPr>
                <w:rFonts w:hint="default" w:ascii="Times New Roman" w:hAnsi="Times New Roman" w:eastAsia="宋体" w:cs="Times New Roman"/>
                <w:b/>
                <w:color w:val="000000" w:themeColor="text1"/>
                <w:sz w:val="24"/>
                <w:highlight w:val="none"/>
                <w14:textFill>
                  <w14:solidFill>
                    <w14:schemeClr w14:val="tx1"/>
                  </w14:solidFill>
                </w14:textFill>
              </w:rPr>
              <w:t>主要施工设备源强</w:t>
            </w:r>
          </w:p>
          <w:tbl>
            <w:tblPr>
              <w:tblStyle w:val="41"/>
              <w:tblW w:w="78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19"/>
              <w:gridCol w:w="3920"/>
            </w:tblGrid>
            <w:tr w14:paraId="2F9CE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9" w:type="dxa"/>
                </w:tcPr>
                <w:p w14:paraId="7E558842">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主要噪声源</w:t>
                  </w:r>
                </w:p>
              </w:tc>
              <w:tc>
                <w:tcPr>
                  <w:tcW w:w="3920" w:type="dxa"/>
                </w:tcPr>
                <w:p w14:paraId="478C5E12">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1m处噪声源强dB（A）</w:t>
                  </w:r>
                </w:p>
              </w:tc>
            </w:tr>
            <w:tr w14:paraId="72736B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9" w:type="dxa"/>
                </w:tcPr>
                <w:p w14:paraId="5D286FBB">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挖掘机</w:t>
                  </w:r>
                </w:p>
              </w:tc>
              <w:tc>
                <w:tcPr>
                  <w:tcW w:w="3920" w:type="dxa"/>
                </w:tcPr>
                <w:p w14:paraId="31F0F20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85</w:t>
                  </w:r>
                </w:p>
              </w:tc>
            </w:tr>
            <w:tr w14:paraId="13078E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9" w:type="dxa"/>
                </w:tcPr>
                <w:p w14:paraId="1127700B">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推土机</w:t>
                  </w:r>
                </w:p>
              </w:tc>
              <w:tc>
                <w:tcPr>
                  <w:tcW w:w="3920" w:type="dxa"/>
                </w:tcPr>
                <w:p w14:paraId="6B8DE8A2">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80</w:t>
                  </w:r>
                </w:p>
              </w:tc>
            </w:tr>
            <w:tr w14:paraId="7A6ADE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9" w:type="dxa"/>
                </w:tcPr>
                <w:p w14:paraId="2F5194EF">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重型运输车辆</w:t>
                  </w:r>
                </w:p>
              </w:tc>
              <w:tc>
                <w:tcPr>
                  <w:tcW w:w="3920" w:type="dxa"/>
                </w:tcPr>
                <w:p w14:paraId="68D9F946">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86</w:t>
                  </w:r>
                </w:p>
              </w:tc>
            </w:tr>
            <w:tr w14:paraId="01AB9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2" w:hRule="atLeast"/>
              </w:trPr>
              <w:tc>
                <w:tcPr>
                  <w:tcW w:w="3919" w:type="dxa"/>
                </w:tcPr>
                <w:p w14:paraId="53930C02">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洒水车</w:t>
                  </w:r>
                </w:p>
              </w:tc>
              <w:tc>
                <w:tcPr>
                  <w:tcW w:w="3920" w:type="dxa"/>
                </w:tcPr>
                <w:p w14:paraId="4E28D20C">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w:t>
                  </w:r>
                </w:p>
              </w:tc>
            </w:tr>
            <w:tr w14:paraId="1B1F14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 w:hRule="atLeast"/>
              </w:trPr>
              <w:tc>
                <w:tcPr>
                  <w:tcW w:w="3919" w:type="dxa"/>
                </w:tcPr>
                <w:p w14:paraId="102E60F6">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压路机</w:t>
                  </w:r>
                </w:p>
              </w:tc>
              <w:tc>
                <w:tcPr>
                  <w:tcW w:w="3920" w:type="dxa"/>
                </w:tcPr>
                <w:p w14:paraId="6B694243">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w:t>
                  </w:r>
                </w:p>
              </w:tc>
            </w:tr>
          </w:tbl>
          <w:p w14:paraId="31F42D2D">
            <w:pPr>
              <w:widowControl/>
              <w:adjustRightInd w:val="0"/>
              <w:snapToGrid w:val="0"/>
              <w:ind w:firstLine="482"/>
              <w:rPr>
                <w:b/>
                <w:bCs/>
                <w:color w:val="000000" w:themeColor="text1"/>
                <w14:textFill>
                  <w14:solidFill>
                    <w14:schemeClr w14:val="tx1"/>
                  </w14:solidFill>
                </w14:textFill>
              </w:rPr>
            </w:pPr>
            <w:r>
              <w:rPr>
                <w:b/>
                <w:bCs/>
                <w:color w:val="000000" w:themeColor="text1"/>
                <w14:textFill>
                  <w14:solidFill>
                    <w14:schemeClr w14:val="tx1"/>
                  </w14:solidFill>
                </w14:textFill>
              </w:rPr>
              <w:t>2</w:t>
            </w:r>
            <w:r>
              <w:rPr>
                <w:rFonts w:hint="eastAsia"/>
                <w:b/>
                <w:bCs/>
                <w:color w:val="000000" w:themeColor="text1"/>
                <w14:textFill>
                  <w14:solidFill>
                    <w14:schemeClr w14:val="tx1"/>
                  </w14:solidFill>
                </w14:textFill>
              </w:rPr>
              <w:t>）声环境影响预测与评价</w:t>
            </w:r>
          </w:p>
          <w:p w14:paraId="5B1E224E">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①预测模式：</w:t>
            </w:r>
          </w:p>
          <w:p w14:paraId="291909E4">
            <w:pPr>
              <w:widowControl/>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设备噪声预测：施工期噪声主要是来自施工车辆和施工机械作业，施工期间主要噪声及振动来源于挖掘机、推土机、洒水车、雾炮机等设备。</w:t>
            </w:r>
          </w:p>
          <w:p w14:paraId="5A935A8F">
            <w:pPr>
              <w:widowControl/>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考虑到项目作业机械的种类、台数、具体分布情况随着建设内容变化而变化，因此只能在假设的典型情况进行，即所有施工设备噪声源均看作固定点声源。</w:t>
            </w:r>
          </w:p>
          <w:p w14:paraId="312C693D">
            <w:pPr>
              <w:widowControl/>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采用点源衰减模式，预测声源至受声点的几何发散衰减，不考虑声屏障、空气吸收的衰减。预测公式如下：</w:t>
            </w:r>
          </w:p>
          <w:p w14:paraId="4D6083C4">
            <w:pPr>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项目施工期噪声在施工时噪声随距离衰减后的衰减值情况见下表。</w:t>
            </w:r>
          </w:p>
          <w:p w14:paraId="456E6039">
            <w:pPr>
              <w:adjustRightInd w:val="0"/>
              <w:ind w:left="3840" w:leftChars="200" w:hanging="3360" w:hangingChars="1400"/>
              <w:rPr>
                <w:color w:val="000000" w:themeColor="text1"/>
                <w14:textFill>
                  <w14:solidFill>
                    <w14:schemeClr w14:val="tx1"/>
                  </w14:solidFill>
                </w14:textFill>
              </w:rPr>
            </w:pPr>
            <w:r>
              <w:rPr>
                <w:color w:val="000000" w:themeColor="text1"/>
                <w14:textFill>
                  <w14:solidFill>
                    <w14:schemeClr w14:val="tx1"/>
                  </w14:solidFill>
                </w14:textFill>
              </w:rPr>
              <w:t>按点声源衰减模式计算噪声的距离衰减，公式为：</w:t>
            </w:r>
          </w:p>
          <w:p w14:paraId="5767456C">
            <w:pPr>
              <w:adjustRightInd w:val="0"/>
              <w:ind w:firstLine="480"/>
              <w:jc w:val="center"/>
              <w:rPr>
                <w:color w:val="000000" w:themeColor="text1"/>
                <w14:textFill>
                  <w14:solidFill>
                    <w14:schemeClr w14:val="tx1"/>
                  </w14:solidFill>
                </w14:textFill>
              </w:rPr>
            </w:pPr>
            <w:r>
              <w:rPr>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r</w:t>
            </w:r>
            <w:r>
              <w:rPr>
                <w:color w:val="000000" w:themeColor="text1"/>
                <w14:textFill>
                  <w14:solidFill>
                    <w14:schemeClr w14:val="tx1"/>
                  </w14:solidFill>
                </w14:textFill>
              </w:rPr>
              <w:t>=L</w:t>
            </w:r>
            <w:r>
              <w:rPr>
                <w:rFonts w:hint="eastAsia"/>
                <w:color w:val="000000" w:themeColor="text1"/>
                <w:vertAlign w:val="subscript"/>
                <w14:textFill>
                  <w14:solidFill>
                    <w14:schemeClr w14:val="tx1"/>
                  </w14:solidFill>
                </w14:textFill>
              </w:rPr>
              <w:t>r0</w:t>
            </w:r>
            <w:r>
              <w:rPr>
                <w:color w:val="000000" w:themeColor="text1"/>
                <w14:textFill>
                  <w14:solidFill>
                    <w14:schemeClr w14:val="tx1"/>
                  </w14:solidFill>
                </w14:textFill>
              </w:rPr>
              <w:t>-20lg(r/r</w:t>
            </w:r>
            <w:r>
              <w:rPr>
                <w:rFonts w:hint="eastAsia"/>
                <w:color w:val="000000" w:themeColor="text1"/>
                <w:vertAlign w:val="subscript"/>
                <w14:textFill>
                  <w14:solidFill>
                    <w14:schemeClr w14:val="tx1"/>
                  </w14:solidFill>
                </w14:textFill>
              </w:rPr>
              <w:t>0</w:t>
            </w:r>
            <w:r>
              <w:rPr>
                <w:color w:val="000000" w:themeColor="text1"/>
                <w14:textFill>
                  <w14:solidFill>
                    <w14:schemeClr w14:val="tx1"/>
                  </w14:solidFill>
                </w14:textFill>
              </w:rPr>
              <w:t>)</w:t>
            </w:r>
          </w:p>
          <w:p w14:paraId="6BD64AB6">
            <w:pPr>
              <w:adjustRightInd w:val="0"/>
              <w:ind w:firstLine="480"/>
              <w:rPr>
                <w:color w:val="000000" w:themeColor="text1"/>
                <w14:textFill>
                  <w14:solidFill>
                    <w14:schemeClr w14:val="tx1"/>
                  </w14:solidFill>
                </w14:textFill>
              </w:rPr>
            </w:pPr>
            <w:r>
              <w:rPr>
                <w:color w:val="000000" w:themeColor="text1"/>
                <w14:textFill>
                  <w14:solidFill>
                    <w14:schemeClr w14:val="tx1"/>
                  </w14:solidFill>
                </w14:textFill>
              </w:rPr>
              <w:t>式中：</w:t>
            </w:r>
            <w:r>
              <w:rPr>
                <w:rFonts w:hint="eastAsia"/>
                <w:color w:val="000000" w:themeColor="text1"/>
                <w14:textFill>
                  <w14:solidFill>
                    <w14:schemeClr w14:val="tx1"/>
                  </w14:solidFill>
                </w14:textFill>
              </w:rPr>
              <w:t>Lr为声源r处的A声压级，dB（A）；</w:t>
            </w:r>
          </w:p>
          <w:p w14:paraId="28051517">
            <w:pPr>
              <w:adjustRightInd w:val="0"/>
              <w:ind w:firstLine="1200" w:firstLineChars="500"/>
              <w:rPr>
                <w:color w:val="000000" w:themeColor="text1"/>
                <w14:textFill>
                  <w14:solidFill>
                    <w14:schemeClr w14:val="tx1"/>
                  </w14:solidFill>
                </w14:textFill>
              </w:rPr>
            </w:pPr>
            <w:r>
              <w:rPr>
                <w:iCs/>
                <w:color w:val="000000" w:themeColor="text1"/>
                <w14:textFill>
                  <w14:solidFill>
                    <w14:schemeClr w14:val="tx1"/>
                  </w14:solidFill>
                </w14:textFill>
              </w:rPr>
              <w:t>L</w:t>
            </w:r>
            <w:r>
              <w:rPr>
                <w:rFonts w:hint="eastAsia"/>
                <w:iCs/>
                <w:color w:val="000000" w:themeColor="text1"/>
                <w:vertAlign w:val="subscript"/>
                <w14:textFill>
                  <w14:solidFill>
                    <w14:schemeClr w14:val="tx1"/>
                  </w14:solidFill>
                </w14:textFill>
              </w:rPr>
              <w:t>r0</w:t>
            </w:r>
            <w:r>
              <w:rPr>
                <w:rFonts w:hint="eastAsia"/>
                <w:iCs/>
                <w:color w:val="000000" w:themeColor="text1"/>
                <w14:textFill>
                  <w14:solidFill>
                    <w14:schemeClr w14:val="tx1"/>
                  </w14:solidFill>
                </w14:textFill>
              </w:rPr>
              <w:t>为距声源r0</w:t>
            </w:r>
            <w:r>
              <w:rPr>
                <w:rFonts w:hint="eastAsia"/>
                <w:color w:val="000000" w:themeColor="text1"/>
                <w14:textFill>
                  <w14:solidFill>
                    <w14:schemeClr w14:val="tx1"/>
                  </w14:solidFill>
                </w14:textFill>
              </w:rPr>
              <w:t>处的A声压级，dB（A）；</w:t>
            </w:r>
          </w:p>
          <w:p w14:paraId="3895E346">
            <w:pPr>
              <w:adjustRightInd w:val="0"/>
              <w:ind w:firstLine="1200" w:firstLineChars="500"/>
              <w:rPr>
                <w:iCs/>
                <w:color w:val="000000" w:themeColor="text1"/>
                <w14:textFill>
                  <w14:solidFill>
                    <w14:schemeClr w14:val="tx1"/>
                  </w14:solidFill>
                </w14:textFill>
              </w:rPr>
            </w:pPr>
            <w:r>
              <w:rPr>
                <w:rFonts w:hint="eastAsia"/>
                <w:iCs/>
                <w:color w:val="000000" w:themeColor="text1"/>
                <w14:textFill>
                  <w14:solidFill>
                    <w14:schemeClr w14:val="tx1"/>
                  </w14:solidFill>
                </w14:textFill>
              </w:rPr>
              <w:t>r为预测点与声源的距离，m；</w:t>
            </w:r>
          </w:p>
          <w:p w14:paraId="2DC2ECA0">
            <w:pPr>
              <w:adjustRightInd w:val="0"/>
              <w:ind w:firstLine="1200" w:firstLineChars="500"/>
              <w:rPr>
                <w:color w:val="000000" w:themeColor="text1"/>
                <w14:textFill>
                  <w14:solidFill>
                    <w14:schemeClr w14:val="tx1"/>
                  </w14:solidFill>
                </w14:textFill>
              </w:rPr>
            </w:pPr>
            <w:r>
              <w:rPr>
                <w:iCs/>
                <w:color w:val="000000" w:themeColor="text1"/>
                <w14:textFill>
                  <w14:solidFill>
                    <w14:schemeClr w14:val="tx1"/>
                  </w14:solidFill>
                </w14:textFill>
              </w:rPr>
              <w:t>r</w:t>
            </w:r>
            <w:r>
              <w:rPr>
                <w:rFonts w:hint="eastAsia"/>
                <w:iCs/>
                <w:color w:val="000000" w:themeColor="text1"/>
                <w14:textFill>
                  <w14:solidFill>
                    <w14:schemeClr w14:val="tx1"/>
                  </w14:solidFill>
                </w14:textFill>
              </w:rPr>
              <w:t>0</w:t>
            </w:r>
            <w:r>
              <w:rPr>
                <w:color w:val="000000" w:themeColor="text1"/>
                <w14:textFill>
                  <w14:solidFill>
                    <w14:schemeClr w14:val="tx1"/>
                  </w14:solidFill>
                </w14:textFill>
              </w:rPr>
              <w:t>为</w:t>
            </w:r>
            <w:r>
              <w:rPr>
                <w:rFonts w:hint="eastAsia"/>
                <w:color w:val="000000" w:themeColor="text1"/>
                <w14:textFill>
                  <w14:solidFill>
                    <w14:schemeClr w14:val="tx1"/>
                  </w14:solidFill>
                </w14:textFill>
              </w:rPr>
              <w:t>监测设备噪声时</w:t>
            </w:r>
            <w:r>
              <w:rPr>
                <w:color w:val="000000" w:themeColor="text1"/>
                <w14:textFill>
                  <w14:solidFill>
                    <w14:schemeClr w14:val="tx1"/>
                  </w14:solidFill>
                </w14:textFill>
              </w:rPr>
              <w:t>的距离（m）。</w:t>
            </w:r>
          </w:p>
          <w:p w14:paraId="654150CB">
            <w:pPr>
              <w:widowControl/>
              <w:adjustRightInd w:val="0"/>
              <w:snapToGrid w:val="0"/>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根据上述预测模型，施工阶段所涉及设备同时运用，根据上述预测模型，项目施工阶段厂界噪声预测值如下表所示：</w:t>
            </w:r>
          </w:p>
          <w:p w14:paraId="09A73F9C">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eastAsia" w:ascii="Times New Roman" w:hAnsi="Times New Roman" w:eastAsia="宋体" w:cs="Times New Roman"/>
                <w:b/>
                <w:color w:val="000000" w:themeColor="text1"/>
                <w:sz w:val="24"/>
                <w:highlight w:val="none"/>
                <w14:textFill>
                  <w14:solidFill>
                    <w14:schemeClr w14:val="tx1"/>
                  </w14:solidFill>
                </w14:textFill>
              </w:rPr>
              <w:t>表4-18主要施工机械噪声贡献预测值单位：dB（A）</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44"/>
              <w:gridCol w:w="795"/>
              <w:gridCol w:w="860"/>
              <w:gridCol w:w="860"/>
              <w:gridCol w:w="860"/>
              <w:gridCol w:w="860"/>
              <w:gridCol w:w="868"/>
              <w:gridCol w:w="872"/>
            </w:tblGrid>
            <w:tr w14:paraId="5D897F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pct"/>
                  <w:vMerge w:val="restart"/>
                  <w:vAlign w:val="center"/>
                </w:tcPr>
                <w:p w14:paraId="55E5CFC8">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噪声源</w:t>
                  </w:r>
                </w:p>
              </w:tc>
              <w:tc>
                <w:tcPr>
                  <w:tcW w:w="507" w:type="pct"/>
                  <w:vMerge w:val="restart"/>
                  <w:vAlign w:val="center"/>
                </w:tcPr>
                <w:p w14:paraId="26C4E9CB">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源强</w:t>
                  </w:r>
                </w:p>
              </w:tc>
              <w:tc>
                <w:tcPr>
                  <w:tcW w:w="3312" w:type="pct"/>
                  <w:gridSpan w:val="6"/>
                  <w:vAlign w:val="center"/>
                </w:tcPr>
                <w:p w14:paraId="68B08E5F">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施工场界不同距离处噪声贡献值</w:t>
                  </w:r>
                </w:p>
              </w:tc>
            </w:tr>
            <w:tr w14:paraId="0919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pct"/>
                  <w:vMerge w:val="continue"/>
                  <w:vAlign w:val="center"/>
                </w:tcPr>
                <w:p w14:paraId="7EF8DB6D">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p>
              </w:tc>
              <w:tc>
                <w:tcPr>
                  <w:tcW w:w="507" w:type="pct"/>
                  <w:vMerge w:val="continue"/>
                  <w:vAlign w:val="center"/>
                </w:tcPr>
                <w:p w14:paraId="26E7B567">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p>
              </w:tc>
              <w:tc>
                <w:tcPr>
                  <w:tcW w:w="550" w:type="pct"/>
                  <w:vAlign w:val="center"/>
                </w:tcPr>
                <w:p w14:paraId="50E8FD79">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10m</w:t>
                  </w:r>
                </w:p>
              </w:tc>
              <w:tc>
                <w:tcPr>
                  <w:tcW w:w="550" w:type="pct"/>
                  <w:vAlign w:val="center"/>
                </w:tcPr>
                <w:p w14:paraId="680A825A">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30m</w:t>
                  </w:r>
                </w:p>
              </w:tc>
              <w:tc>
                <w:tcPr>
                  <w:tcW w:w="550" w:type="pct"/>
                  <w:vAlign w:val="center"/>
                </w:tcPr>
                <w:p w14:paraId="60857B2E">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50m</w:t>
                  </w:r>
                </w:p>
              </w:tc>
              <w:tc>
                <w:tcPr>
                  <w:tcW w:w="550" w:type="pct"/>
                  <w:vAlign w:val="center"/>
                </w:tcPr>
                <w:p w14:paraId="1BE5CB3F">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70m</w:t>
                  </w:r>
                </w:p>
              </w:tc>
              <w:tc>
                <w:tcPr>
                  <w:tcW w:w="555" w:type="pct"/>
                  <w:vAlign w:val="center"/>
                </w:tcPr>
                <w:p w14:paraId="1DE646FE">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100m</w:t>
                  </w:r>
                </w:p>
              </w:tc>
              <w:tc>
                <w:tcPr>
                  <w:tcW w:w="557" w:type="pct"/>
                  <w:vAlign w:val="center"/>
                </w:tcPr>
                <w:p w14:paraId="11AF5567">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200m</w:t>
                  </w:r>
                </w:p>
              </w:tc>
            </w:tr>
            <w:tr w14:paraId="3F7699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pct"/>
                  <w:vAlign w:val="center"/>
                </w:tcPr>
                <w:p w14:paraId="39C1F9B7">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挖掘机</w:t>
                  </w:r>
                </w:p>
              </w:tc>
              <w:tc>
                <w:tcPr>
                  <w:tcW w:w="507" w:type="pct"/>
                  <w:vAlign w:val="center"/>
                </w:tcPr>
                <w:p w14:paraId="3A41789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85</w:t>
                  </w:r>
                </w:p>
              </w:tc>
              <w:tc>
                <w:tcPr>
                  <w:tcW w:w="550" w:type="pct"/>
                  <w:vAlign w:val="center"/>
                </w:tcPr>
                <w:p w14:paraId="4451A21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65</w:t>
                  </w:r>
                </w:p>
              </w:tc>
              <w:tc>
                <w:tcPr>
                  <w:tcW w:w="550" w:type="pct"/>
                  <w:vAlign w:val="center"/>
                </w:tcPr>
                <w:p w14:paraId="48AAF9F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55.46</w:t>
                  </w:r>
                </w:p>
              </w:tc>
              <w:tc>
                <w:tcPr>
                  <w:tcW w:w="550" w:type="pct"/>
                  <w:vAlign w:val="center"/>
                </w:tcPr>
                <w:p w14:paraId="32C8B9E8">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51.02</w:t>
                  </w:r>
                </w:p>
              </w:tc>
              <w:tc>
                <w:tcPr>
                  <w:tcW w:w="550" w:type="pct"/>
                  <w:vAlign w:val="center"/>
                </w:tcPr>
                <w:p w14:paraId="78BFE3EE">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48.1</w:t>
                  </w:r>
                </w:p>
              </w:tc>
              <w:tc>
                <w:tcPr>
                  <w:tcW w:w="555" w:type="pct"/>
                  <w:vAlign w:val="center"/>
                </w:tcPr>
                <w:p w14:paraId="69F9C71C">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w:t>
                  </w:r>
                </w:p>
              </w:tc>
              <w:tc>
                <w:tcPr>
                  <w:tcW w:w="557" w:type="pct"/>
                  <w:vAlign w:val="center"/>
                </w:tcPr>
                <w:p w14:paraId="499F714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38.98</w:t>
                  </w:r>
                </w:p>
              </w:tc>
            </w:tr>
            <w:tr w14:paraId="0B5C0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pct"/>
                  <w:vAlign w:val="center"/>
                </w:tcPr>
                <w:p w14:paraId="1D54F27F">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推土机</w:t>
                  </w:r>
                </w:p>
              </w:tc>
              <w:tc>
                <w:tcPr>
                  <w:tcW w:w="507" w:type="pct"/>
                  <w:vAlign w:val="center"/>
                </w:tcPr>
                <w:p w14:paraId="745732FF">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80</w:t>
                  </w:r>
                </w:p>
              </w:tc>
              <w:tc>
                <w:tcPr>
                  <w:tcW w:w="550" w:type="pct"/>
                  <w:vAlign w:val="center"/>
                </w:tcPr>
                <w:p w14:paraId="3E61E933">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60</w:t>
                  </w:r>
                </w:p>
              </w:tc>
              <w:tc>
                <w:tcPr>
                  <w:tcW w:w="550" w:type="pct"/>
                  <w:vAlign w:val="center"/>
                </w:tcPr>
                <w:p w14:paraId="1276A34D">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50.46</w:t>
                  </w:r>
                </w:p>
              </w:tc>
              <w:tc>
                <w:tcPr>
                  <w:tcW w:w="550" w:type="pct"/>
                  <w:vAlign w:val="center"/>
                </w:tcPr>
                <w:p w14:paraId="5828FE53">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46.02</w:t>
                  </w:r>
                </w:p>
              </w:tc>
              <w:tc>
                <w:tcPr>
                  <w:tcW w:w="550" w:type="pct"/>
                  <w:vAlign w:val="center"/>
                </w:tcPr>
                <w:p w14:paraId="1A670DA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43.1</w:t>
                  </w:r>
                </w:p>
              </w:tc>
              <w:tc>
                <w:tcPr>
                  <w:tcW w:w="555" w:type="pct"/>
                  <w:vAlign w:val="center"/>
                </w:tcPr>
                <w:p w14:paraId="70E103E4">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40</w:t>
                  </w:r>
                </w:p>
              </w:tc>
              <w:tc>
                <w:tcPr>
                  <w:tcW w:w="557" w:type="pct"/>
                  <w:vAlign w:val="center"/>
                </w:tcPr>
                <w:p w14:paraId="7DAF0F4E">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33.98</w:t>
                  </w:r>
                </w:p>
              </w:tc>
            </w:tr>
            <w:tr w14:paraId="4D4081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pct"/>
                  <w:vAlign w:val="center"/>
                </w:tcPr>
                <w:p w14:paraId="19AF0027">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重型运输车辆</w:t>
                  </w:r>
                </w:p>
              </w:tc>
              <w:tc>
                <w:tcPr>
                  <w:tcW w:w="507" w:type="pct"/>
                  <w:vAlign w:val="center"/>
                </w:tcPr>
                <w:p w14:paraId="1156C32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86</w:t>
                  </w:r>
                </w:p>
              </w:tc>
              <w:tc>
                <w:tcPr>
                  <w:tcW w:w="550" w:type="pct"/>
                  <w:vAlign w:val="center"/>
                </w:tcPr>
                <w:p w14:paraId="609FF368">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66</w:t>
                  </w:r>
                </w:p>
              </w:tc>
              <w:tc>
                <w:tcPr>
                  <w:tcW w:w="550" w:type="pct"/>
                  <w:vAlign w:val="center"/>
                </w:tcPr>
                <w:p w14:paraId="02173D7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56.46</w:t>
                  </w:r>
                </w:p>
              </w:tc>
              <w:tc>
                <w:tcPr>
                  <w:tcW w:w="550" w:type="pct"/>
                  <w:vAlign w:val="center"/>
                </w:tcPr>
                <w:p w14:paraId="5DB12DA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52.02</w:t>
                  </w:r>
                </w:p>
              </w:tc>
              <w:tc>
                <w:tcPr>
                  <w:tcW w:w="550" w:type="pct"/>
                  <w:vAlign w:val="center"/>
                </w:tcPr>
                <w:p w14:paraId="03C01BEB">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49.1</w:t>
                  </w:r>
                </w:p>
              </w:tc>
              <w:tc>
                <w:tcPr>
                  <w:tcW w:w="555" w:type="pct"/>
                  <w:vAlign w:val="center"/>
                </w:tcPr>
                <w:p w14:paraId="5F331B96">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46</w:t>
                  </w:r>
                </w:p>
              </w:tc>
              <w:tc>
                <w:tcPr>
                  <w:tcW w:w="557" w:type="pct"/>
                  <w:vAlign w:val="center"/>
                </w:tcPr>
                <w:p w14:paraId="27FFE48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39.98</w:t>
                  </w:r>
                </w:p>
              </w:tc>
            </w:tr>
            <w:tr w14:paraId="64DA1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pct"/>
                  <w:vAlign w:val="center"/>
                </w:tcPr>
                <w:p w14:paraId="60E2027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洒水车</w:t>
                  </w:r>
                </w:p>
              </w:tc>
              <w:tc>
                <w:tcPr>
                  <w:tcW w:w="507" w:type="pct"/>
                  <w:vAlign w:val="center"/>
                </w:tcPr>
                <w:p w14:paraId="20CDAA73">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w:t>
                  </w:r>
                </w:p>
              </w:tc>
              <w:tc>
                <w:tcPr>
                  <w:tcW w:w="550" w:type="pct"/>
                  <w:vAlign w:val="center"/>
                </w:tcPr>
                <w:p w14:paraId="1912D44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c>
                <w:tcPr>
                  <w:tcW w:w="550" w:type="pct"/>
                  <w:vAlign w:val="center"/>
                </w:tcPr>
                <w:p w14:paraId="63B2C253">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45.46</w:t>
                  </w:r>
                </w:p>
              </w:tc>
              <w:tc>
                <w:tcPr>
                  <w:tcW w:w="550" w:type="pct"/>
                  <w:vAlign w:val="center"/>
                </w:tcPr>
                <w:p w14:paraId="70154D6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41.02</w:t>
                  </w:r>
                </w:p>
              </w:tc>
              <w:tc>
                <w:tcPr>
                  <w:tcW w:w="550" w:type="pct"/>
                  <w:vAlign w:val="center"/>
                </w:tcPr>
                <w:p w14:paraId="0D670B5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38.1</w:t>
                  </w:r>
                </w:p>
              </w:tc>
              <w:tc>
                <w:tcPr>
                  <w:tcW w:w="555" w:type="pct"/>
                  <w:vAlign w:val="center"/>
                </w:tcPr>
                <w:p w14:paraId="17786A3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557" w:type="pct"/>
                  <w:vAlign w:val="center"/>
                </w:tcPr>
                <w:p w14:paraId="524008C9">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28.98</w:t>
                  </w:r>
                </w:p>
              </w:tc>
            </w:tr>
            <w:tr w14:paraId="7B516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79" w:type="pct"/>
                  <w:vAlign w:val="center"/>
                </w:tcPr>
                <w:p w14:paraId="3FF8BEE3">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压路机</w:t>
                  </w:r>
                </w:p>
              </w:tc>
              <w:tc>
                <w:tcPr>
                  <w:tcW w:w="507" w:type="pct"/>
                  <w:vAlign w:val="center"/>
                </w:tcPr>
                <w:p w14:paraId="139841F2">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75</w:t>
                  </w:r>
                </w:p>
              </w:tc>
              <w:tc>
                <w:tcPr>
                  <w:tcW w:w="550" w:type="pct"/>
                  <w:vAlign w:val="center"/>
                </w:tcPr>
                <w:p w14:paraId="3BC1A9DE">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w:t>
                  </w:r>
                </w:p>
              </w:tc>
              <w:tc>
                <w:tcPr>
                  <w:tcW w:w="550" w:type="pct"/>
                  <w:vAlign w:val="center"/>
                </w:tcPr>
                <w:p w14:paraId="0C2AA5A7">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45.46</w:t>
                  </w:r>
                </w:p>
              </w:tc>
              <w:tc>
                <w:tcPr>
                  <w:tcW w:w="550" w:type="pct"/>
                  <w:vAlign w:val="center"/>
                </w:tcPr>
                <w:p w14:paraId="4CF5C77D">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41.02</w:t>
                  </w:r>
                </w:p>
              </w:tc>
              <w:tc>
                <w:tcPr>
                  <w:tcW w:w="550" w:type="pct"/>
                  <w:vAlign w:val="center"/>
                </w:tcPr>
                <w:p w14:paraId="46B8C9B7">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38.1</w:t>
                  </w:r>
                </w:p>
              </w:tc>
              <w:tc>
                <w:tcPr>
                  <w:tcW w:w="555" w:type="pct"/>
                  <w:vAlign w:val="center"/>
                </w:tcPr>
                <w:p w14:paraId="28EE452A">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35</w:t>
                  </w:r>
                </w:p>
              </w:tc>
              <w:tc>
                <w:tcPr>
                  <w:tcW w:w="557" w:type="pct"/>
                  <w:vAlign w:val="center"/>
                </w:tcPr>
                <w:p w14:paraId="36AD935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28.98</w:t>
                  </w:r>
                </w:p>
              </w:tc>
            </w:tr>
            <w:tr w14:paraId="3AA02F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687" w:type="pct"/>
                  <w:gridSpan w:val="2"/>
                  <w:vAlign w:val="center"/>
                </w:tcPr>
                <w:p w14:paraId="127EED7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噪声贡献值</w:t>
                  </w:r>
                </w:p>
              </w:tc>
              <w:tc>
                <w:tcPr>
                  <w:tcW w:w="550" w:type="pct"/>
                  <w:vAlign w:val="center"/>
                </w:tcPr>
                <w:p w14:paraId="15EE1126">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69.43</w:t>
                  </w:r>
                </w:p>
              </w:tc>
              <w:tc>
                <w:tcPr>
                  <w:tcW w:w="550" w:type="pct"/>
                  <w:vAlign w:val="center"/>
                </w:tcPr>
                <w:p w14:paraId="77E52B6B">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58.14</w:t>
                  </w:r>
                </w:p>
              </w:tc>
              <w:tc>
                <w:tcPr>
                  <w:tcW w:w="550" w:type="pct"/>
                  <w:vAlign w:val="center"/>
                </w:tcPr>
                <w:p w14:paraId="1AB93337">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55.45</w:t>
                  </w:r>
                </w:p>
              </w:tc>
              <w:tc>
                <w:tcPr>
                  <w:tcW w:w="550" w:type="pct"/>
                  <w:vAlign w:val="center"/>
                </w:tcPr>
                <w:p w14:paraId="4830B2C0">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52.53</w:t>
                  </w:r>
                </w:p>
              </w:tc>
              <w:tc>
                <w:tcPr>
                  <w:tcW w:w="555" w:type="pct"/>
                  <w:vAlign w:val="center"/>
                </w:tcPr>
                <w:p w14:paraId="5792B54C">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49.43</w:t>
                  </w:r>
                </w:p>
              </w:tc>
              <w:tc>
                <w:tcPr>
                  <w:tcW w:w="557" w:type="pct"/>
                  <w:vAlign w:val="center"/>
                </w:tcPr>
                <w:p w14:paraId="68020D31">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43.41</w:t>
                  </w:r>
                </w:p>
              </w:tc>
            </w:tr>
          </w:tbl>
          <w:p w14:paraId="0777D69F">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项目施工期单体设备声源最大声级为</w:t>
            </w:r>
            <w:r>
              <w:rPr>
                <w:color w:val="000000" w:themeColor="text1"/>
                <w:kern w:val="0"/>
                <w:lang w:bidi="ar"/>
                <w14:textFill>
                  <w14:solidFill>
                    <w14:schemeClr w14:val="tx1"/>
                  </w14:solidFill>
                </w14:textFill>
              </w:rPr>
              <w:t>86dB(A)</w:t>
            </w:r>
            <w:r>
              <w:rPr>
                <w:rFonts w:hint="eastAsia"/>
                <w:color w:val="000000" w:themeColor="text1"/>
                <w:kern w:val="0"/>
                <w:lang w:bidi="ar"/>
                <w14:textFill>
                  <w14:solidFill>
                    <w14:schemeClr w14:val="tx1"/>
                  </w14:solidFill>
                </w14:textFill>
              </w:rPr>
              <w:t>，根据预测结果可知，最大噪声源衰减至10m时噪声值为66</w:t>
            </w:r>
            <w:r>
              <w:rPr>
                <w:color w:val="000000" w:themeColor="text1"/>
                <w:kern w:val="0"/>
                <w:lang w:bidi="ar"/>
                <w14:textFill>
                  <w14:solidFill>
                    <w14:schemeClr w14:val="tx1"/>
                  </w14:solidFill>
                </w14:textFill>
              </w:rPr>
              <w:t>dB(A)</w:t>
            </w:r>
            <w:r>
              <w:rPr>
                <w:rFonts w:hint="eastAsia"/>
                <w:color w:val="000000" w:themeColor="text1"/>
                <w:kern w:val="0"/>
                <w:lang w:bidi="ar"/>
                <w14:textFill>
                  <w14:solidFill>
                    <w14:schemeClr w14:val="tx1"/>
                  </w14:solidFill>
                </w14:textFill>
              </w:rPr>
              <w:t>，衰减至200m时噪声值为39.98</w:t>
            </w:r>
            <w:r>
              <w:rPr>
                <w:color w:val="000000" w:themeColor="text1"/>
                <w:kern w:val="0"/>
                <w:lang w:bidi="ar"/>
                <w14:textFill>
                  <w14:solidFill>
                    <w14:schemeClr w14:val="tx1"/>
                  </w14:solidFill>
                </w14:textFill>
              </w:rPr>
              <w:t>dB(A)</w:t>
            </w:r>
            <w:r>
              <w:rPr>
                <w:rFonts w:hint="eastAsia"/>
                <w:color w:val="000000" w:themeColor="text1"/>
                <w:kern w:val="0"/>
                <w:lang w:bidi="ar"/>
                <w14:textFill>
                  <w14:solidFill>
                    <w14:schemeClr w14:val="tx1"/>
                  </w14:solidFill>
                </w14:textFill>
              </w:rPr>
              <w:t>，满足《建筑施工场界环境噪声排放标准》（</w:t>
            </w:r>
            <w:r>
              <w:rPr>
                <w:color w:val="000000" w:themeColor="text1"/>
                <w:kern w:val="0"/>
                <w:lang w:bidi="ar"/>
                <w14:textFill>
                  <w14:solidFill>
                    <w14:schemeClr w14:val="tx1"/>
                  </w14:solidFill>
                </w14:textFill>
              </w:rPr>
              <w:t>GB12523-2011</w:t>
            </w:r>
            <w:r>
              <w:rPr>
                <w:rFonts w:hint="eastAsia"/>
                <w:color w:val="000000" w:themeColor="text1"/>
                <w:kern w:val="0"/>
                <w:lang w:bidi="ar"/>
                <w14:textFill>
                  <w14:solidFill>
                    <w14:schemeClr w14:val="tx1"/>
                  </w14:solidFill>
                </w14:textFill>
              </w:rPr>
              <w:t>）排放限值要求。</w:t>
            </w:r>
          </w:p>
          <w:p w14:paraId="756C1D95">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为避免车辆运输噪声对沿途村民点的影响，要求运输车辆经过村民点时减速慢行；在经过沿线村庄时，应减缓车速、禁止鸣笛；合理安排运输时间。经采取以上措施后，项目运输噪声对沿途村庄的影响是可以接受的。</w:t>
            </w:r>
          </w:p>
          <w:p w14:paraId="1DD3197C">
            <w:pPr>
              <w:widowControl/>
              <w:ind w:firstLine="482"/>
              <w:rPr>
                <w:b/>
                <w:bCs/>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3</w:t>
            </w:r>
            <w:r>
              <w:rPr>
                <w:rFonts w:hint="eastAsia"/>
                <w:b/>
                <w:bCs/>
                <w:color w:val="000000" w:themeColor="text1"/>
                <w:kern w:val="0"/>
                <w:lang w:bidi="ar"/>
                <w14:textFill>
                  <w14:solidFill>
                    <w14:schemeClr w14:val="tx1"/>
                  </w14:solidFill>
                </w14:textFill>
              </w:rPr>
              <w:t>）噪声控制措施</w:t>
            </w:r>
          </w:p>
          <w:p w14:paraId="771C5CAA">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为减轻施工期对周围环境影响，项目施工期需注意采取以下措施：</w:t>
            </w:r>
          </w:p>
          <w:p w14:paraId="400F4A5F">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①在符合施工需要的前提下，尽可能选取噪声低、振动小、能耗小的先进设备。加强对施工机械的维护保养，避免由于设备性能差而使机械噪声增大的现象发生，避免偶发噪声发生；</w:t>
            </w:r>
          </w:p>
          <w:p w14:paraId="4E94DF6D">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②加快施工进度，合理安排施工时间；</w:t>
            </w:r>
          </w:p>
          <w:p w14:paraId="35943A55">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③加强对施工人员的环境宣传和教育，使他们认真落实各项降噪措施，做到文明施工；</w:t>
            </w:r>
          </w:p>
          <w:p w14:paraId="1A6CBE0C">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④运输施工物资应注意合理安排施工物料运输时间；</w:t>
            </w:r>
          </w:p>
          <w:p w14:paraId="1AE488EB">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⑤加强对施工场地的噪声管理，文明施工，做好区内交通组织，施工场地车辆出入现场时应低速、禁鸣，设立专人负责。</w:t>
            </w:r>
          </w:p>
          <w:p w14:paraId="7CCD139F">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通过采取上述措施，将项目施工期施工机械噪声对周围环境的影响降至最低。随着项目施工结束，施工噪声污染将随之消失，在严格执行上述措施的前提下，项目施工噪声对周边环境产生的影响是可以接受的。</w:t>
            </w:r>
          </w:p>
          <w:p w14:paraId="1940D5BD">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5、固体废弃物影响分析</w:t>
            </w:r>
          </w:p>
          <w:p w14:paraId="7AE58DB1">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项目施工期固体废物主要为土石方、施工人员生活垃圾、沉淀池及渗滤液收集井沉渣、拆除工程产生的建筑垃圾。</w:t>
            </w:r>
          </w:p>
          <w:p w14:paraId="08C44055">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1）土石方</w:t>
            </w:r>
          </w:p>
          <w:p w14:paraId="36360FC9">
            <w:pPr>
              <w:widowControl/>
              <w:ind w:firstLine="480"/>
              <w:jc w:val="left"/>
              <w:rPr>
                <w:color w:val="000000" w:themeColor="text1"/>
                <w:kern w:val="0"/>
                <w:lang w:bidi="ar"/>
                <w14:textFill>
                  <w14:solidFill>
                    <w14:schemeClr w14:val="tx1"/>
                  </w14:solidFill>
                </w14:textFill>
              </w:rPr>
            </w:pPr>
            <w:r>
              <w:rPr>
                <w:color w:val="000000" w:themeColor="text1"/>
                <w14:textFill>
                  <w14:solidFill>
                    <w14:schemeClr w14:val="tx1"/>
                  </w14:solidFill>
                </w14:textFill>
              </w:rPr>
              <w:t>在回填区底部进行防渗层</w:t>
            </w:r>
            <w:r>
              <w:rPr>
                <w:rFonts w:hint="eastAsia"/>
                <w:color w:val="000000" w:themeColor="text1"/>
                <w14:textFill>
                  <w14:solidFill>
                    <w14:schemeClr w14:val="tx1"/>
                  </w14:solidFill>
                </w14:textFill>
              </w:rPr>
              <w:t>铺设</w:t>
            </w:r>
            <w:r>
              <w:rPr>
                <w:color w:val="000000" w:themeColor="text1"/>
                <w14:textFill>
                  <w14:solidFill>
                    <w14:schemeClr w14:val="tx1"/>
                  </w14:solidFill>
                </w14:textFill>
              </w:rPr>
              <w:t>之前，</w:t>
            </w:r>
            <w:r>
              <w:rPr>
                <w:rFonts w:hint="eastAsia"/>
                <w:color w:val="000000" w:themeColor="text1"/>
                <w14:textFill>
                  <w14:solidFill>
                    <w14:schemeClr w14:val="tx1"/>
                  </w14:solidFill>
                </w14:textFill>
              </w:rPr>
              <w:t>必须对场内底部</w:t>
            </w:r>
            <w:r>
              <w:rPr>
                <w:color w:val="000000" w:themeColor="text1"/>
                <w14:textFill>
                  <w14:solidFill>
                    <w14:schemeClr w14:val="tx1"/>
                  </w14:solidFill>
                </w14:textFill>
              </w:rPr>
              <w:t>进行清理、压实</w:t>
            </w:r>
            <w:r>
              <w:rPr>
                <w:rFonts w:hint="eastAsia"/>
                <w:color w:val="000000" w:themeColor="text1"/>
                <w14:textFill>
                  <w14:solidFill>
                    <w14:schemeClr w14:val="tx1"/>
                  </w14:solidFill>
                </w14:textFill>
              </w:rPr>
              <w:t>、整平</w:t>
            </w:r>
            <w:r>
              <w:rPr>
                <w:color w:val="000000" w:themeColor="text1"/>
                <w14:textFill>
                  <w14:solidFill>
                    <w14:schemeClr w14:val="tx1"/>
                  </w14:solidFill>
                </w14:textFill>
              </w:rPr>
              <w:t>。</w:t>
            </w:r>
            <w:r>
              <w:rPr>
                <w:rFonts w:hint="eastAsia"/>
                <w:color w:val="000000" w:themeColor="text1"/>
                <w:kern w:val="0"/>
                <w:lang w:bidi="ar"/>
                <w14:textFill>
                  <w14:solidFill>
                    <w14:schemeClr w14:val="tx1"/>
                  </w14:solidFill>
                </w14:textFill>
              </w:rPr>
              <w:t>开挖产生的土石方、危岩清理的碎石用于矿坑底部压实，不设置弃渣场。</w:t>
            </w:r>
          </w:p>
          <w:p w14:paraId="0137E65C">
            <w:pPr>
              <w:widowControl/>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2）生活垃圾</w:t>
            </w:r>
          </w:p>
          <w:p w14:paraId="565CEB68">
            <w:pPr>
              <w:widowControl/>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项目施工人员均为当地人，施工高峰期人员约30人，不在施工现场食宿，施工人员生活垃圾产生量以每人每天</w:t>
            </w:r>
            <w:r>
              <w:rPr>
                <w:color w:val="000000" w:themeColor="text1"/>
                <w:kern w:val="0"/>
                <w:lang w:bidi="ar"/>
                <w14:textFill>
                  <w14:solidFill>
                    <w14:schemeClr w14:val="tx1"/>
                  </w14:solidFill>
                </w14:textFill>
              </w:rPr>
              <w:t>0.5kg</w:t>
            </w:r>
            <w:r>
              <w:rPr>
                <w:rFonts w:hint="eastAsia"/>
                <w:color w:val="000000" w:themeColor="text1"/>
                <w:kern w:val="0"/>
                <w:lang w:bidi="ar"/>
                <w14:textFill>
                  <w14:solidFill>
                    <w14:schemeClr w14:val="tx1"/>
                  </w14:solidFill>
                </w14:textFill>
              </w:rPr>
              <w:t>计，施工人员产生的生活垃圾约15</w:t>
            </w:r>
            <w:r>
              <w:rPr>
                <w:color w:val="000000" w:themeColor="text1"/>
                <w:kern w:val="0"/>
                <w:lang w:bidi="ar"/>
                <w14:textFill>
                  <w14:solidFill>
                    <w14:schemeClr w14:val="tx1"/>
                  </w14:solidFill>
                </w14:textFill>
              </w:rPr>
              <w:t>kg/d</w:t>
            </w:r>
            <w:r>
              <w:rPr>
                <w:rFonts w:hint="eastAsia"/>
                <w:color w:val="000000" w:themeColor="text1"/>
                <w:kern w:val="0"/>
                <w:lang w:bidi="ar"/>
                <w14:textFill>
                  <w14:solidFill>
                    <w14:schemeClr w14:val="tx1"/>
                  </w14:solidFill>
                </w14:textFill>
              </w:rPr>
              <w:t>。施工期施工人员生活垃圾经集中收集后清运至最近村庄垃圾收集点处置，由环卫部门清运。</w:t>
            </w:r>
          </w:p>
          <w:p w14:paraId="774DDBE7">
            <w:pPr>
              <w:widowControl/>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施工人员粪便产生量按</w:t>
            </w:r>
            <w:r>
              <w:rPr>
                <w:color w:val="000000" w:themeColor="text1"/>
                <w:kern w:val="0"/>
                <w:lang w:bidi="ar"/>
                <w14:textFill>
                  <w14:solidFill>
                    <w14:schemeClr w14:val="tx1"/>
                  </w14:solidFill>
                </w14:textFill>
              </w:rPr>
              <w:t>0.25kg/</w:t>
            </w:r>
            <w:r>
              <w:rPr>
                <w:rFonts w:hint="eastAsia"/>
                <w:color w:val="000000" w:themeColor="text1"/>
                <w:kern w:val="0"/>
                <w:lang w:bidi="ar"/>
                <w14:textFill>
                  <w14:solidFill>
                    <w14:schemeClr w14:val="tx1"/>
                  </w14:solidFill>
                </w14:textFill>
              </w:rPr>
              <w:t>人</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天计算，产生粪便量共计7.5</w:t>
            </w:r>
            <w:r>
              <w:rPr>
                <w:color w:val="000000" w:themeColor="text1"/>
                <w:kern w:val="0"/>
                <w:lang w:bidi="ar"/>
                <w14:textFill>
                  <w14:solidFill>
                    <w14:schemeClr w14:val="tx1"/>
                  </w14:solidFill>
                </w14:textFill>
              </w:rPr>
              <w:t>kg/d</w:t>
            </w:r>
            <w:r>
              <w:rPr>
                <w:rFonts w:hint="eastAsia"/>
                <w:color w:val="000000" w:themeColor="text1"/>
                <w:kern w:val="0"/>
                <w:lang w:bidi="ar"/>
                <w14:textFill>
                  <w14:solidFill>
                    <w14:schemeClr w14:val="tx1"/>
                  </w14:solidFill>
                </w14:textFill>
              </w:rPr>
              <w:t>，项目区新建临时旱厕1个，旱厕粪便委托环卫部门定期清运，待施工结束后拆除旱厕。</w:t>
            </w:r>
          </w:p>
          <w:p w14:paraId="1CEC0931">
            <w:pPr>
              <w:widowControl/>
              <w:ind w:firstLine="482"/>
              <w:rPr>
                <w:b/>
                <w:bCs/>
                <w:color w:val="000000" w:themeColor="text1"/>
                <w14:textFill>
                  <w14:solidFill>
                    <w14:schemeClr w14:val="tx1"/>
                  </w14:solidFill>
                </w14:textFill>
              </w:rPr>
            </w:pPr>
            <w:r>
              <w:rPr>
                <w:b/>
                <w:bCs/>
                <w:color w:val="000000" w:themeColor="text1"/>
                <w:kern w:val="0"/>
                <w:lang w:bidi="ar"/>
                <w14:textFill>
                  <w14:solidFill>
                    <w14:schemeClr w14:val="tx1"/>
                  </w14:solidFill>
                </w14:textFill>
              </w:rPr>
              <w:t>3</w:t>
            </w:r>
            <w:r>
              <w:rPr>
                <w:rFonts w:hint="eastAsia"/>
                <w:b/>
                <w:bCs/>
                <w:color w:val="000000" w:themeColor="text1"/>
                <w:kern w:val="0"/>
                <w:lang w:bidi="ar"/>
                <w14:textFill>
                  <w14:solidFill>
                    <w14:schemeClr w14:val="tx1"/>
                  </w14:solidFill>
                </w14:textFill>
              </w:rPr>
              <w:t>）临时沉淀池及渗滤液收集井沉渣</w:t>
            </w:r>
          </w:p>
          <w:p w14:paraId="5B510058">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临时沉淀池及渗滤液收集井的沉渣，定期进行清理，清理出来的污泥约</w:t>
            </w:r>
            <w:r>
              <w:rPr>
                <w:color w:val="000000" w:themeColor="text1"/>
                <w:kern w:val="0"/>
                <w:lang w:bidi="ar"/>
                <w14:textFill>
                  <w14:solidFill>
                    <w14:schemeClr w14:val="tx1"/>
                  </w14:solidFill>
                </w14:textFill>
              </w:rPr>
              <w:t>3t/a</w:t>
            </w:r>
            <w:r>
              <w:rPr>
                <w:rFonts w:hint="eastAsia"/>
                <w:color w:val="000000" w:themeColor="text1"/>
                <w:kern w:val="0"/>
                <w:lang w:bidi="ar"/>
                <w14:textFill>
                  <w14:solidFill>
                    <w14:schemeClr w14:val="tx1"/>
                  </w14:solidFill>
                </w14:textFill>
              </w:rPr>
              <w:t>，装袋沥水晾干后用于回填区回填。</w:t>
            </w:r>
          </w:p>
          <w:p w14:paraId="4C2FB933">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4）拆除工程产生的建筑垃圾</w:t>
            </w:r>
          </w:p>
          <w:p w14:paraId="07A281DA">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现场遗留建筑物主要为</w:t>
            </w:r>
            <w:r>
              <w:rPr>
                <w:rFonts w:hint="eastAsia"/>
                <w:color w:val="000000" w:themeColor="text1"/>
                <w:kern w:val="0"/>
                <w:lang w:val="en-US" w:eastAsia="zh-CN" w:bidi="ar"/>
                <w14:textFill>
                  <w14:solidFill>
                    <w14:schemeClr w14:val="tx1"/>
                  </w14:solidFill>
                </w14:textFill>
              </w:rPr>
              <w:t>原采石场遗留生产车间</w:t>
            </w:r>
            <w:r>
              <w:rPr>
                <w:rFonts w:hint="eastAsia"/>
                <w:color w:val="000000" w:themeColor="text1"/>
                <w:kern w:val="0"/>
                <w:lang w:bidi="ar"/>
                <w14:textFill>
                  <w14:solidFill>
                    <w14:schemeClr w14:val="tx1"/>
                  </w14:solidFill>
                </w14:textFill>
              </w:rPr>
              <w:t>，均为</w:t>
            </w:r>
            <w:r>
              <w:rPr>
                <w:rFonts w:hint="eastAsia"/>
                <w:color w:val="000000" w:themeColor="text1"/>
                <w:kern w:val="0"/>
                <w:lang w:val="en-US" w:eastAsia="zh-CN" w:bidi="ar"/>
                <w14:textFill>
                  <w14:solidFill>
                    <w14:schemeClr w14:val="tx1"/>
                  </w14:solidFill>
                </w14:textFill>
              </w:rPr>
              <w:t>彩钢瓦</w:t>
            </w:r>
            <w:r>
              <w:rPr>
                <w:rFonts w:hint="eastAsia"/>
                <w:color w:val="000000" w:themeColor="text1"/>
                <w:kern w:val="0"/>
                <w:lang w:bidi="ar"/>
                <w14:textFill>
                  <w14:solidFill>
                    <w14:schemeClr w14:val="tx1"/>
                  </w14:solidFill>
                </w14:textFill>
              </w:rPr>
              <w:t>结构，拆除遗留建筑物时产生的建筑垃圾产生量约500m</w:t>
            </w:r>
            <w:r>
              <w:rPr>
                <w:rFonts w:hint="eastAsia"/>
                <w:color w:val="000000" w:themeColor="text1"/>
                <w:kern w:val="0"/>
                <w:vertAlign w:val="superscript"/>
                <w:lang w:bidi="ar"/>
                <w14:textFill>
                  <w14:solidFill>
                    <w14:schemeClr w14:val="tx1"/>
                  </w14:solidFill>
                </w14:textFill>
              </w:rPr>
              <w:t>3</w:t>
            </w:r>
            <w:r>
              <w:rPr>
                <w:rFonts w:hint="eastAsia"/>
                <w:color w:val="000000" w:themeColor="text1"/>
                <w:kern w:val="0"/>
                <w:lang w:bidi="ar"/>
                <w14:textFill>
                  <w14:solidFill>
                    <w14:schemeClr w14:val="tx1"/>
                  </w14:solidFill>
                </w14:textFill>
              </w:rPr>
              <w:t>，清运至政府指定地点进行处置。</w:t>
            </w:r>
          </w:p>
          <w:p w14:paraId="095DB917">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6、土壤影响分析</w:t>
            </w:r>
          </w:p>
          <w:p w14:paraId="108134D1">
            <w:pPr>
              <w:widowControl/>
              <w:ind w:firstLine="482"/>
              <w:rPr>
                <w:b/>
                <w:bCs/>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1</w:t>
            </w:r>
            <w:r>
              <w:rPr>
                <w:rFonts w:hint="eastAsia"/>
                <w:b/>
                <w:bCs/>
                <w:color w:val="000000" w:themeColor="text1"/>
                <w:kern w:val="0"/>
                <w:lang w:bidi="ar"/>
                <w14:textFill>
                  <w14:solidFill>
                    <w14:schemeClr w14:val="tx1"/>
                  </w14:solidFill>
                </w14:textFill>
              </w:rPr>
              <w:t>）影响途径</w:t>
            </w:r>
          </w:p>
          <w:p w14:paraId="6A583C05">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项目为矿山生态修复，对土壤主要影响表现为：</w:t>
            </w:r>
          </w:p>
          <w:p w14:paraId="78E71501">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①项目施工期产生的粉尘沉降对周边土壤的影响。</w:t>
            </w:r>
          </w:p>
          <w:p w14:paraId="5AA43990">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②施工期渗滤液发生泄漏，渗滤液中氟化物会造成土壤中氟化物升高，对土壤造成污染。</w:t>
            </w:r>
          </w:p>
          <w:p w14:paraId="4721AFFF">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③回填生态修复材料对区域土壤的影响。生态修复材料类别与区域的差异造成当地原有土壤理化特性的变化。</w:t>
            </w:r>
          </w:p>
          <w:p w14:paraId="585D9F50">
            <w:pPr>
              <w:widowControl/>
              <w:ind w:firstLine="482"/>
              <w:rPr>
                <w:b/>
                <w:bCs/>
                <w:color w:val="000000" w:themeColor="text1"/>
                <w:kern w:val="0"/>
                <w:lang w:bidi="ar"/>
                <w14:textFill>
                  <w14:solidFill>
                    <w14:schemeClr w14:val="tx1"/>
                  </w14:solidFill>
                </w14:textFill>
              </w:rPr>
            </w:pPr>
            <w:r>
              <w:rPr>
                <w:b/>
                <w:bCs/>
                <w:color w:val="000000" w:themeColor="text1"/>
                <w:kern w:val="0"/>
                <w:lang w:bidi="ar"/>
                <w14:textFill>
                  <w14:solidFill>
                    <w14:schemeClr w14:val="tx1"/>
                  </w14:solidFill>
                </w14:textFill>
              </w:rPr>
              <w:t>2</w:t>
            </w:r>
            <w:r>
              <w:rPr>
                <w:rFonts w:hint="eastAsia"/>
                <w:b/>
                <w:bCs/>
                <w:color w:val="000000" w:themeColor="text1"/>
                <w:kern w:val="0"/>
                <w:lang w:bidi="ar"/>
                <w14:textFill>
                  <w14:solidFill>
                    <w14:schemeClr w14:val="tx1"/>
                  </w14:solidFill>
                </w14:textFill>
              </w:rPr>
              <w:t>）土壤影响分析</w:t>
            </w:r>
          </w:p>
          <w:p w14:paraId="056F8D5F">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渗滤液收集井采用混凝土浇灌地埋形式，池底及四周均采用</w:t>
            </w:r>
            <w:r>
              <w:rPr>
                <w:color w:val="000000" w:themeColor="text1"/>
                <w:kern w:val="0"/>
                <w:lang w:bidi="ar"/>
                <w14:textFill>
                  <w14:solidFill>
                    <w14:schemeClr w14:val="tx1"/>
                  </w14:solidFill>
                </w14:textFill>
              </w:rPr>
              <w:t>15m</w:t>
            </w:r>
            <w:r>
              <w:rPr>
                <w:rFonts w:hint="eastAsia"/>
                <w:color w:val="000000" w:themeColor="text1"/>
                <w:kern w:val="0"/>
                <w:lang w:bidi="ar"/>
                <w14:textFill>
                  <w14:solidFill>
                    <w14:schemeClr w14:val="tx1"/>
                  </w14:solidFill>
                </w14:textFill>
              </w:rPr>
              <w:t>m厚的混合砂浆保护层、顶面为</w:t>
            </w:r>
            <w:r>
              <w:rPr>
                <w:color w:val="000000" w:themeColor="text1"/>
                <w:kern w:val="0"/>
                <w:lang w:bidi="ar"/>
                <w14:textFill>
                  <w14:solidFill>
                    <w14:schemeClr w14:val="tx1"/>
                  </w14:solidFill>
                </w14:textFill>
              </w:rPr>
              <w:t>120mm</w:t>
            </w:r>
            <w:r>
              <w:rPr>
                <w:rFonts w:hint="eastAsia"/>
                <w:color w:val="000000" w:themeColor="text1"/>
                <w:kern w:val="0"/>
                <w:lang w:bidi="ar"/>
                <w14:textFill>
                  <w14:solidFill>
                    <w14:schemeClr w14:val="tx1"/>
                  </w14:solidFill>
                </w14:textFill>
              </w:rPr>
              <w:t>厚钢筋混凝土盖，定期检查发现开裂及时修复，渗滤液及时抽排。正常情况下，回填区域渗滤液泄漏的概率很低。</w:t>
            </w:r>
          </w:p>
          <w:p w14:paraId="14A58597">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环评要求回填的改性磷石膏需达到《改性磷石膏用于矿山废弃地生态修复回填技术规范》（DB53/T1269-2024）中标准要求后，才允许入场回填；在施工过程中严格按照回填方案进行施工，渗滤液收集于渗滤液收集井内。且项目区施工过程严格落实防渗措施，对回填区采取两布一膜防渗，确保防渗要求达到《改性磷石膏用于矿山废弃地生态修复回填技术规范》（DB53/T1269-2024）要求。</w:t>
            </w:r>
          </w:p>
          <w:p w14:paraId="6E42FD29">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在采取以上措施后，区域渗滤液泄漏的概率很低，引起土壤酸化的可能性不大，对土壤环境的影响较小。</w:t>
            </w:r>
          </w:p>
          <w:p w14:paraId="702B8FBA">
            <w:pPr>
              <w:ind w:firstLine="480"/>
              <w:rPr>
                <w:b/>
                <w:bCs/>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项目实施后，林草植被覆盖率的增加，能改善土壤物理、化学性状，提高土壤肥力，项目实施对该区域土壤结构改善有积极意义</w:t>
            </w:r>
            <w:r>
              <w:rPr>
                <w:rFonts w:hint="eastAsia"/>
                <w:color w:val="000000" w:themeColor="text1"/>
                <w14:textFill>
                  <w14:solidFill>
                    <w14:schemeClr w14:val="tx1"/>
                  </w14:solidFill>
                </w14:textFill>
              </w:rPr>
              <w:t>。</w:t>
            </w:r>
          </w:p>
          <w:p w14:paraId="3D2DFCA9">
            <w:pPr>
              <w:numPr>
                <w:ilvl w:val="0"/>
                <w:numId w:val="7"/>
              </w:numPr>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土壤环境保护措施</w:t>
            </w:r>
          </w:p>
          <w:p w14:paraId="645BF091">
            <w:pPr>
              <w:widowControl/>
              <w:adjustRightInd w:val="0"/>
              <w:snapToGrid w:val="0"/>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①渗滤液收集井采用混凝土浇灌地埋形式，池底及四周均采用</w:t>
            </w:r>
            <w:r>
              <w:rPr>
                <w:color w:val="000000" w:themeColor="text1"/>
                <w:kern w:val="0"/>
                <w:lang w:bidi="ar"/>
                <w14:textFill>
                  <w14:solidFill>
                    <w14:schemeClr w14:val="tx1"/>
                  </w14:solidFill>
                </w14:textFill>
              </w:rPr>
              <w:t>15m</w:t>
            </w:r>
            <w:r>
              <w:rPr>
                <w:rFonts w:hint="eastAsia"/>
                <w:color w:val="000000" w:themeColor="text1"/>
                <w:kern w:val="0"/>
                <w:lang w:bidi="ar"/>
                <w14:textFill>
                  <w14:solidFill>
                    <w14:schemeClr w14:val="tx1"/>
                  </w14:solidFill>
                </w14:textFill>
              </w:rPr>
              <w:t>m厚的混合砂浆保护层、顶面为</w:t>
            </w:r>
            <w:r>
              <w:rPr>
                <w:color w:val="000000" w:themeColor="text1"/>
                <w:kern w:val="0"/>
                <w:lang w:bidi="ar"/>
                <w14:textFill>
                  <w14:solidFill>
                    <w14:schemeClr w14:val="tx1"/>
                  </w14:solidFill>
                </w14:textFill>
              </w:rPr>
              <w:t>120mm</w:t>
            </w:r>
            <w:r>
              <w:rPr>
                <w:rFonts w:hint="eastAsia"/>
                <w:color w:val="000000" w:themeColor="text1"/>
                <w:kern w:val="0"/>
                <w:lang w:bidi="ar"/>
                <w14:textFill>
                  <w14:solidFill>
                    <w14:schemeClr w14:val="tx1"/>
                  </w14:solidFill>
                </w14:textFill>
              </w:rPr>
              <w:t>厚钢筋混凝土盖，定期检查发现开裂及时修复，渗滤液及时抽排。</w:t>
            </w:r>
          </w:p>
          <w:p w14:paraId="0E70891F">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②回填修复区采用按照设计规范进行防渗，避免渗滤液泄漏下渗对土壤环境产生影响。</w:t>
            </w:r>
          </w:p>
          <w:p w14:paraId="7C963A6C">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③矿山修复材料应满足《改性磷石膏用于矿山废弃地生态修复回填技术规范》（DB53/T1269-2024）中标准要求后，才允许入场回填。</w:t>
            </w:r>
          </w:p>
          <w:p w14:paraId="03DB13A7">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④在施工过程中严格按照回填方案进行施工，渗滤液收集于渗滤液收集井内，用于回填区洒水降尘。</w:t>
            </w:r>
          </w:p>
          <w:p w14:paraId="3165BA8A">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⑤对每批次覆土成分进行监测，确保覆土满足《土壤环境质量农用地土壤污染风险管控标准（试行）》（</w:t>
            </w:r>
            <w:r>
              <w:rPr>
                <w:color w:val="000000" w:themeColor="text1"/>
                <w:kern w:val="0"/>
                <w:lang w:bidi="ar"/>
                <w14:textFill>
                  <w14:solidFill>
                    <w14:schemeClr w14:val="tx1"/>
                  </w14:solidFill>
                </w14:textFill>
              </w:rPr>
              <w:t>GB</w:t>
            </w:r>
            <w:r>
              <w:rPr>
                <w:rFonts w:hint="eastAsia"/>
                <w:color w:val="000000" w:themeColor="text1"/>
                <w:kern w:val="0"/>
                <w:lang w:bidi="ar"/>
                <w14:textFill>
                  <w14:solidFill>
                    <w14:schemeClr w14:val="tx1"/>
                  </w14:solidFill>
                </w14:textFill>
              </w:rPr>
              <w:t>15618</w:t>
            </w:r>
            <w:r>
              <w:rPr>
                <w:color w:val="000000" w:themeColor="text1"/>
                <w:kern w:val="0"/>
                <w:lang w:bidi="ar"/>
                <w14:textFill>
                  <w14:solidFill>
                    <w14:schemeClr w14:val="tx1"/>
                  </w14:solidFill>
                </w14:textFill>
              </w:rPr>
              <w:t>-2018</w:t>
            </w:r>
            <w:r>
              <w:rPr>
                <w:rFonts w:hint="eastAsia"/>
                <w:color w:val="000000" w:themeColor="text1"/>
                <w:kern w:val="0"/>
                <w:lang w:bidi="ar"/>
                <w14:textFill>
                  <w14:solidFill>
                    <w14:schemeClr w14:val="tx1"/>
                  </w14:solidFill>
                </w14:textFill>
              </w:rPr>
              <w:t>）的要求才可进行使用，土地复垦实施过程应满足《土地复垦质量控制标准》（TD/T 1036）规定的相关土地复垦质量控制要求。</w:t>
            </w:r>
          </w:p>
          <w:p w14:paraId="6ED25523">
            <w:pPr>
              <w:adjustRightInd w:val="0"/>
              <w:snapToGrid w:val="0"/>
              <w:ind w:firstLine="480"/>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⑦项目区施工过程需严格落实防渗措施。</w:t>
            </w:r>
          </w:p>
          <w:p w14:paraId="5EF804E0">
            <w:pPr>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底部及岸坡防渗层结构防渗：在修复区场地铺设两横一纵导排盲沟，场地整平后，铺设0.75m厚黏土层，压实好后依次铺设聚酯长丝土工布，单位面积质量300g/m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，纵横向断裂强度≥15KN/m，CBR顶破强力≥2.9KN，1.5mm的HDPE防渗膜；300g/m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聚酯长丝土工布防渗层。</w:t>
            </w:r>
          </w:p>
          <w:p w14:paraId="4AA99691">
            <w:pPr>
              <w:adjustRightIn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顶部防渗：回填料回填结束压实后，回填区顶部平台、堆积分台及坡面依次铺设300g/m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土工布、1.5mm的HDPE防渗膜、300g/m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土工布防渗层。</w:t>
            </w:r>
          </w:p>
          <w:p w14:paraId="4E15A9E3">
            <w:pPr>
              <w:adjustRightInd w:val="0"/>
              <w:ind w:firstLine="480"/>
              <w:rPr>
                <w:rFonts w:hint="eastAsia" w:ascii="宋体" w:hAnsi="宋体" w:cs="宋体"/>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拦挡坝体内坡防渗结构防渗：拦挡体内坡面碾压平整完成后，铺设一层75cm厚的粘土，接着铺设热粘连两布一膜（聚酯长丝土工布（300g/m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）+1.5mmHDPE土工膜+聚酯长丝土工布（300g/m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），并与场底防渗膜相连。</w:t>
            </w:r>
          </w:p>
          <w:p w14:paraId="2AAB5229">
            <w:pPr>
              <w:widowControl/>
              <w:adjustRightInd w:val="0"/>
              <w:snapToGrid w:val="0"/>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7、环境风险分析</w:t>
            </w:r>
          </w:p>
          <w:p w14:paraId="2B38A2AF">
            <w:pPr>
              <w:widowControl/>
              <w:adjustRightInd w:val="0"/>
              <w:snapToGrid w:val="0"/>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（1）环境风险源调查</w:t>
            </w:r>
          </w:p>
          <w:p w14:paraId="0527702F">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1）项目修复材料回填施工期环境风险源调查</w:t>
            </w:r>
          </w:p>
          <w:p w14:paraId="3F606451">
            <w:pPr>
              <w:widowControl/>
              <w:adjustRightIn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①渗滤液进入地下水，造成地下水的污染风险；</w:t>
            </w:r>
          </w:p>
          <w:p w14:paraId="4F17517E">
            <w:pPr>
              <w:widowControl/>
              <w:adjustRightIn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②回填体滑坡、垮塌对下游植被、耕地、土壤造成一定的环境风险；</w:t>
            </w:r>
          </w:p>
          <w:p w14:paraId="58A20AE9">
            <w:pPr>
              <w:widowControl/>
              <w:adjustRightIn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③磷石膏生态修复材料改性不达标，造成地下水的污染风险；</w:t>
            </w:r>
          </w:p>
          <w:p w14:paraId="5E3A747A">
            <w:pPr>
              <w:widowControl/>
              <w:adjustRightIn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④磷石膏车辆运输过程因包装密封不严出现抛洒而使废物散落，交通事故（车祸），对周边环境造成一定的环境风险。</w:t>
            </w:r>
          </w:p>
          <w:p w14:paraId="6374E663">
            <w:pPr>
              <w:widowControl/>
              <w:adjustRightIn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2）项目绿化覆土施工过程环境风险源调查</w:t>
            </w:r>
          </w:p>
          <w:p w14:paraId="71367B52">
            <w:pPr>
              <w:ind w:firstLine="480"/>
              <w:rPr>
                <w:color w:val="000000" w:themeColor="text1"/>
                <w14:textFill>
                  <w14:solidFill>
                    <w14:schemeClr w14:val="tx1"/>
                  </w14:solidFill>
                </w14:textFill>
              </w:rPr>
            </w:pPr>
            <w:r>
              <w:rPr>
                <w:color w:val="000000" w:themeColor="text1"/>
                <w:kern w:val="0"/>
                <w:lang w:bidi="ar"/>
                <w14:textFill>
                  <w14:solidFill>
                    <w14:schemeClr w14:val="tx1"/>
                  </w14:solidFill>
                </w14:textFill>
              </w:rPr>
              <w:t>项目改性磷石膏材料堆存结束后需在顶部进行防渗，防渗结束开始覆土工程，</w:t>
            </w:r>
            <w:r>
              <w:rPr>
                <w:color w:val="000000" w:themeColor="text1"/>
                <w14:textFill>
                  <w14:solidFill>
                    <w14:schemeClr w14:val="tx1"/>
                  </w14:solidFill>
                </w14:textFill>
              </w:rPr>
              <w:t>回填区全面覆土100cm耕植土，</w:t>
            </w:r>
            <w:r>
              <w:rPr>
                <w:color w:val="000000" w:themeColor="text1"/>
                <w:spacing w:val="10"/>
                <w14:textFill>
                  <w14:solidFill>
                    <w14:schemeClr w14:val="tx1"/>
                  </w14:solidFill>
                </w14:textFill>
              </w:rPr>
              <w:t>平台区复垦</w:t>
            </w:r>
            <w:r>
              <w:rPr>
                <w:color w:val="000000" w:themeColor="text1"/>
                <w14:textFill>
                  <w14:solidFill>
                    <w14:schemeClr w14:val="tx1"/>
                  </w14:solidFill>
                </w14:textFill>
              </w:rPr>
              <w:t>为旱地，斜坡区复垦为草地，非回填区</w:t>
            </w:r>
            <w:r>
              <w:rPr>
                <w:rFonts w:hint="eastAsia"/>
                <w:color w:val="000000" w:themeColor="text1"/>
                <w14:textFill>
                  <w14:solidFill>
                    <w14:schemeClr w14:val="tx1"/>
                  </w14:solidFill>
                </w14:textFill>
              </w:rPr>
              <w:t>采取挖坑</w:t>
            </w:r>
            <w:r>
              <w:rPr>
                <w:color w:val="000000" w:themeColor="text1"/>
                <w14:textFill>
                  <w14:solidFill>
                    <w14:schemeClr w14:val="tx1"/>
                  </w14:solidFill>
                </w14:textFill>
              </w:rPr>
              <w:t>覆土50</w:t>
            </w:r>
            <w:r>
              <w:rPr>
                <w:rFonts w:hint="eastAsia"/>
                <w:color w:val="000000" w:themeColor="text1"/>
                <w14:textFill>
                  <w14:solidFill>
                    <w14:schemeClr w14:val="tx1"/>
                  </w14:solidFill>
                </w14:textFill>
              </w:rPr>
              <w:t>-</w:t>
            </w:r>
            <w:r>
              <w:rPr>
                <w:color w:val="000000" w:themeColor="text1"/>
                <w14:textFill>
                  <w14:solidFill>
                    <w14:schemeClr w14:val="tx1"/>
                  </w14:solidFill>
                </w14:textFill>
              </w:rPr>
              <w:t>80cm耕植土，恢复为乔木林地。</w:t>
            </w:r>
            <w:r>
              <w:rPr>
                <w:rFonts w:hint="eastAsia"/>
                <w:color w:val="000000" w:themeColor="text1"/>
                <w14:textFill>
                  <w14:solidFill>
                    <w14:schemeClr w14:val="tx1"/>
                  </w14:solidFill>
                </w14:textFill>
              </w:rPr>
              <w:t>覆土过程可能会由于施工失误导致防渗层破损，进而导致渗滤液泄露至外环境。</w:t>
            </w:r>
          </w:p>
          <w:p w14:paraId="6237BAAD">
            <w:pPr>
              <w:widowControl/>
              <w:adjustRightInd w:val="0"/>
              <w:snapToGrid w:val="0"/>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（2）环境风险分析</w:t>
            </w:r>
          </w:p>
          <w:p w14:paraId="301A14E8">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1）项目修复材料回填施工期环境风险分析</w:t>
            </w:r>
          </w:p>
          <w:p w14:paraId="0B45EFE8">
            <w:pPr>
              <w:widowControl/>
              <w:adjustRightInd w:val="0"/>
              <w:snapToGrid w:val="0"/>
              <w:ind w:firstLine="48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①</w:t>
            </w:r>
            <w:r>
              <w:rPr>
                <w:rFonts w:hint="eastAsia"/>
                <w:color w:val="000000" w:themeColor="text1"/>
                <w:kern w:val="0"/>
                <w:lang w:bidi="ar"/>
                <w14:textFill>
                  <w14:solidFill>
                    <w14:schemeClr w14:val="tx1"/>
                  </w14:solidFill>
                </w14:textFill>
              </w:rPr>
              <w:t>土壤环境风险</w:t>
            </w:r>
          </w:p>
          <w:p w14:paraId="5A366486">
            <w:pPr>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根据《云南省寻甸县大旋塘采石场废弃矿坑生态修复环境风险评估报告》，本项目</w:t>
            </w:r>
            <w:r>
              <w:rPr>
                <w:rFonts w:hint="eastAsia"/>
                <w:color w:val="000000" w:themeColor="text1"/>
                <w14:textFill>
                  <w14:solidFill>
                    <w14:schemeClr w14:val="tx1"/>
                  </w14:solidFill>
                </w14:textFill>
              </w:rPr>
              <w:t>对土壤主要影响表现为：</w:t>
            </w:r>
          </w:p>
          <w:p w14:paraId="7E50363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a.项目施工期产生的粉尘沉降、机械维修废机油对周边土壤的影响。</w:t>
            </w:r>
          </w:p>
          <w:p w14:paraId="5DFF22EA">
            <w:pPr>
              <w:widowControl/>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b.</w:t>
            </w:r>
            <w:r>
              <w:rPr>
                <w:rFonts w:hint="eastAsia"/>
                <w:color w:val="000000" w:themeColor="text1"/>
                <w:kern w:val="0"/>
                <w:lang w:bidi="ar"/>
                <w14:textFill>
                  <w14:solidFill>
                    <w14:schemeClr w14:val="tx1"/>
                  </w14:solidFill>
                </w14:textFill>
              </w:rPr>
              <w:t>施工期如渗滤液发生泄漏，渗滤液中氟化物会造成土壤中氟化物升高，对土壤造成污染。</w:t>
            </w:r>
          </w:p>
          <w:p w14:paraId="0B9EE43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c.回填生态修复材料对区域土壤的影响。生态修复材料类别与区域的差异造成当地原有土壤理化特性的变化。</w:t>
            </w:r>
          </w:p>
          <w:p w14:paraId="5951A100">
            <w:pPr>
              <w:widowControl/>
              <w:ind w:firstLine="480"/>
              <w:rPr>
                <w:color w:val="000000" w:themeColor="text1"/>
                <w:kern w:val="0"/>
                <w:lang w:bidi="ar"/>
                <w14:textFill>
                  <w14:solidFill>
                    <w14:schemeClr w14:val="tx1"/>
                  </w14:solidFill>
                </w14:textFill>
              </w:rPr>
            </w:pPr>
            <w:r>
              <w:rPr>
                <w:rFonts w:hint="eastAsia"/>
                <w:color w:val="000000" w:themeColor="text1"/>
                <w14:textFill>
                  <w14:solidFill>
                    <w14:schemeClr w14:val="tx1"/>
                  </w14:solidFill>
                </w14:textFill>
              </w:rPr>
              <w:t>针对以上影响，项目防渗工程按照《改性磷石膏用于矿山废弃地生态修复回填技术规范》（DB53/T1269-2024）要求进行；</w:t>
            </w:r>
          </w:p>
          <w:p w14:paraId="4B6C860D">
            <w:pPr>
              <w:adjustRightInd w:val="0"/>
              <w:ind w:firstLine="480" w:firstLineChars="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根据项目设计参照磷石膏堆存防渗要求对矿坑场底及岸坡进行全防渗处置。底部及岸坡防渗层结构为在场地整平后，铺0.75m厚黏土层，然后依次铺设聚酯长丝土工布，HDPE防渗膜（渗透系数≤1.0×10</w:t>
            </w:r>
            <w:r>
              <w:rPr>
                <w:rFonts w:hint="eastAsia"/>
                <w:color w:val="000000" w:themeColor="text1"/>
                <w:kern w:val="0"/>
                <w:vertAlign w:val="superscript"/>
                <w:lang w:bidi="ar"/>
                <w14:textFill>
                  <w14:solidFill>
                    <w14:schemeClr w14:val="tx1"/>
                  </w14:solidFill>
                </w14:textFill>
              </w:rPr>
              <w:t>-7</w:t>
            </w:r>
            <w:r>
              <w:rPr>
                <w:rFonts w:hint="eastAsia"/>
                <w:color w:val="000000" w:themeColor="text1"/>
                <w:kern w:val="0"/>
                <w:lang w:bidi="ar"/>
                <w14:textFill>
                  <w14:solidFill>
                    <w14:schemeClr w14:val="tx1"/>
                  </w14:solidFill>
                </w14:textFill>
              </w:rPr>
              <w:t>cm/s），聚酯长丝土工布防渗层。通过设置人工防渗系统将场地基底及岸坡与磷石膏基新型材料产品完全隔离，以达到防渗要求。</w:t>
            </w:r>
            <w:r>
              <w:rPr>
                <w:rFonts w:hint="eastAsia"/>
                <w:color w:val="000000" w:themeColor="text1"/>
                <w14:textFill>
                  <w14:solidFill>
                    <w14:schemeClr w14:val="tx1"/>
                  </w14:solidFill>
                </w14:textFill>
              </w:rPr>
              <w:t>避免</w:t>
            </w:r>
            <w:r>
              <w:rPr>
                <w:rFonts w:hint="eastAsia"/>
                <w:color w:val="000000" w:themeColor="text1"/>
                <w:kern w:val="0"/>
                <w:lang w:bidi="ar"/>
                <w14:textFill>
                  <w14:solidFill>
                    <w14:schemeClr w14:val="tx1"/>
                  </w14:solidFill>
                </w14:textFill>
              </w:rPr>
              <w:t>渗滤液</w:t>
            </w:r>
            <w:r>
              <w:rPr>
                <w:rFonts w:hint="eastAsia"/>
                <w:color w:val="000000" w:themeColor="text1"/>
                <w14:textFill>
                  <w14:solidFill>
                    <w14:schemeClr w14:val="tx1"/>
                  </w14:solidFill>
                </w14:textFill>
              </w:rPr>
              <w:t>泄漏下渗对土壤环境产生影响。设置地下水和</w:t>
            </w:r>
            <w:r>
              <w:rPr>
                <w:rFonts w:hint="eastAsia"/>
                <w:color w:val="000000" w:themeColor="text1"/>
                <w:kern w:val="0"/>
                <w:lang w:bidi="ar"/>
                <w14:textFill>
                  <w14:solidFill>
                    <w14:schemeClr w14:val="tx1"/>
                  </w14:solidFill>
                </w14:textFill>
              </w:rPr>
              <w:t>渗滤液收集井及回用水池</w:t>
            </w:r>
            <w:r>
              <w:rPr>
                <w:rFonts w:hint="eastAsia"/>
                <w:color w:val="000000" w:themeColor="text1"/>
                <w14:textFill>
                  <w14:solidFill>
                    <w14:schemeClr w14:val="tx1"/>
                  </w14:solidFill>
                </w14:textFill>
              </w:rPr>
              <w:t>各</w:t>
            </w:r>
            <w:r>
              <w:rPr>
                <w:rFonts w:hint="eastAsia"/>
                <w:color w:val="000000" w:themeColor="text1"/>
                <w:lang w:val="en-US" w:eastAsia="zh-CN"/>
                <w14:textFill>
                  <w14:solidFill>
                    <w14:schemeClr w14:val="tx1"/>
                  </w14:solidFill>
                </w14:textFill>
              </w:rPr>
              <w:t>2</w:t>
            </w:r>
            <w:r>
              <w:rPr>
                <w:rFonts w:hint="eastAsia"/>
                <w:color w:val="000000" w:themeColor="text1"/>
                <w14:textFill>
                  <w14:solidFill>
                    <w14:schemeClr w14:val="tx1"/>
                  </w14:solidFill>
                </w14:textFill>
              </w:rPr>
              <w:t>个，均采用C20混凝土浇筑，井底浇筑前先铺设C15素混凝土垫。定期检查及时修复，</w:t>
            </w:r>
            <w:r>
              <w:rPr>
                <w:rFonts w:hint="eastAsia"/>
                <w:color w:val="000000" w:themeColor="text1"/>
                <w:kern w:val="0"/>
                <w:lang w:bidi="ar"/>
                <w14:textFill>
                  <w14:solidFill>
                    <w14:schemeClr w14:val="tx1"/>
                  </w14:solidFill>
                </w14:textFill>
              </w:rPr>
              <w:t>渗滤液</w:t>
            </w:r>
            <w:r>
              <w:rPr>
                <w:rFonts w:hint="eastAsia"/>
                <w:color w:val="000000" w:themeColor="text1"/>
                <w14:textFill>
                  <w14:solidFill>
                    <w14:schemeClr w14:val="tx1"/>
                  </w14:solidFill>
                </w14:textFill>
              </w:rPr>
              <w:t>及时抽排。正常情况下，回填区域</w:t>
            </w:r>
            <w:r>
              <w:rPr>
                <w:rFonts w:hint="eastAsia"/>
                <w:color w:val="000000" w:themeColor="text1"/>
                <w:kern w:val="0"/>
                <w:lang w:bidi="ar"/>
                <w14:textFill>
                  <w14:solidFill>
                    <w14:schemeClr w14:val="tx1"/>
                  </w14:solidFill>
                </w14:textFill>
              </w:rPr>
              <w:t>渗滤液泄漏</w:t>
            </w:r>
            <w:r>
              <w:rPr>
                <w:rFonts w:hint="eastAsia"/>
                <w:color w:val="000000" w:themeColor="text1"/>
                <w14:textFill>
                  <w14:solidFill>
                    <w14:schemeClr w14:val="tx1"/>
                  </w14:solidFill>
                </w14:textFill>
              </w:rPr>
              <w:t>的概率很低。根据改性后磷石膏污染物含量分析</w:t>
            </w:r>
            <w:r>
              <w:rPr>
                <w:rFonts w:hint="eastAsia"/>
                <w:color w:val="000000" w:themeColor="text1"/>
                <w:kern w:val="0"/>
                <w:szCs w:val="21"/>
                <w14:textFill>
                  <w14:solidFill>
                    <w14:schemeClr w14:val="tx1"/>
                  </w14:solidFill>
                </w14:textFill>
              </w:rPr>
              <w:t>本项目使用的改性磷石膏渗滤液满足《污水综合排放标准》（</w:t>
            </w:r>
            <w:r>
              <w:rPr>
                <w:color w:val="000000" w:themeColor="text1"/>
                <w:kern w:val="0"/>
                <w:szCs w:val="21"/>
                <w14:textFill>
                  <w14:solidFill>
                    <w14:schemeClr w14:val="tx1"/>
                  </w14:solidFill>
                </w14:textFill>
              </w:rPr>
              <w:t>GB8978-1996</w:t>
            </w:r>
            <w:r>
              <w:rPr>
                <w:rFonts w:hint="eastAsia"/>
                <w:color w:val="000000" w:themeColor="text1"/>
                <w:kern w:val="0"/>
                <w:szCs w:val="21"/>
                <w14:textFill>
                  <w14:solidFill>
                    <w14:schemeClr w14:val="tx1"/>
                  </w14:solidFill>
                </w14:textFill>
              </w:rPr>
              <w:t>）一级标准，项目使用的改性磷石膏回填材料为符合相关规范要求。</w:t>
            </w:r>
            <w:r>
              <w:rPr>
                <w:rFonts w:hint="eastAsia"/>
                <w:color w:val="000000" w:themeColor="text1"/>
                <w14:textFill>
                  <w14:solidFill>
                    <w14:schemeClr w14:val="tx1"/>
                  </w14:solidFill>
                </w14:textFill>
              </w:rPr>
              <w:t>项目建设对修复区土壤环境影响不大。</w:t>
            </w:r>
          </w:p>
          <w:p w14:paraId="5AD0A07B">
            <w:pPr>
              <w:widowControl/>
              <w:adjustRightInd w:val="0"/>
              <w:snapToGrid w:val="0"/>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如施工机械发生损坏需检修时，要确保因检修产生的废机油得到合理收集处置，不可随意堆放、处置，堆放位置需防雨、防渗。对运输车辆采取覆盖措施，落实洒水抑尘等施工扬尘控制措施，减少回填无害化处理后的改性磷石膏泼洒，沉降进入土壤环境，减缓对土壤环境的影响。</w:t>
            </w:r>
          </w:p>
          <w:p w14:paraId="1AD9E368">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项目回填区改性磷石膏生态修复材料按照HJ557规定方法制备改性磷石膏浸出液中任何一种特征污染物浓度均不应超过GB 8978最高允许排放浓度（第二类污染物最高允许排放浓度按照一级标准执行）。项目为废弃矿坑生态修复项目，修复区域恢复为林地、旱地，部分耕植土外购，外购耕植土满足《土壤环境质量农用地土壤污染风险管控标准（试行）》（</w:t>
            </w:r>
            <w:r>
              <w:rPr>
                <w:color w:val="000000" w:themeColor="text1"/>
                <w:kern w:val="0"/>
                <w:lang w:bidi="ar"/>
                <w14:textFill>
                  <w14:solidFill>
                    <w14:schemeClr w14:val="tx1"/>
                  </w14:solidFill>
                </w14:textFill>
              </w:rPr>
              <w:t>GB15618-2018</w:t>
            </w:r>
            <w:r>
              <w:rPr>
                <w:rFonts w:hint="eastAsia"/>
                <w:color w:val="000000" w:themeColor="text1"/>
                <w:kern w:val="0"/>
                <w:lang w:bidi="ar"/>
                <w14:textFill>
                  <w14:solidFill>
                    <w14:schemeClr w14:val="tx1"/>
                  </w14:solidFill>
                </w14:textFill>
              </w:rPr>
              <w:t>），修复完成后开展土壤跟踪监测，每1年开展一次土壤环境质量跟踪监测。</w:t>
            </w:r>
          </w:p>
          <w:p w14:paraId="2EE3A619">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综上，在采取以上措施后，项目</w:t>
            </w:r>
            <w:r>
              <w:rPr>
                <w:rFonts w:hint="eastAsia"/>
                <w:color w:val="000000" w:themeColor="text1"/>
                <w14:textFill>
                  <w14:solidFill>
                    <w14:schemeClr w14:val="tx1"/>
                  </w14:solidFill>
                </w14:textFill>
              </w:rPr>
              <w:t>渗滤液泄漏</w:t>
            </w:r>
            <w:r>
              <w:rPr>
                <w:rFonts w:hint="eastAsia"/>
                <w:color w:val="000000" w:themeColor="text1"/>
                <w:kern w:val="0"/>
                <w:lang w:bidi="ar"/>
                <w14:textFill>
                  <w14:solidFill>
                    <w14:schemeClr w14:val="tx1"/>
                  </w14:solidFill>
                </w14:textFill>
              </w:rPr>
              <w:t>的概率很低，对引起土壤氟化物污染的可能性不大，对土壤的影响不大。项目实施后，林草植被覆盖率的增加，能改善土壤物理、化学性状，提高土壤肥力，项目实施对该区域土壤结构改善有积极意义。</w:t>
            </w:r>
          </w:p>
          <w:p w14:paraId="438245BA">
            <w:pPr>
              <w:widowControl/>
              <w:adjustRightInd w:val="0"/>
              <w:snapToGrid w:val="0"/>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②地表水环境风险</w:t>
            </w:r>
          </w:p>
          <w:p w14:paraId="2036326C">
            <w:pPr>
              <w:widowControl/>
              <w:adjustRightInd w:val="0"/>
              <w:snapToGrid w:val="0"/>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根据《云南省寻甸县大旋塘采石场废弃矿坑生态修复环境风险评估报告》，主要考虑项目渗滤液非正常情况下泄漏到鸡街河的影响。</w:t>
            </w:r>
          </w:p>
          <w:p w14:paraId="4DC78156">
            <w:pPr>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根据地表水预测结果，项目各污染因子浓度较小，项目在回填过程中为有效拦截和</w:t>
            </w:r>
            <w:r>
              <w:rPr>
                <w:rFonts w:hint="eastAsia"/>
                <w:color w:val="000000" w:themeColor="text1"/>
                <w14:textFill>
                  <w14:solidFill>
                    <w14:schemeClr w14:val="tx1"/>
                  </w14:solidFill>
                </w14:textFill>
              </w:rPr>
              <w:t>排泄边坡周边山坡的径流，减少地表水对坡体的冲刷，在填充区各级分台区内侧修建排水沟，场地中的排水沟相互连接为一个有效的整体，坡面汇水进入各级平台的排水沟中，再通过平台间梯步相互连通，进入坡底排水沟，最终向北自流。</w:t>
            </w:r>
          </w:p>
          <w:p w14:paraId="5F37842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根据项目建设方案，矿坑回填完成时，回填料回填结束压实后，回填区顶部平台、堆积分台及坡面依次铺设300g/</w:t>
            </w:r>
            <w:r>
              <w:rPr>
                <w:rFonts w:hint="eastAsia"/>
                <w:color w:val="000000" w:themeColor="text1"/>
                <w:kern w:val="0"/>
                <w:lang w:bidi="ar"/>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2</w:t>
            </w:r>
            <w:r>
              <w:rPr>
                <w:rFonts w:hint="eastAsia"/>
                <w:color w:val="000000" w:themeColor="text1"/>
                <w14:textFill>
                  <w14:solidFill>
                    <w14:schemeClr w14:val="tx1"/>
                  </w14:solidFill>
                </w14:textFill>
              </w:rPr>
              <w:t>土工布、1.5mm的HDPE防渗膜、300g/㎡土工布防渗层。经防渗收集后，</w:t>
            </w:r>
            <w:r>
              <w:rPr>
                <w:rFonts w:hint="eastAsia"/>
                <w:color w:val="000000" w:themeColor="text1"/>
                <w:kern w:val="0"/>
                <w:lang w:bidi="ar"/>
                <w14:textFill>
                  <w14:solidFill>
                    <w14:schemeClr w14:val="tx1"/>
                  </w14:solidFill>
                </w14:textFill>
              </w:rPr>
              <w:t>渗滤液</w:t>
            </w:r>
            <w:r>
              <w:rPr>
                <w:rFonts w:hint="eastAsia"/>
                <w:color w:val="000000" w:themeColor="text1"/>
                <w14:textFill>
                  <w14:solidFill>
                    <w14:schemeClr w14:val="tx1"/>
                  </w14:solidFill>
                </w14:textFill>
              </w:rPr>
              <w:t>对地表水环境影响不大。项目</w:t>
            </w:r>
            <w:r>
              <w:rPr>
                <w:rFonts w:hint="eastAsia"/>
                <w:color w:val="000000" w:themeColor="text1"/>
                <w:kern w:val="0"/>
                <w:lang w:bidi="ar"/>
                <w14:textFill>
                  <w14:solidFill>
                    <w14:schemeClr w14:val="tx1"/>
                  </w14:solidFill>
                </w14:textFill>
              </w:rPr>
              <w:t>渗滤液</w:t>
            </w:r>
            <w:r>
              <w:rPr>
                <w:rFonts w:hint="eastAsia"/>
                <w:color w:val="000000" w:themeColor="text1"/>
                <w14:textFill>
                  <w14:solidFill>
                    <w14:schemeClr w14:val="tx1"/>
                  </w14:solidFill>
                </w14:textFill>
              </w:rPr>
              <w:t>发生泄漏的风险可接受。</w:t>
            </w:r>
          </w:p>
          <w:p w14:paraId="738E676D">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③地下水环境风险</w:t>
            </w:r>
          </w:p>
          <w:p w14:paraId="75F9830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由项目特征分析可知，项目生态修复作业过程中，降雨时，雨水冲刷回填区会产生一定量的</w:t>
            </w:r>
            <w:r>
              <w:rPr>
                <w:rFonts w:hint="eastAsia"/>
                <w:color w:val="000000" w:themeColor="text1"/>
                <w:kern w:val="0"/>
                <w:lang w:bidi="ar"/>
                <w14:textFill>
                  <w14:solidFill>
                    <w14:schemeClr w14:val="tx1"/>
                  </w14:solidFill>
                </w14:textFill>
              </w:rPr>
              <w:t>渗滤液</w:t>
            </w:r>
            <w:r>
              <w:rPr>
                <w:rFonts w:hint="eastAsia"/>
                <w:color w:val="000000" w:themeColor="text1"/>
                <w14:textFill>
                  <w14:solidFill>
                    <w14:schemeClr w14:val="tx1"/>
                  </w14:solidFill>
                </w14:textFill>
              </w:rPr>
              <w:t>，</w:t>
            </w:r>
            <w:r>
              <w:rPr>
                <w:rFonts w:hint="eastAsia"/>
                <w:color w:val="000000" w:themeColor="text1"/>
                <w:kern w:val="0"/>
                <w:lang w:bidi="ar"/>
                <w14:textFill>
                  <w14:solidFill>
                    <w14:schemeClr w14:val="tx1"/>
                  </w14:solidFill>
                </w14:textFill>
              </w:rPr>
              <w:t>渗滤液</w:t>
            </w:r>
            <w:r>
              <w:rPr>
                <w:rFonts w:hint="eastAsia"/>
                <w:color w:val="000000" w:themeColor="text1"/>
                <w14:textFill>
                  <w14:solidFill>
                    <w14:schemeClr w14:val="tx1"/>
                  </w14:solidFill>
                </w14:textFill>
              </w:rPr>
              <w:t>经导排管最终进入收集井。如果收集井出现破损或破裂，</w:t>
            </w:r>
            <w:r>
              <w:rPr>
                <w:rFonts w:hint="eastAsia"/>
                <w:color w:val="000000" w:themeColor="text1"/>
                <w:kern w:val="0"/>
                <w:lang w:bidi="ar"/>
                <w14:textFill>
                  <w14:solidFill>
                    <w14:schemeClr w14:val="tx1"/>
                  </w14:solidFill>
                </w14:textFill>
              </w:rPr>
              <w:t>渗滤液</w:t>
            </w:r>
            <w:r>
              <w:rPr>
                <w:rFonts w:hint="eastAsia"/>
                <w:color w:val="000000" w:themeColor="text1"/>
                <w14:textFill>
                  <w14:solidFill>
                    <w14:schemeClr w14:val="tx1"/>
                  </w14:solidFill>
                </w14:textFill>
              </w:rPr>
              <w:t>发生泄漏，就会造成地下水污染，破坏地下水环境，</w:t>
            </w:r>
            <w:r>
              <w:rPr>
                <w:rFonts w:hint="eastAsia"/>
                <w:color w:val="000000" w:themeColor="text1"/>
                <w:kern w:val="0"/>
                <w:lang w:bidi="ar"/>
                <w14:textFill>
                  <w14:solidFill>
                    <w14:schemeClr w14:val="tx1"/>
                  </w14:solidFill>
                </w14:textFill>
              </w:rPr>
              <w:t>地下水环境如果遭到污染破坏，对其恢复困难较大，对区域地下水环境影响较大。</w:t>
            </w:r>
          </w:p>
          <w:p w14:paraId="570A074E">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根据地下水环境影响预测，当渗滤液发生泄漏，对地下水会产生一定的影响，但超标范围控制在修复区范围内。针对项目可能发生的地下水污染情况，按照“源头控制、分区防治、污染监控、应急响应”的防控原则。从污染物的产生、入渗、扩散、应急响应等全阶段进行控制。以主动防渗措施为主，被动防渗措施为辅；人工防渗措施和自然防渗条件保护相结合，防止地下水受到污染。</w:t>
            </w:r>
          </w:p>
          <w:p w14:paraId="10E1995D">
            <w:pPr>
              <w:widowControl/>
              <w:adjustRightInd w:val="0"/>
              <w:snapToGrid w:val="0"/>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回填区按照</w:t>
            </w:r>
            <w:r>
              <w:rPr>
                <w:rFonts w:hint="eastAsia"/>
                <w:color w:val="000000" w:themeColor="text1"/>
                <w14:textFill>
                  <w14:solidFill>
                    <w14:schemeClr w14:val="tx1"/>
                  </w14:solidFill>
                </w14:textFill>
              </w:rPr>
              <w:t>《改性磷石膏用于矿山废弃地生态修复回填技术规范》（DB53/T1269-2024）</w:t>
            </w:r>
            <w:r>
              <w:rPr>
                <w:rFonts w:hint="eastAsia"/>
                <w:color w:val="000000" w:themeColor="text1"/>
                <w:kern w:val="0"/>
                <w:lang w:bidi="ar"/>
                <w14:textFill>
                  <w14:solidFill>
                    <w14:schemeClr w14:val="tx1"/>
                  </w14:solidFill>
                </w14:textFill>
              </w:rPr>
              <w:t>要求进行防渗。采取改性磷石膏生态修复材料入场合格控制：项目回填区改性磷石膏按照HJ557规定方法制备改性磷石膏浸出液中任何一种特征污染物浓度均不应超过GB 8978最高允许排放浓度（第二类污染物最高允许排放浓度按照一级标准执行）才允许入场回填，设专人管理回填料合格性检测，经检验合格后方可运入回填区回填，并保留监测记录；要求施工过程中严格采取防渗措施，阻断雨水对回填体冲刷；严格按照堆填设计方案进行施工，对回填体进行反复压实；设置回填区地下水导排系统，对回填区形成的地下水及时进行导排，避免对回填体造成影响等措施后，渗滤液泄漏情况极小。同时，项目设置了监控井及时回填区地下水监控，在发生泄漏情况立即启动应急方案，阻断污染源向下游扩散，对泄漏渗滤液进行抽排处理及回用。通过采取以上措施，可有效防止渗滤液泄漏而污染地下水环境。</w:t>
            </w:r>
          </w:p>
          <w:p w14:paraId="3C889959">
            <w:pPr>
              <w:keepNext w:val="0"/>
              <w:keepLines w:val="0"/>
              <w:pageBreakBefore w:val="0"/>
              <w:widowControl/>
              <w:kinsoku/>
              <w:wordWrap/>
              <w:overflowPunct/>
              <w:topLinePunct w:val="0"/>
              <w:autoSpaceDE/>
              <w:autoSpaceDN/>
              <w:bidi w:val="0"/>
              <w:adjustRightInd w:val="0"/>
              <w:snapToGrid w:val="0"/>
              <w:spacing w:line="360" w:lineRule="auto"/>
              <w:ind w:firstLine="480"/>
              <w:textAlignment w:val="auto"/>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2）项目绿化覆土施工过程环境风险分析</w:t>
            </w:r>
          </w:p>
          <w:p w14:paraId="0D37D739">
            <w:pPr>
              <w:keepNext w:val="0"/>
              <w:keepLines w:val="0"/>
              <w:pageBreakBefore w:val="0"/>
              <w:widowControl/>
              <w:kinsoku/>
              <w:wordWrap/>
              <w:overflowPunct/>
              <w:topLinePunct w:val="0"/>
              <w:autoSpaceDE/>
              <w:autoSpaceDN/>
              <w:bidi w:val="0"/>
              <w:adjustRightInd w:val="0"/>
              <w:snapToGrid w:val="0"/>
              <w:spacing w:line="360" w:lineRule="auto"/>
              <w:ind w:firstLine="480"/>
              <w:jc w:val="left"/>
              <w:textAlignment w:val="auto"/>
              <w:rPr>
                <w:color w:val="000000" w:themeColor="text1"/>
                <w:kern w:val="0"/>
                <w:lang w:bidi="ar"/>
                <w14:textFill>
                  <w14:solidFill>
                    <w14:schemeClr w14:val="tx1"/>
                  </w14:solidFill>
                </w14:textFill>
              </w:rPr>
            </w:pPr>
            <w:r>
              <w:rPr>
                <w:rFonts w:hint="eastAsia"/>
                <w:color w:val="000000" w:themeColor="text1"/>
                <w14:textFill>
                  <w14:solidFill>
                    <w14:schemeClr w14:val="tx1"/>
                  </w14:solidFill>
                </w14:textFill>
              </w:rPr>
              <w:t>覆土过程可能会由于施工失误导致防渗层破损，进而导致渗滤液泄露至外环境。但项目</w:t>
            </w:r>
            <w:r>
              <w:rPr>
                <w:rFonts w:hint="eastAsia"/>
                <w:color w:val="000000" w:themeColor="text1"/>
                <w:kern w:val="0"/>
                <w:lang w:bidi="ar"/>
                <w14:textFill>
                  <w14:solidFill>
                    <w14:schemeClr w14:val="tx1"/>
                  </w14:solidFill>
                </w14:textFill>
              </w:rPr>
              <w:t>覆土作业要求专业人员施工，严格按要求进行施工，施工过程注意观察各防渗情况，且本项目按照《改性磷石膏用于矿山废弃地生态修复回填技术规范》（DB53/T1269-2024）设置了地下水监控井，在回填区设置了渗漏监控系统，可以有效监控防渗衬层的完整性，监控地下水水质。项目回填结束后仍需对覆盖层进行维护管理，防止覆盖层不均匀沉降、开裂。综上，在严格落实各类防渗措施，及时跟踪监测，注意施工方式情形下，覆土绿化过程防渗破损导致渗滤液泄漏至外环境的风险较小。</w:t>
            </w:r>
          </w:p>
          <w:p w14:paraId="03291E7F">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（3）环境风险防范措施</w:t>
            </w:r>
          </w:p>
          <w:p w14:paraId="00E19972">
            <w:pPr>
              <w:widowControl/>
              <w:ind w:firstLine="482"/>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A、源头控制措施</w:t>
            </w:r>
          </w:p>
          <w:p w14:paraId="0F16A577">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①生态修复区回填料改性磷石膏按照HJ557规定方法制备改性磷石膏浸出液中任何一种特征污染物浓度均不应超过GB 8978最高允许排放浓度（第二类污染物最高允许排放浓度按照一级标准执行），才允许入场回填；</w:t>
            </w:r>
          </w:p>
          <w:p w14:paraId="48AE7C5A">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建设单位设专人管理回填料合格性检测，改性磷石膏用于回填区地形重塑后进行采样，结合回填工艺确定采样区域。采样区域使用网格法结合堆积高度确定采样点位数，每批次采样点位不少于3个，每批次份样数不少于6个，将上述份样制成一个混合样，按照HJ/T20中第5章的要求进行制样分析。对改性磷石膏材料浸出液进行检测，按照HJ557规定方法制备改性磷石膏浸出液中任何一种特征污染物浓度均不超过GB 8978最高允许排放浓度（第二类污染物最高允许排放浓度按照一级标准执行）检验合格后方可运入回填区回填，并保留监测记录；</w:t>
            </w:r>
          </w:p>
          <w:p w14:paraId="11EEAE5F">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③从源头起进行严格控制，加大监督力度，对混入回填修复区的生活垃圾应立即清理出场；</w:t>
            </w:r>
          </w:p>
          <w:p w14:paraId="2A7EECB5">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④防止生活垃圾混入，在回填、推平过程中也要检查，一旦发现生活垃圾混入，应立即停止回填，确保生活垃圾不得进入回填修复区。</w:t>
            </w:r>
          </w:p>
          <w:p w14:paraId="401F0EA3">
            <w:pPr>
              <w:widowControl/>
              <w:adjustRightInd w:val="0"/>
              <w:snapToGrid w:val="0"/>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B、工程控制措施</w:t>
            </w:r>
          </w:p>
          <w:p w14:paraId="1C9953A4">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①基底处理</w:t>
            </w:r>
          </w:p>
          <w:p w14:paraId="6EC155B3">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生态修复区底部清基后铺设粘土层，压实处理后粘土层厚度0.75</w:t>
            </w:r>
            <w:r>
              <w:rPr>
                <w:color w:val="000000" w:themeColor="text1"/>
                <w:kern w:val="0"/>
                <w:lang w:bidi="ar"/>
                <w14:textFill>
                  <w14:solidFill>
                    <w14:schemeClr w14:val="tx1"/>
                  </w14:solidFill>
                </w14:textFill>
              </w:rPr>
              <w:t>m</w:t>
            </w:r>
            <w:r>
              <w:rPr>
                <w:rFonts w:hint="eastAsia"/>
                <w:color w:val="000000" w:themeColor="text1"/>
                <w:kern w:val="0"/>
                <w:lang w:bidi="ar"/>
                <w14:textFill>
                  <w14:solidFill>
                    <w14:schemeClr w14:val="tx1"/>
                  </w14:solidFill>
                </w14:textFill>
              </w:rPr>
              <w:t>，压实后的粘土层进行渗透试验，渗透系数满足</w:t>
            </w:r>
            <w:r>
              <w:rPr>
                <w:color w:val="000000" w:themeColor="text1"/>
                <w:kern w:val="0"/>
                <w:lang w:bidi="ar"/>
                <w14:textFill>
                  <w14:solidFill>
                    <w14:schemeClr w14:val="tx1"/>
                  </w14:solidFill>
                </w14:textFill>
              </w:rPr>
              <w:t>1.0×10</w:t>
            </w:r>
            <w:r>
              <w:rPr>
                <w:rFonts w:hint="eastAsia"/>
                <w:color w:val="000000" w:themeColor="text1"/>
                <w:kern w:val="0"/>
                <w:vertAlign w:val="superscript"/>
                <w:lang w:bidi="ar"/>
                <w14:textFill>
                  <w14:solidFill>
                    <w14:schemeClr w14:val="tx1"/>
                  </w14:solidFill>
                </w14:textFill>
              </w:rPr>
              <w:t>-</w:t>
            </w:r>
            <w:r>
              <w:rPr>
                <w:color w:val="000000" w:themeColor="text1"/>
                <w:kern w:val="0"/>
                <w:vertAlign w:val="superscript"/>
                <w:lang w:bidi="ar"/>
                <w14:textFill>
                  <w14:solidFill>
                    <w14:schemeClr w14:val="tx1"/>
                  </w14:solidFill>
                </w14:textFill>
              </w:rPr>
              <w:t>5</w:t>
            </w:r>
            <w:r>
              <w:rPr>
                <w:color w:val="000000" w:themeColor="text1"/>
                <w:kern w:val="0"/>
                <w:lang w:bidi="ar"/>
                <w14:textFill>
                  <w14:solidFill>
                    <w14:schemeClr w14:val="tx1"/>
                  </w14:solidFill>
                </w14:textFill>
              </w:rPr>
              <w:t>cm/s</w:t>
            </w:r>
            <w:r>
              <w:rPr>
                <w:rFonts w:hint="eastAsia"/>
                <w:color w:val="000000" w:themeColor="text1"/>
                <w:kern w:val="0"/>
                <w:lang w:bidi="ar"/>
                <w14:textFill>
                  <w14:solidFill>
                    <w14:schemeClr w14:val="tx1"/>
                  </w14:solidFill>
                </w14:textFill>
              </w:rPr>
              <w:t>要求后再进行地下水导排管和人工防渗膜铺设。如工程场地发现岩溶裂隙等不稳定基层或其他影响工程安全稳定性的问题，应及时采用回填、加固等相关措施进行处理，达到相关要求后方可进一步施工。施工监理和环境监理相关单位也应履行好相关职责，确保措施到位，避免存在相关隐患，影响后期防渗工程。</w:t>
            </w:r>
          </w:p>
          <w:p w14:paraId="24742857">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②填充场底部防渗措施</w:t>
            </w:r>
          </w:p>
          <w:p w14:paraId="7571151B">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a、防渗层（由下至上）：</w:t>
            </w:r>
          </w:p>
          <w:p w14:paraId="36562157">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基础层：粘土层，土压实度不应小于93％；</w:t>
            </w:r>
          </w:p>
          <w:p w14:paraId="19BA8077">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膜下保护层：宜采用土工布，规格不宜小于300g/m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w:t>
            </w:r>
          </w:p>
          <w:p w14:paraId="028AB503">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膜防渗层：应采用双糙面防渗土工膜，厚度不应小于1.5mm；</w:t>
            </w:r>
          </w:p>
          <w:p w14:paraId="2204EB5F">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膜上保护层：宜采用非织造土工布，规格不宜小于300g/m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w:t>
            </w:r>
          </w:p>
          <w:p w14:paraId="20A87CA1">
            <w:pPr>
              <w:widowControl/>
              <w:ind w:firstLine="48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b</w:t>
            </w:r>
            <w:r>
              <w:rPr>
                <w:rFonts w:hint="eastAsia"/>
                <w:color w:val="000000" w:themeColor="text1"/>
                <w:kern w:val="0"/>
                <w:lang w:bidi="ar"/>
                <w14:textFill>
                  <w14:solidFill>
                    <w14:schemeClr w14:val="tx1"/>
                  </w14:solidFill>
                </w14:textFill>
              </w:rPr>
              <w:t>、防渗层保护</w:t>
            </w:r>
          </w:p>
          <w:p w14:paraId="61FACF36">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底部防渗层铺设前须铺设0.75</w:t>
            </w:r>
            <w:r>
              <w:rPr>
                <w:color w:val="000000" w:themeColor="text1"/>
                <w:kern w:val="0"/>
                <w:lang w:bidi="ar"/>
                <w14:textFill>
                  <w14:solidFill>
                    <w14:schemeClr w14:val="tx1"/>
                  </w14:solidFill>
                </w14:textFill>
              </w:rPr>
              <w:t>m</w:t>
            </w:r>
            <w:r>
              <w:rPr>
                <w:rFonts w:hint="eastAsia"/>
                <w:color w:val="000000" w:themeColor="text1"/>
                <w:kern w:val="0"/>
                <w:lang w:bidi="ar"/>
                <w14:textFill>
                  <w14:solidFill>
                    <w14:schemeClr w14:val="tx1"/>
                  </w14:solidFill>
                </w14:textFill>
              </w:rPr>
              <w:t>压实粘土层；顶部防渗层铺设完成后，铺设5</w:t>
            </w:r>
            <w:r>
              <w:rPr>
                <w:color w:val="000000" w:themeColor="text1"/>
                <w:kern w:val="0"/>
                <w:lang w:bidi="ar"/>
                <w14:textFill>
                  <w14:solidFill>
                    <w14:schemeClr w14:val="tx1"/>
                  </w14:solidFill>
                </w14:textFill>
              </w:rPr>
              <w:t>0cm</w:t>
            </w:r>
            <w:r>
              <w:rPr>
                <w:rFonts w:hint="eastAsia"/>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100cm</w:t>
            </w:r>
            <w:r>
              <w:rPr>
                <w:rFonts w:hint="eastAsia"/>
                <w:color w:val="000000" w:themeColor="text1"/>
                <w:kern w:val="0"/>
                <w:lang w:bidi="ar"/>
                <w14:textFill>
                  <w14:solidFill>
                    <w14:schemeClr w14:val="tx1"/>
                  </w14:solidFill>
                </w14:textFill>
              </w:rPr>
              <w:t>耕植土层后进行植被种植。</w:t>
            </w:r>
          </w:p>
          <w:p w14:paraId="51F2E6C2">
            <w:pPr>
              <w:widowControl/>
              <w:ind w:firstLine="48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c</w:t>
            </w:r>
            <w:r>
              <w:rPr>
                <w:rFonts w:hint="eastAsia"/>
                <w:color w:val="000000" w:themeColor="text1"/>
                <w:kern w:val="0"/>
                <w:lang w:bidi="ar"/>
                <w14:textFill>
                  <w14:solidFill>
                    <w14:schemeClr w14:val="tx1"/>
                  </w14:solidFill>
                </w14:textFill>
              </w:rPr>
              <w:t>、施工质量管理</w:t>
            </w:r>
          </w:p>
          <w:p w14:paraId="54BCF3DB">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施工方案包括施工质量保证和施工质量控制内容，明确环保条款和责任，施工完毕后保存施工报告、全套竣工图、所有材料的现场及实验室检测报告，提供人工防渗衬层完整性检测报告。</w:t>
            </w:r>
          </w:p>
          <w:p w14:paraId="22E7876D">
            <w:pPr>
              <w:widowControl/>
              <w:ind w:firstLine="480"/>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d</w:t>
            </w:r>
            <w:r>
              <w:rPr>
                <w:rFonts w:hint="eastAsia"/>
                <w:color w:val="000000" w:themeColor="text1"/>
                <w:kern w:val="0"/>
                <w:lang w:bidi="ar"/>
                <w14:textFill>
                  <w14:solidFill>
                    <w14:schemeClr w14:val="tx1"/>
                  </w14:solidFill>
                </w14:textFill>
              </w:rPr>
              <w:t>、防渗材料性能要求</w:t>
            </w:r>
          </w:p>
          <w:p w14:paraId="2E4B3BEB">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双糙面防渗土工膜性能要求：土工膜幅宽应≥7m，极限厚度偏差应控制在±10%之内；土工膜产品颜色要求为黑色，外观质量应符合CJ/T234-2006的规定；其他性能指标应符合CJ/T234-2006的规定。</w:t>
            </w:r>
          </w:p>
          <w:p w14:paraId="2322A9D0">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土工布性能要求：土工布原材料采用抗氧化性和紫外线强的长丝无纺土工布；土工布外观质量需逐卷进行检验和评定，每卷土工布不得出现孔洞和破损；外观疵点不得出现下表中的重缺陷，轻缺陷每200m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不超过5个。</w:t>
            </w:r>
          </w:p>
          <w:p w14:paraId="654FD366">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③回填物料压实处置</w:t>
            </w:r>
          </w:p>
          <w:p w14:paraId="39669899">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要求改性磷石膏基生态修复材料堆排时进行压实，回填体施工必须严格按照《云南省寻甸县大旋塘采石场废弃矿坑生态修复实施方案》进行施工，落实好施工监理，确保回填堆体稳定、安全，规范施工。</w:t>
            </w:r>
          </w:p>
          <w:p w14:paraId="0875AB63">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④渗滤液导排</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bidi="ar"/>
                <w14:textFill>
                  <w14:solidFill>
                    <w14:schemeClr w14:val="tx1"/>
                  </w14:solidFill>
                </w14:textFill>
              </w:rPr>
              <w:t>地下水导排</w:t>
            </w:r>
          </w:p>
          <w:p w14:paraId="39AFB277">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场地清理和平整工程的同时，沿改性磷石膏堆填区底部设置地下水和渗滤液导排盲沟，地下水导排盲沟和渗滤液导排盲沟间距5.0m，盲沟内埋设DN200PE导排管导排渗滤液，盲沟采用土工布包裹碎石填充。地下水导排盲沟和渗滤液导排盲沟均采用倒梯形，地下水导排盲沟尺寸底宽0.5m，高0.5m，顶宽1.5m，渗滤液导排盲沟尺寸底宽0.5m，高沟内铺设d=20-50mm的碎石，碎石采用400g/m</w:t>
            </w:r>
            <w:r>
              <w:rPr>
                <w:rFonts w:ascii="Times New Roman" w:hAnsi="Times New Roman"/>
                <w:color w:val="000000" w:themeColor="text1"/>
                <w:sz w:val="24"/>
                <w:szCs w:val="24"/>
                <w:vertAlign w:val="super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土工布包裹，碎石体内设置HDPE排渗管（DN200穿孔管，上半圆开孔），排渗管外侧采用400g/m</w:t>
            </w:r>
            <w:r>
              <w:rPr>
                <w:rFonts w:ascii="Times New Roman" w:hAnsi="Times New Roman"/>
                <w:color w:val="000000" w:themeColor="text1"/>
                <w:sz w:val="24"/>
                <w:szCs w:val="24"/>
                <w:vertAlign w:val="superscript"/>
                <w14:textFill>
                  <w14:solidFill>
                    <w14:schemeClr w14:val="tx1"/>
                  </w14:solidFill>
                </w14:textFill>
              </w:rPr>
              <w:t>2</w:t>
            </w:r>
            <w:r>
              <w:rPr>
                <w:rFonts w:ascii="Times New Roman" w:hAnsi="Times New Roman"/>
                <w:color w:val="000000" w:themeColor="text1"/>
                <w:sz w:val="24"/>
                <w:szCs w:val="24"/>
                <w14:textFill>
                  <w14:solidFill>
                    <w14:schemeClr w14:val="tx1"/>
                  </w14:solidFill>
                </w14:textFill>
              </w:rPr>
              <w:t>土工布包裹，沿线排水控制坡度2%，地下水导排盲沟和渗滤液导排盲沟汇集的地下水和渗滤液收集至地下水收集池和渗滤液收集池内。</w:t>
            </w:r>
          </w:p>
          <w:p w14:paraId="1C614636">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⑥工程质量</w:t>
            </w:r>
          </w:p>
          <w:p w14:paraId="2D4FB431">
            <w:pPr>
              <w:widowControl/>
              <w:ind w:firstLine="480"/>
              <w:rPr>
                <w:rFonts w:hint="eastAsia" w:ascii="宋体" w:hAnsi="宋体" w:cs="宋体"/>
                <w:color w:val="000000" w:themeColor="text1"/>
                <w14:textFill>
                  <w14:solidFill>
                    <w14:schemeClr w14:val="tx1"/>
                  </w14:solidFill>
                </w14:textFill>
              </w:rPr>
            </w:pPr>
            <w:r>
              <w:rPr>
                <w:rFonts w:hint="eastAsia" w:ascii="宋体" w:hAnsi="宋体" w:cs="宋体"/>
                <w:color w:val="000000" w:themeColor="text1"/>
                <w14:textFill>
                  <w14:solidFill>
                    <w14:schemeClr w14:val="tx1"/>
                  </w14:solidFill>
                </w14:textFill>
              </w:rPr>
              <w:t>严格按照国家有关规范、规程组织施工，采用合格施工材料进行施工，定期对机械设备和安全工具进行检查。在施工过程中，通过各种形式，加强对参建职工的教育，不断增强工作责任心的质量意识，对质量问题坚决执行“三不放过”和一票否决制度，精心组织、精心施工，确保工程质量验收合格。建立以项目主任工程师为首的质量管理体系，全面控制施工项目的工程质量，为了充分发挥质量管理体系的作用，保证工程验收合格，成立项目负责领导、有关人员参加的本工程施工质量控制小组。</w:t>
            </w:r>
          </w:p>
          <w:p w14:paraId="4CDB6C39">
            <w:pPr>
              <w:snapToGrid w:val="0"/>
              <w:spacing w:line="360" w:lineRule="auto"/>
              <w:ind w:right="-1" w:firstLine="480" w:firstLineChars="200"/>
              <w:rPr>
                <w:rFonts w:ascii="宋体" w:hAnsi="宋体"/>
                <w:color w:val="000000" w:themeColor="text1"/>
                <w:kern w:val="0"/>
                <w:sz w:val="24"/>
                <w14:textFill>
                  <w14:solidFill>
                    <w14:schemeClr w14:val="tx1"/>
                  </w14:solidFill>
                </w14:textFill>
              </w:rPr>
            </w:pPr>
            <w:r>
              <w:rPr>
                <w:rFonts w:ascii="宋体" w:hAnsi="宋体"/>
                <w:color w:val="000000" w:themeColor="text1"/>
                <w:kern w:val="0"/>
                <w:sz w:val="24"/>
                <w14:textFill>
                  <w14:solidFill>
                    <w14:schemeClr w14:val="tx1"/>
                  </w14:solidFill>
                </w14:textFill>
              </w:rPr>
              <w:t>根据区内项目分布及生态修复实施情况，确定项目重点监测堆填体边坡稳定情况监测。根据矿山主要工程设施、存在的主要地质环境问题及治理工程的分布情况，共设置</w:t>
            </w:r>
            <w:r>
              <w:rPr>
                <w:rFonts w:hint="eastAsia" w:ascii="宋体" w:hAnsi="宋体"/>
                <w:color w:val="000000" w:themeColor="text1"/>
                <w:kern w:val="0"/>
                <w:sz w:val="24"/>
                <w14:textFill>
                  <w14:solidFill>
                    <w14:schemeClr w14:val="tx1"/>
                  </w14:solidFill>
                </w14:textFill>
              </w:rPr>
              <w:t>20</w:t>
            </w:r>
            <w:r>
              <w:rPr>
                <w:rFonts w:ascii="宋体" w:hAnsi="宋体"/>
                <w:color w:val="000000" w:themeColor="text1"/>
                <w:kern w:val="0"/>
                <w:sz w:val="24"/>
                <w14:textFill>
                  <w14:solidFill>
                    <w14:schemeClr w14:val="tx1"/>
                  </w14:solidFill>
                </w14:textFill>
              </w:rPr>
              <w:t>个堆填体边坡变形监测点，</w:t>
            </w:r>
            <w:r>
              <w:rPr>
                <w:rFonts w:hint="eastAsia" w:ascii="宋体" w:hAnsi="宋体"/>
                <w:color w:val="000000" w:themeColor="text1"/>
                <w:kern w:val="0"/>
                <w:sz w:val="24"/>
                <w14:textFill>
                  <w14:solidFill>
                    <w14:schemeClr w14:val="tx1"/>
                  </w14:solidFill>
                </w14:textFill>
              </w:rPr>
              <w:t>12</w:t>
            </w:r>
            <w:r>
              <w:rPr>
                <w:rFonts w:ascii="宋体" w:hAnsi="宋体"/>
                <w:color w:val="000000" w:themeColor="text1"/>
                <w:kern w:val="0"/>
                <w:sz w:val="24"/>
                <w14:textFill>
                  <w14:solidFill>
                    <w14:schemeClr w14:val="tx1"/>
                  </w14:solidFill>
                </w14:textFill>
              </w:rPr>
              <w:t>个位移监测基准点。</w:t>
            </w:r>
          </w:p>
          <w:p w14:paraId="7685135D">
            <w:pPr>
              <w:snapToGrid w:val="0"/>
              <w:spacing w:line="360" w:lineRule="auto"/>
              <w:ind w:right="-1" w:firstLine="480" w:firstLineChars="200"/>
              <w:rPr>
                <w:rFonts w:hint="eastAsia" w:ascii="宋体" w:hAnsi="宋体" w:cs="宋体"/>
                <w:color w:val="000000" w:themeColor="text1"/>
                <w14:textFill>
                  <w14:solidFill>
                    <w14:schemeClr w14:val="tx1"/>
                  </w14:solidFill>
                </w14:textFill>
              </w:rPr>
            </w:pPr>
            <w:r>
              <w:rPr>
                <w:rFonts w:ascii="宋体" w:hAnsi="宋体"/>
                <w:color w:val="000000" w:themeColor="text1"/>
                <w:kern w:val="0"/>
                <w:sz w:val="24"/>
                <w14:textFill>
                  <w14:solidFill>
                    <w14:schemeClr w14:val="tx1"/>
                  </w14:solidFill>
                </w14:textFill>
              </w:rPr>
              <w:t>边坡稳定性监测点：</w:t>
            </w:r>
            <w:r>
              <w:rPr>
                <w:rFonts w:hint="eastAsia" w:ascii="宋体" w:hAnsi="宋体"/>
                <w:color w:val="000000" w:themeColor="text1"/>
                <w:kern w:val="0"/>
                <w:sz w:val="24"/>
                <w14:textFill>
                  <w14:solidFill>
                    <w14:schemeClr w14:val="tx1"/>
                  </w14:solidFill>
                </w14:textFill>
              </w:rPr>
              <w:t>寻甸县鸡街镇大旋塘北部露天采场</w:t>
            </w:r>
            <w:r>
              <w:rPr>
                <w:rFonts w:ascii="宋体" w:hAnsi="宋体"/>
                <w:color w:val="000000" w:themeColor="text1"/>
                <w:kern w:val="0"/>
                <w:sz w:val="24"/>
                <w14:textFill>
                  <w14:solidFill>
                    <w14:schemeClr w14:val="tx1"/>
                  </w14:solidFill>
                </w14:textFill>
              </w:rPr>
              <w:t>布置于堆填体边坡标高</w:t>
            </w:r>
            <w:r>
              <w:rPr>
                <w:rFonts w:hint="eastAsia" w:ascii="宋体" w:hAnsi="宋体"/>
                <w:color w:val="000000" w:themeColor="text1"/>
                <w:kern w:val="0"/>
                <w:sz w:val="24"/>
                <w14:textFill>
                  <w14:solidFill>
                    <w14:schemeClr w14:val="tx1"/>
                  </w14:solidFill>
                </w14:textFill>
              </w:rPr>
              <w:t>2097</w:t>
            </w:r>
            <w:r>
              <w:rPr>
                <w:rFonts w:ascii="宋体" w:hAnsi="宋体"/>
                <w:color w:val="000000" w:themeColor="text1"/>
                <w:kern w:val="0"/>
                <w:sz w:val="24"/>
                <w14:textFill>
                  <w14:solidFill>
                    <w14:schemeClr w14:val="tx1"/>
                  </w14:solidFill>
                </w14:textFill>
              </w:rPr>
              <w:t>m、标高</w:t>
            </w:r>
            <w:r>
              <w:rPr>
                <w:rFonts w:hint="eastAsia" w:ascii="宋体" w:hAnsi="宋体"/>
                <w:color w:val="000000" w:themeColor="text1"/>
                <w:kern w:val="0"/>
                <w:sz w:val="24"/>
                <w14:textFill>
                  <w14:solidFill>
                    <w14:schemeClr w14:val="tx1"/>
                  </w14:solidFill>
                </w14:textFill>
              </w:rPr>
              <w:t>2117</w:t>
            </w:r>
            <w:r>
              <w:rPr>
                <w:rFonts w:ascii="宋体" w:hAnsi="宋体"/>
                <w:color w:val="000000" w:themeColor="text1"/>
                <w:kern w:val="0"/>
                <w:sz w:val="24"/>
                <w14:textFill>
                  <w14:solidFill>
                    <w14:schemeClr w14:val="tx1"/>
                  </w14:solidFill>
                </w14:textFill>
              </w:rPr>
              <w:t>m、标高</w:t>
            </w:r>
            <w:r>
              <w:rPr>
                <w:rFonts w:hint="eastAsia" w:ascii="宋体" w:hAnsi="宋体"/>
                <w:color w:val="000000" w:themeColor="text1"/>
                <w:kern w:val="0"/>
                <w:sz w:val="24"/>
                <w14:textFill>
                  <w14:solidFill>
                    <w14:schemeClr w14:val="tx1"/>
                  </w14:solidFill>
                </w14:textFill>
              </w:rPr>
              <w:t>2137</w:t>
            </w:r>
            <w:r>
              <w:rPr>
                <w:rFonts w:ascii="宋体" w:hAnsi="宋体"/>
                <w:color w:val="000000" w:themeColor="text1"/>
                <w:kern w:val="0"/>
                <w:sz w:val="24"/>
                <w14:textFill>
                  <w14:solidFill>
                    <w14:schemeClr w14:val="tx1"/>
                  </w14:solidFill>
                </w14:textFill>
              </w:rPr>
              <w:t>m和标高</w:t>
            </w:r>
            <w:r>
              <w:rPr>
                <w:rFonts w:hint="eastAsia" w:ascii="宋体" w:hAnsi="宋体"/>
                <w:color w:val="000000" w:themeColor="text1"/>
                <w:kern w:val="0"/>
                <w:sz w:val="24"/>
                <w14:textFill>
                  <w14:solidFill>
                    <w14:schemeClr w14:val="tx1"/>
                  </w14:solidFill>
                </w14:textFill>
              </w:rPr>
              <w:t>2147</w:t>
            </w:r>
            <w:r>
              <w:rPr>
                <w:rFonts w:ascii="宋体" w:hAnsi="宋体"/>
                <w:color w:val="000000" w:themeColor="text1"/>
                <w:kern w:val="0"/>
                <w:sz w:val="24"/>
                <w14:textFill>
                  <w14:solidFill>
                    <w14:schemeClr w14:val="tx1"/>
                  </w14:solidFill>
                </w14:textFill>
              </w:rPr>
              <w:t>m各2个，</w:t>
            </w:r>
            <w:r>
              <w:rPr>
                <w:rFonts w:hint="eastAsia" w:ascii="宋体" w:hAnsi="宋体"/>
                <w:color w:val="000000" w:themeColor="text1"/>
                <w:kern w:val="0"/>
                <w:sz w:val="24"/>
                <w14:textFill>
                  <w14:solidFill>
                    <w14:schemeClr w14:val="tx1"/>
                  </w14:solidFill>
                </w14:textFill>
              </w:rPr>
              <w:t>大旋塘南部采石场露天采场</w:t>
            </w:r>
            <w:r>
              <w:rPr>
                <w:rFonts w:ascii="宋体" w:hAnsi="宋体"/>
                <w:color w:val="000000" w:themeColor="text1"/>
                <w:kern w:val="0"/>
                <w:sz w:val="24"/>
                <w14:textFill>
                  <w14:solidFill>
                    <w14:schemeClr w14:val="tx1"/>
                  </w14:solidFill>
                </w14:textFill>
              </w:rPr>
              <w:t>布置于堆填体边坡标高</w:t>
            </w:r>
            <w:r>
              <w:rPr>
                <w:rFonts w:hint="eastAsia" w:ascii="宋体" w:hAnsi="宋体"/>
                <w:color w:val="000000" w:themeColor="text1"/>
                <w:kern w:val="0"/>
                <w:sz w:val="24"/>
                <w14:textFill>
                  <w14:solidFill>
                    <w14:schemeClr w14:val="tx1"/>
                  </w14:solidFill>
                </w14:textFill>
              </w:rPr>
              <w:t>2096</w:t>
            </w:r>
            <w:r>
              <w:rPr>
                <w:rFonts w:ascii="宋体" w:hAnsi="宋体"/>
                <w:color w:val="000000" w:themeColor="text1"/>
                <w:kern w:val="0"/>
                <w:sz w:val="24"/>
                <w14:textFill>
                  <w14:solidFill>
                    <w14:schemeClr w14:val="tx1"/>
                  </w14:solidFill>
                </w14:textFill>
              </w:rPr>
              <w:t>m、标高</w:t>
            </w:r>
            <w:r>
              <w:rPr>
                <w:rFonts w:hint="eastAsia" w:ascii="宋体" w:hAnsi="宋体"/>
                <w:color w:val="000000" w:themeColor="text1"/>
                <w:kern w:val="0"/>
                <w:sz w:val="24"/>
                <w14:textFill>
                  <w14:solidFill>
                    <w14:schemeClr w14:val="tx1"/>
                  </w14:solidFill>
                </w14:textFill>
              </w:rPr>
              <w:t>2116</w:t>
            </w:r>
            <w:r>
              <w:rPr>
                <w:rFonts w:ascii="宋体" w:hAnsi="宋体"/>
                <w:color w:val="000000" w:themeColor="text1"/>
                <w:kern w:val="0"/>
                <w:sz w:val="24"/>
                <w14:textFill>
                  <w14:solidFill>
                    <w14:schemeClr w14:val="tx1"/>
                  </w14:solidFill>
                </w14:textFill>
              </w:rPr>
              <w:t>m、标高</w:t>
            </w:r>
            <w:r>
              <w:rPr>
                <w:rFonts w:hint="eastAsia" w:ascii="宋体" w:hAnsi="宋体"/>
                <w:color w:val="000000" w:themeColor="text1"/>
                <w:kern w:val="0"/>
                <w:sz w:val="24"/>
                <w14:textFill>
                  <w14:solidFill>
                    <w14:schemeClr w14:val="tx1"/>
                  </w14:solidFill>
                </w14:textFill>
              </w:rPr>
              <w:t>2136</w:t>
            </w:r>
            <w:r>
              <w:rPr>
                <w:rFonts w:ascii="宋体" w:hAnsi="宋体"/>
                <w:color w:val="000000" w:themeColor="text1"/>
                <w:kern w:val="0"/>
                <w:sz w:val="24"/>
                <w14:textFill>
                  <w14:solidFill>
                    <w14:schemeClr w14:val="tx1"/>
                  </w14:solidFill>
                </w14:textFill>
              </w:rPr>
              <w:t>m和标高</w:t>
            </w:r>
            <w:r>
              <w:rPr>
                <w:rFonts w:hint="eastAsia" w:ascii="宋体" w:hAnsi="宋体"/>
                <w:color w:val="000000" w:themeColor="text1"/>
                <w:kern w:val="0"/>
                <w:sz w:val="24"/>
                <w14:textFill>
                  <w14:solidFill>
                    <w14:schemeClr w14:val="tx1"/>
                  </w14:solidFill>
                </w14:textFill>
              </w:rPr>
              <w:t>2151</w:t>
            </w:r>
            <w:r>
              <w:rPr>
                <w:rFonts w:ascii="宋体" w:hAnsi="宋体"/>
                <w:color w:val="000000" w:themeColor="text1"/>
                <w:kern w:val="0"/>
                <w:sz w:val="24"/>
                <w14:textFill>
                  <w14:solidFill>
                    <w14:schemeClr w14:val="tx1"/>
                  </w14:solidFill>
                </w14:textFill>
              </w:rPr>
              <w:t>m各2个，监测堆填体边坡稳定性情况。位移监测基准点布置于场地周边稳固处，作为位移变形监测的基准点。</w:t>
            </w:r>
            <w:r>
              <w:rPr>
                <w:color w:val="000000" w:themeColor="text1"/>
                <w:lang w:bidi="ar"/>
                <w14:textFill>
                  <w14:solidFill>
                    <w14:schemeClr w14:val="tx1"/>
                  </w14:solidFill>
                </w14:textFill>
              </w:rPr>
              <w:t>可有效观察工程位移情况，</w:t>
            </w:r>
            <w:r>
              <w:rPr>
                <w:color w:val="000000" w:themeColor="text1"/>
                <w:spacing w:val="10"/>
                <w14:textFill>
                  <w14:solidFill>
                    <w14:schemeClr w14:val="tx1"/>
                  </w14:solidFill>
                </w14:textFill>
              </w:rPr>
              <w:t>掌握各采坑设施的工作状态及其变化规律，为正确管理、维修和处理事故等提供依据；及时发现不正常迹象，以便分析原因，采取及时有效的措施，防止事故的发生。</w:t>
            </w:r>
          </w:p>
          <w:p w14:paraId="30AAF3D4">
            <w:pPr>
              <w:widowControl/>
              <w:ind w:firstLine="480"/>
              <w:rPr>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⑦</w:t>
            </w:r>
            <w:r>
              <w:rPr>
                <w:rFonts w:hint="eastAsia"/>
                <w:color w:val="000000" w:themeColor="text1"/>
                <w:kern w:val="0"/>
                <w:lang w:bidi="ar"/>
                <w14:textFill>
                  <w14:solidFill>
                    <w14:schemeClr w14:val="tx1"/>
                  </w14:solidFill>
                </w14:textFill>
              </w:rPr>
              <w:t>植被选择</w:t>
            </w:r>
          </w:p>
          <w:p w14:paraId="262C82F2">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绿化手段拟采用种植灌木和撒播草籽进行绿化还绿，项目区裸露山体进行挂网种植爬藤植物。</w:t>
            </w:r>
          </w:p>
          <w:p w14:paraId="36E256CA">
            <w:pPr>
              <w:spacing w:line="360" w:lineRule="auto"/>
              <w:ind w:firstLine="480" w:firstLineChars="200"/>
              <w:rPr>
                <w:rFonts w:ascii="Times New Roman" w:hAnsi="Times New Roman"/>
                <w:color w:val="000000" w:themeColor="text1"/>
                <w:sz w:val="24"/>
                <w:szCs w:val="24"/>
                <w14:textFill>
                  <w14:solidFill>
                    <w14:schemeClr w14:val="tx1"/>
                  </w14:solidFill>
                </w14:textFill>
              </w:rPr>
            </w:pPr>
            <w:r>
              <w:rPr>
                <w:rFonts w:ascii="Times New Roman" w:hAnsi="Times New Roman"/>
                <w:color w:val="000000" w:themeColor="text1"/>
                <w:sz w:val="24"/>
                <w:szCs w:val="24"/>
                <w14:textFill>
                  <w14:solidFill>
                    <w14:schemeClr w14:val="tx1"/>
                  </w14:solidFill>
                </w14:textFill>
              </w:rPr>
              <w:t>本工程涉及的苗木及种子必须按植物种类及相关标准规范种子苗木标准。种子应采用Ⅰ级种子，苗木应尽量采用Ⅰ级中苗，并有“四证一签”（林木种子生产/经营许可证、苗木质量检验证、植物检疫证、苗木标签，使用良种造林的还应具备良种销售凭证，简称“四证一签”），避免长距离调运绿化种苗。</w:t>
            </w:r>
          </w:p>
          <w:p w14:paraId="24F54C54">
            <w:pPr>
              <w:widowControl/>
              <w:ind w:firstLine="482"/>
              <w:rPr>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C、末端监管</w:t>
            </w:r>
          </w:p>
          <w:p w14:paraId="61B6D2FA">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①末端监管主要采取设置地下水监控井，建立回填修复区地下水环境监控体系，包括建立地下水污染监控制度和环境管理体系，制定监测计划。</w:t>
            </w:r>
          </w:p>
          <w:p w14:paraId="3C1D4E14">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根据《改性磷石膏用于矿山废弃地生态修复回填技术规范》（DB53/T1269-2024），并结合项目实际水文地质调查情况，项目区</w:t>
            </w:r>
            <w:r>
              <w:rPr>
                <w:rFonts w:hint="eastAsia"/>
                <w:color w:val="000000" w:themeColor="text1"/>
                <w:kern w:val="0"/>
                <w:lang w:val="en-US" w:eastAsia="zh-CN" w:bidi="ar"/>
                <w14:textFill>
                  <w14:solidFill>
                    <w14:schemeClr w14:val="tx1"/>
                  </w14:solidFill>
                </w14:textFill>
              </w:rPr>
              <w:t>共设置</w:t>
            </w:r>
            <w:r>
              <w:rPr>
                <w:rFonts w:hint="eastAsia" w:ascii="宋体" w:hAnsi="宋体"/>
                <w:color w:val="000000" w:themeColor="text1"/>
                <w:kern w:val="0"/>
                <w:sz w:val="24"/>
                <w14:textFill>
                  <w14:solidFill>
                    <w14:schemeClr w14:val="tx1"/>
                  </w14:solidFill>
                </w14:textFill>
              </w:rPr>
              <w:t>7</w:t>
            </w:r>
            <w:r>
              <w:rPr>
                <w:rFonts w:ascii="宋体" w:hAnsi="宋体"/>
                <w:color w:val="000000" w:themeColor="text1"/>
                <w:kern w:val="0"/>
                <w:sz w:val="24"/>
                <w14:textFill>
                  <w14:solidFill>
                    <w14:schemeClr w14:val="tx1"/>
                  </w14:solidFill>
                </w14:textFill>
              </w:rPr>
              <w:t>口地下水监测井</w:t>
            </w:r>
            <w:r>
              <w:rPr>
                <w:rFonts w:hint="eastAsia"/>
                <w:color w:val="000000" w:themeColor="text1"/>
                <w:kern w:val="0"/>
                <w:lang w:bidi="ar"/>
                <w14:textFill>
                  <w14:solidFill>
                    <w14:schemeClr w14:val="tx1"/>
                  </w14:solidFill>
                </w14:textFill>
              </w:rPr>
              <w:t>。对下游监控井水质持续跟踪监测。</w:t>
            </w:r>
          </w:p>
          <w:p w14:paraId="0DFC696A">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②排洪构筑物安全监测</w:t>
            </w:r>
          </w:p>
          <w:p w14:paraId="69E6D9C2">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排洪构筑物在汛期前应进行一次安全大检查，检查构筑物有无变形、位移、损毁、淤堵等情况，汛期应每天观察排水能力，发现异常，立即排除。</w:t>
            </w:r>
          </w:p>
          <w:p w14:paraId="3EC5047C">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③回填平台安全监测</w:t>
            </w:r>
          </w:p>
          <w:p w14:paraId="7743AB0D">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回填安全监测内容包括：拦挡设施坝体轮廓尺寸、变形、裂缝、滑坡和渗漏、坝面保护监测等。平台位移监测可采用视准线法和前方交汇法。</w:t>
            </w:r>
          </w:p>
          <w:p w14:paraId="11849542">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D、应急措施</w:t>
            </w:r>
          </w:p>
          <w:p w14:paraId="5E2EBA6C">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在监控井水质异常情况下，须立即采取应急措施，对下游监控井进行抽水，阻断污染源进一步向下游扩散，启动应急方案，对泄漏渗滤液水质进行监测，将渗滤液抽排至渗滤液收集井暂存。</w:t>
            </w:r>
          </w:p>
          <w:p w14:paraId="6C8147D0">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E、编制突发环境事件应急预案</w:t>
            </w:r>
          </w:p>
          <w:p w14:paraId="6F0C7989">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严格按照相关要求编制突发环境事件应急预案并到生态环境主管部门进行备案，定期开展演练，加强生态修复过程管理，预防突发环境事故发生。</w:t>
            </w:r>
          </w:p>
          <w:p w14:paraId="19078D96">
            <w:pPr>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环评提出，禁止使用不符合回填要求的磷石膏基生态修复材料回填矿坑；回填修复区和回用水池采取防渗措施，设置施工质量管理措施，工程施工时严格按照设计要求进行，开展施工期环境监理；汛期前对排洪构筑物进行安全监测；对回填平台及拦挡设施进行安全监测；严禁车辆带故障运行、严禁无证驾驶、超载、超高、超速行驶，运输车辆车厢关闭、篷布遮盖；编制应急预案并定期演练。</w:t>
            </w:r>
          </w:p>
          <w:p w14:paraId="718DA42B">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4）分析结论</w:t>
            </w:r>
          </w:p>
          <w:p w14:paraId="45ED3E1F">
            <w:pPr>
              <w:widowControl/>
              <w:adjustRightInd w:val="0"/>
              <w:snapToGrid w:val="0"/>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该项目发生风险事故的概率较小，建设单位应该认真按照设计方案进行施工建设，并认真委托专业单位开展施工监理工作，生态修复回填作业过程中定期对回填完毕台阶和截排水沟进行巡检，根据应急预案做好各项风险防范措施，完善管理制度，项目环境风险可接受。</w:t>
            </w:r>
          </w:p>
          <w:p w14:paraId="76B5EA49">
            <w:pPr>
              <w:keepNext w:val="0"/>
              <w:keepLines w:val="0"/>
              <w:pageBreakBefore w:val="0"/>
              <w:widowControl w:val="0"/>
              <w:kinsoku/>
              <w:wordWrap/>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color w:val="000000" w:themeColor="text1"/>
                <w:sz w:val="24"/>
                <w:highlight w:val="none"/>
                <w14:textFill>
                  <w14:solidFill>
                    <w14:schemeClr w14:val="tx1"/>
                  </w14:solidFill>
                </w14:textFill>
              </w:rPr>
            </w:pPr>
            <w:r>
              <w:rPr>
                <w:rFonts w:hint="eastAsia" w:ascii="Times New Roman" w:hAnsi="Times New Roman" w:eastAsia="宋体" w:cs="Times New Roman"/>
                <w:b/>
                <w:color w:val="000000" w:themeColor="text1"/>
                <w:sz w:val="24"/>
                <w:highlight w:val="none"/>
                <w14:textFill>
                  <w14:solidFill>
                    <w14:schemeClr w14:val="tx1"/>
                  </w14:solidFill>
                </w14:textFill>
              </w:rPr>
              <w:t>表4-</w:t>
            </w:r>
            <w:r>
              <w:rPr>
                <w:rFonts w:hint="eastAsia" w:cs="Times New Roman"/>
                <w:b/>
                <w:color w:val="000000" w:themeColor="text1"/>
                <w:sz w:val="24"/>
                <w:highlight w:val="none"/>
                <w:lang w:val="en-US" w:eastAsia="zh-CN"/>
                <w14:textFill>
                  <w14:solidFill>
                    <w14:schemeClr w14:val="tx1"/>
                  </w14:solidFill>
                </w14:textFill>
              </w:rPr>
              <w:t>18</w:t>
            </w:r>
            <w:r>
              <w:rPr>
                <w:rFonts w:hint="eastAsia" w:ascii="Times New Roman" w:hAnsi="Times New Roman" w:eastAsia="宋体" w:cs="Times New Roman"/>
                <w:b/>
                <w:color w:val="000000" w:themeColor="text1"/>
                <w:sz w:val="24"/>
                <w:highlight w:val="none"/>
                <w14:textFill>
                  <w14:solidFill>
                    <w14:schemeClr w14:val="tx1"/>
                  </w14:solidFill>
                </w14:textFill>
              </w:rPr>
              <w:t xml:space="preserve">  建设项目环境风险简单分析内容表</w:t>
            </w:r>
          </w:p>
          <w:tbl>
            <w:tblPr>
              <w:tblStyle w:val="41"/>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17"/>
              <w:gridCol w:w="898"/>
              <w:gridCol w:w="2232"/>
              <w:gridCol w:w="876"/>
              <w:gridCol w:w="2396"/>
            </w:tblGrid>
            <w:tr w14:paraId="4DC61E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14:paraId="513206BC">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建设项目名称</w:t>
                  </w:r>
                </w:p>
              </w:tc>
              <w:tc>
                <w:tcPr>
                  <w:tcW w:w="4092" w:type="pct"/>
                  <w:gridSpan w:val="4"/>
                  <w:vAlign w:val="center"/>
                </w:tcPr>
                <w:p w14:paraId="1DACFC75">
                  <w:pPr>
                    <w:widowControl/>
                    <w:tabs>
                      <w:tab w:val="left" w:pos="2209"/>
                    </w:tabs>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寻甸县常青树磷石膏库综合治理项目</w:t>
                  </w:r>
                </w:p>
              </w:tc>
            </w:tr>
            <w:tr w14:paraId="3EFE5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14:paraId="4EDBDEE5">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建设地点</w:t>
                  </w:r>
                </w:p>
              </w:tc>
              <w:tc>
                <w:tcPr>
                  <w:tcW w:w="4092" w:type="pct"/>
                  <w:gridSpan w:val="4"/>
                  <w:vAlign w:val="center"/>
                </w:tcPr>
                <w:p w14:paraId="6DF43636">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寻甸县鸡街镇古城新石桥村大旋塘采石场</w:t>
                  </w:r>
                </w:p>
              </w:tc>
            </w:tr>
            <w:tr w14:paraId="66E86D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14:paraId="19BA2E99">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地理坐标</w:t>
                  </w:r>
                </w:p>
              </w:tc>
              <w:tc>
                <w:tcPr>
                  <w:tcW w:w="574" w:type="pct"/>
                  <w:vAlign w:val="center"/>
                </w:tcPr>
                <w:p w14:paraId="529728A4">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经度</w:t>
                  </w:r>
                </w:p>
              </w:tc>
              <w:tc>
                <w:tcPr>
                  <w:tcW w:w="1427" w:type="pct"/>
                  <w:vAlign w:val="center"/>
                </w:tcPr>
                <w:p w14:paraId="685ECA08">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102°48′12.47887″</w:t>
                  </w:r>
                </w:p>
              </w:tc>
              <w:tc>
                <w:tcPr>
                  <w:tcW w:w="560" w:type="pct"/>
                  <w:vAlign w:val="center"/>
                </w:tcPr>
                <w:p w14:paraId="0D2F8FC5">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纬度</w:t>
                  </w:r>
                </w:p>
              </w:tc>
              <w:tc>
                <w:tcPr>
                  <w:tcW w:w="1530" w:type="pct"/>
                  <w:vAlign w:val="center"/>
                </w:tcPr>
                <w:p w14:paraId="305DF47C">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sz w:val="21"/>
                      <w:szCs w:val="21"/>
                      <w14:textFill>
                        <w14:solidFill>
                          <w14:schemeClr w14:val="tx1"/>
                        </w14:solidFill>
                      </w14:textFill>
                    </w:rPr>
                    <w:t>25°36′11.11837″</w:t>
                  </w:r>
                </w:p>
              </w:tc>
            </w:tr>
            <w:tr w14:paraId="117F29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14:paraId="45EA8BD0">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主要危险物质及分布</w:t>
                  </w:r>
                </w:p>
              </w:tc>
              <w:tc>
                <w:tcPr>
                  <w:tcW w:w="4092" w:type="pct"/>
                  <w:gridSpan w:val="4"/>
                  <w:vAlign w:val="center"/>
                </w:tcPr>
                <w:p w14:paraId="4ACB2E6C">
                  <w:pPr>
                    <w:widowControl/>
                    <w:adjustRightInd w:val="0"/>
                    <w:snapToGrid w:val="0"/>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该项目环境风险为回填区的渗滤液发生渗漏，可能会对地下水和土壤造成污染。</w:t>
                  </w:r>
                </w:p>
              </w:tc>
            </w:tr>
            <w:tr w14:paraId="481815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14:paraId="4D384FDD">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环境影响途径及危害后果</w:t>
                  </w:r>
                </w:p>
              </w:tc>
              <w:tc>
                <w:tcPr>
                  <w:tcW w:w="4092" w:type="pct"/>
                  <w:gridSpan w:val="4"/>
                  <w:vAlign w:val="center"/>
                </w:tcPr>
                <w:p w14:paraId="63B58060">
                  <w:pPr>
                    <w:widowControl/>
                    <w:adjustRightInd w:val="0"/>
                    <w:snapToGrid w:val="0"/>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项目施工期可能由于工程质量问题或回填过程中操作不当造成回填修复区底层防渗层破损事故，对周边的地下水环境产生污染风险。</w:t>
                  </w:r>
                </w:p>
              </w:tc>
            </w:tr>
            <w:tr w14:paraId="6E5E53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07" w:type="pct"/>
                  <w:vAlign w:val="center"/>
                </w:tcPr>
                <w:p w14:paraId="408D3E77">
                  <w:pPr>
                    <w:widowControl/>
                    <w:adjustRightInd w:val="0"/>
                    <w:snapToGrid w:val="0"/>
                    <w:spacing w:line="240" w:lineRule="auto"/>
                    <w:ind w:firstLine="0" w:firstLineChars="0"/>
                    <w:jc w:val="center"/>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风险防范措施</w:t>
                  </w:r>
                </w:p>
              </w:tc>
              <w:tc>
                <w:tcPr>
                  <w:tcW w:w="4092" w:type="pct"/>
                  <w:gridSpan w:val="4"/>
                  <w:vAlign w:val="center"/>
                </w:tcPr>
                <w:p w14:paraId="27E97EBF">
                  <w:pPr>
                    <w:widowControl/>
                    <w:spacing w:line="240" w:lineRule="auto"/>
                    <w:ind w:firstLine="0" w:firstLineChars="0"/>
                    <w:jc w:val="left"/>
                    <w:rPr>
                      <w:b/>
                      <w:bCs/>
                      <w:color w:val="000000" w:themeColor="text1"/>
                      <w:sz w:val="21"/>
                      <w:szCs w:val="21"/>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A、源头控制措施</w:t>
                  </w:r>
                </w:p>
                <w:p w14:paraId="3B6A4FE0">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①生态修复区回填料改性磷石膏按照HJ557规定方法制备改性磷石膏浸出液中任何一种特征污染物浓度均不应超过GB 8978最高允许排放浓度（第二类污染物最高允许排放浓度按照一级标准执行），才允许入场回填；</w:t>
                  </w:r>
                </w:p>
                <w:p w14:paraId="696BA976">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②建设单位设专</w:t>
                  </w:r>
                  <w:r>
                    <w:rPr>
                      <w:rFonts w:hint="eastAsia" w:ascii="Times New Roman" w:hAnsi="Times New Roman" w:eastAsia="宋体" w:cstheme="minorBidi"/>
                      <w:bCs/>
                      <w:color w:val="000000" w:themeColor="text1"/>
                      <w:kern w:val="2"/>
                      <w:sz w:val="21"/>
                      <w:szCs w:val="21"/>
                      <w:highlight w:val="none"/>
                      <w:lang w:val="en-US" w:eastAsia="zh-CN" w:bidi="ar-SA"/>
                      <w14:textFill>
                        <w14:solidFill>
                          <w14:schemeClr w14:val="tx1"/>
                        </w14:solidFill>
                      </w14:textFill>
                    </w:rPr>
                    <w:t>人管理回填料合格性检测，本项目改性磷石膏回填量约为215.622万吨，2156220T&gt;1000000T，以30000T改性磷石膏为一批次，</w:t>
                  </w:r>
                  <w:r>
                    <w:rPr>
                      <w:rFonts w:hint="eastAsia"/>
                      <w:color w:val="000000" w:themeColor="text1"/>
                      <w:kern w:val="0"/>
                      <w:sz w:val="21"/>
                      <w:szCs w:val="21"/>
                      <w:lang w:bidi="ar"/>
                      <w14:textFill>
                        <w14:solidFill>
                          <w14:schemeClr w14:val="tx1"/>
                        </w14:solidFill>
                      </w14:textFill>
                    </w:rPr>
                    <w:t>改性磷石膏用于回填区地形重塑后进行采样，结合回填工艺确定采样区域。采样区域使用网格法结合堆积高度确定采样点位数，每批次采样点位不少于3个，每批次份样数不少于6个，将上述份样制成一个混合样，按照HJ/T20中第5章的要求进行制样分析。对改性磷石膏材料浸出液进行检测，按照HJ557规定方法制备改性磷石膏浸出液中任何一种特征污染物浓度均不超过GB 8978最高允许排放浓度（第二类污染物最高允许排放浓度按照一级标准执行）检验合格后方可运入回填区回填，并保留监测记录；</w:t>
                  </w:r>
                </w:p>
                <w:p w14:paraId="7F44BF27">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③从源头起进行严格控制，加大监督力度，对混入回填修复区的生活垃圾应立即清理出场；</w:t>
                  </w:r>
                </w:p>
                <w:p w14:paraId="3253E4C5">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④防止生活垃圾混入，在回填、推平过程中也要检查，一旦发现生活垃圾混入，应立即停止回填，确保生活垃圾不得进入回填修复区。</w:t>
                  </w:r>
                </w:p>
                <w:p w14:paraId="5DD875F4">
                  <w:pPr>
                    <w:widowControl/>
                    <w:adjustRightInd w:val="0"/>
                    <w:snapToGrid w:val="0"/>
                    <w:spacing w:line="240" w:lineRule="auto"/>
                    <w:ind w:firstLine="0" w:firstLineChars="0"/>
                    <w:jc w:val="left"/>
                    <w:rPr>
                      <w:b/>
                      <w:bCs/>
                      <w:color w:val="000000" w:themeColor="text1"/>
                      <w:sz w:val="21"/>
                      <w:szCs w:val="21"/>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B、工程控制措施</w:t>
                  </w:r>
                </w:p>
                <w:p w14:paraId="11201E4F">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①基底处理</w:t>
                  </w:r>
                </w:p>
                <w:p w14:paraId="4D36B409">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生态修复区底部清基后铺设粘土层，压实处理后粘土层厚度0.75</w:t>
                  </w:r>
                  <w:r>
                    <w:rPr>
                      <w:color w:val="000000" w:themeColor="text1"/>
                      <w:kern w:val="0"/>
                      <w:sz w:val="21"/>
                      <w:szCs w:val="21"/>
                      <w:lang w:bidi="ar"/>
                      <w14:textFill>
                        <w14:solidFill>
                          <w14:schemeClr w14:val="tx1"/>
                        </w14:solidFill>
                      </w14:textFill>
                    </w:rPr>
                    <w:t>m</w:t>
                  </w:r>
                  <w:r>
                    <w:rPr>
                      <w:rFonts w:hint="eastAsia"/>
                      <w:color w:val="000000" w:themeColor="text1"/>
                      <w:kern w:val="0"/>
                      <w:sz w:val="21"/>
                      <w:szCs w:val="21"/>
                      <w:lang w:bidi="ar"/>
                      <w14:textFill>
                        <w14:solidFill>
                          <w14:schemeClr w14:val="tx1"/>
                        </w14:solidFill>
                      </w14:textFill>
                    </w:rPr>
                    <w:t>，压实后的粘土层进行渗透试验，渗透系数满足</w:t>
                  </w:r>
                  <w:r>
                    <w:rPr>
                      <w:color w:val="000000" w:themeColor="text1"/>
                      <w:kern w:val="0"/>
                      <w:sz w:val="21"/>
                      <w:szCs w:val="21"/>
                      <w:lang w:bidi="ar"/>
                      <w14:textFill>
                        <w14:solidFill>
                          <w14:schemeClr w14:val="tx1"/>
                        </w14:solidFill>
                      </w14:textFill>
                    </w:rPr>
                    <w:t>1.0×10</w:t>
                  </w:r>
                  <w:r>
                    <w:rPr>
                      <w:rFonts w:hint="eastAsia"/>
                      <w:color w:val="000000" w:themeColor="text1"/>
                      <w:kern w:val="0"/>
                      <w:vertAlign w:val="superscript"/>
                      <w:lang w:bidi="ar"/>
                      <w14:textFill>
                        <w14:solidFill>
                          <w14:schemeClr w14:val="tx1"/>
                        </w14:solidFill>
                      </w14:textFill>
                    </w:rPr>
                    <w:t>-</w:t>
                  </w:r>
                  <w:r>
                    <w:rPr>
                      <w:color w:val="000000" w:themeColor="text1"/>
                      <w:kern w:val="0"/>
                      <w:sz w:val="21"/>
                      <w:szCs w:val="21"/>
                      <w:vertAlign w:val="superscript"/>
                      <w:lang w:bidi="ar"/>
                      <w14:textFill>
                        <w14:solidFill>
                          <w14:schemeClr w14:val="tx1"/>
                        </w14:solidFill>
                      </w14:textFill>
                    </w:rPr>
                    <w:t>5</w:t>
                  </w:r>
                  <w:r>
                    <w:rPr>
                      <w:color w:val="000000" w:themeColor="text1"/>
                      <w:kern w:val="0"/>
                      <w:sz w:val="21"/>
                      <w:szCs w:val="21"/>
                      <w:lang w:bidi="ar"/>
                      <w14:textFill>
                        <w14:solidFill>
                          <w14:schemeClr w14:val="tx1"/>
                        </w14:solidFill>
                      </w14:textFill>
                    </w:rPr>
                    <w:t>cm/s</w:t>
                  </w:r>
                  <w:r>
                    <w:rPr>
                      <w:rFonts w:hint="eastAsia"/>
                      <w:color w:val="000000" w:themeColor="text1"/>
                      <w:kern w:val="0"/>
                      <w:sz w:val="21"/>
                      <w:szCs w:val="21"/>
                      <w:lang w:bidi="ar"/>
                      <w14:textFill>
                        <w14:solidFill>
                          <w14:schemeClr w14:val="tx1"/>
                        </w14:solidFill>
                      </w14:textFill>
                    </w:rPr>
                    <w:t>要求后再进行地下水导排管和人工防渗膜铺设。</w:t>
                  </w:r>
                </w:p>
                <w:p w14:paraId="0B3AC931">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②填充场底部防渗措施</w:t>
                  </w:r>
                </w:p>
                <w:p w14:paraId="41A71266">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a、防渗层（由下至上）：</w:t>
                  </w:r>
                </w:p>
                <w:p w14:paraId="52B18142">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基础层：粘土层，土压实度不应小于93％；</w:t>
                  </w:r>
                </w:p>
                <w:p w14:paraId="76F8414D">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膜下保护层：宜采用土工布，规格不宜小于300g/㎡；</w:t>
                  </w:r>
                </w:p>
                <w:p w14:paraId="3FF2D391">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膜防渗层：应采用双糙面防渗土工膜，厚度不应小于1.5mm；</w:t>
                  </w:r>
                </w:p>
                <w:p w14:paraId="48C3DD8A">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膜上保护层：宜采用非织造土工布，规格不宜小于300g/㎡。</w:t>
                  </w:r>
                </w:p>
                <w:p w14:paraId="3FBBF747">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b</w:t>
                  </w:r>
                  <w:r>
                    <w:rPr>
                      <w:rFonts w:hint="eastAsia"/>
                      <w:color w:val="000000" w:themeColor="text1"/>
                      <w:kern w:val="0"/>
                      <w:sz w:val="21"/>
                      <w:szCs w:val="21"/>
                      <w:lang w:bidi="ar"/>
                      <w14:textFill>
                        <w14:solidFill>
                          <w14:schemeClr w14:val="tx1"/>
                        </w14:solidFill>
                      </w14:textFill>
                    </w:rPr>
                    <w:t>、防渗层保护</w:t>
                  </w:r>
                </w:p>
                <w:p w14:paraId="28CEBAC1">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底部防渗层铺设前须铺设0.75</w:t>
                  </w:r>
                  <w:r>
                    <w:rPr>
                      <w:color w:val="000000" w:themeColor="text1"/>
                      <w:kern w:val="0"/>
                      <w:sz w:val="21"/>
                      <w:szCs w:val="21"/>
                      <w:lang w:bidi="ar"/>
                      <w14:textFill>
                        <w14:solidFill>
                          <w14:schemeClr w14:val="tx1"/>
                        </w14:solidFill>
                      </w14:textFill>
                    </w:rPr>
                    <w:t>m</w:t>
                  </w:r>
                  <w:r>
                    <w:rPr>
                      <w:rFonts w:hint="eastAsia"/>
                      <w:color w:val="000000" w:themeColor="text1"/>
                      <w:kern w:val="0"/>
                      <w:sz w:val="21"/>
                      <w:szCs w:val="21"/>
                      <w:lang w:bidi="ar"/>
                      <w14:textFill>
                        <w14:solidFill>
                          <w14:schemeClr w14:val="tx1"/>
                        </w14:solidFill>
                      </w14:textFill>
                    </w:rPr>
                    <w:t>压实粘土层；顶部防渗层铺设完成后，铺设5</w:t>
                  </w:r>
                  <w:r>
                    <w:rPr>
                      <w:color w:val="000000" w:themeColor="text1"/>
                      <w:kern w:val="0"/>
                      <w:sz w:val="21"/>
                      <w:szCs w:val="21"/>
                      <w:lang w:bidi="ar"/>
                      <w14:textFill>
                        <w14:solidFill>
                          <w14:schemeClr w14:val="tx1"/>
                        </w14:solidFill>
                      </w14:textFill>
                    </w:rPr>
                    <w:t>0cm</w:t>
                  </w:r>
                  <w:r>
                    <w:rPr>
                      <w:rFonts w:hint="eastAsia"/>
                      <w:color w:val="000000" w:themeColor="text1"/>
                      <w:kern w:val="0"/>
                      <w:sz w:val="21"/>
                      <w:szCs w:val="21"/>
                      <w:lang w:bidi="ar"/>
                      <w14:textFill>
                        <w14:solidFill>
                          <w14:schemeClr w14:val="tx1"/>
                        </w14:solidFill>
                      </w14:textFill>
                    </w:rPr>
                    <w:t>～</w:t>
                  </w:r>
                  <w:r>
                    <w:rPr>
                      <w:color w:val="000000" w:themeColor="text1"/>
                      <w:kern w:val="0"/>
                      <w:sz w:val="21"/>
                      <w:szCs w:val="21"/>
                      <w:lang w:bidi="ar"/>
                      <w14:textFill>
                        <w14:solidFill>
                          <w14:schemeClr w14:val="tx1"/>
                        </w14:solidFill>
                      </w14:textFill>
                    </w:rPr>
                    <w:t>100cm</w:t>
                  </w:r>
                  <w:r>
                    <w:rPr>
                      <w:rFonts w:hint="eastAsia"/>
                      <w:color w:val="000000" w:themeColor="text1"/>
                      <w:kern w:val="0"/>
                      <w:sz w:val="21"/>
                      <w:szCs w:val="21"/>
                      <w:lang w:bidi="ar"/>
                      <w14:textFill>
                        <w14:solidFill>
                          <w14:schemeClr w14:val="tx1"/>
                        </w14:solidFill>
                      </w14:textFill>
                    </w:rPr>
                    <w:t>耕植土层后进行植被种植。</w:t>
                  </w:r>
                </w:p>
                <w:p w14:paraId="659C66EA">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c</w:t>
                  </w:r>
                  <w:r>
                    <w:rPr>
                      <w:rFonts w:hint="eastAsia"/>
                      <w:color w:val="000000" w:themeColor="text1"/>
                      <w:kern w:val="0"/>
                      <w:sz w:val="21"/>
                      <w:szCs w:val="21"/>
                      <w:lang w:bidi="ar"/>
                      <w14:textFill>
                        <w14:solidFill>
                          <w14:schemeClr w14:val="tx1"/>
                        </w14:solidFill>
                      </w14:textFill>
                    </w:rPr>
                    <w:t>、施工质量管理</w:t>
                  </w:r>
                </w:p>
                <w:p w14:paraId="262B664E">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施工方案包括施工质量保证和施工质量控制内容，明确环保条款和责任，施工完毕后保存施工报告、全套竣工图、所有材料的现场及实验室检测报告，提供人工防渗衬层完整性检测报告。</w:t>
                  </w:r>
                </w:p>
                <w:p w14:paraId="60C92EAD">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d</w:t>
                  </w:r>
                  <w:r>
                    <w:rPr>
                      <w:rFonts w:hint="eastAsia"/>
                      <w:color w:val="000000" w:themeColor="text1"/>
                      <w:kern w:val="0"/>
                      <w:sz w:val="21"/>
                      <w:szCs w:val="21"/>
                      <w:lang w:bidi="ar"/>
                      <w14:textFill>
                        <w14:solidFill>
                          <w14:schemeClr w14:val="tx1"/>
                        </w14:solidFill>
                      </w14:textFill>
                    </w:rPr>
                    <w:t>、防渗材料性能要求</w:t>
                  </w:r>
                </w:p>
                <w:p w14:paraId="7F9D2755">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双糙面防渗土工膜性能要求：土工膜幅宽应≥7m，极限厚度偏差应控制在±10%之内；土工膜产品颜色要求为黑色，外观质量应符合CJ/T234-2006的规定；其他性能指标应符合CJ/T234-2006的规定。</w:t>
                  </w:r>
                </w:p>
                <w:p w14:paraId="17A78195">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土工布性能要求：土工布原材料采用抗氧化性和紫外线强的长丝无纺土工布；土工布外观质量需逐卷进行检验和评定，每卷土工布不得出现孔洞和破损；外观疵点不得出现下表中的重缺陷，轻缺陷每200㎡不超过5个。</w:t>
                  </w:r>
                </w:p>
                <w:p w14:paraId="6E81931A">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③回填物料压实处置</w:t>
                  </w:r>
                </w:p>
                <w:p w14:paraId="385E530C">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根据查阅《某磷石膏尾矿库堆积坝渗透稳定性分析》（工程地质学报，</w:t>
                  </w:r>
                  <w:r>
                    <w:rPr>
                      <w:color w:val="000000" w:themeColor="text1"/>
                      <w:kern w:val="0"/>
                      <w:sz w:val="21"/>
                      <w:szCs w:val="21"/>
                      <w:lang w:bidi="ar"/>
                      <w14:textFill>
                        <w14:solidFill>
                          <w14:schemeClr w14:val="tx1"/>
                        </w14:solidFill>
                      </w14:textFill>
                    </w:rPr>
                    <w:t>1004-9665/2016/24</w:t>
                  </w:r>
                  <w:r>
                    <w:rPr>
                      <w:rFonts w:hint="eastAsia"/>
                      <w:color w:val="000000" w:themeColor="text1"/>
                      <w:kern w:val="0"/>
                      <w:sz w:val="21"/>
                      <w:szCs w:val="21"/>
                      <w:lang w:bidi="ar"/>
                      <w14:textFill>
                        <w14:solidFill>
                          <w14:schemeClr w14:val="tx1"/>
                        </w14:solidFill>
                      </w14:textFill>
                    </w:rPr>
                    <w:t>（</w:t>
                  </w:r>
                  <w:r>
                    <w:rPr>
                      <w:color w:val="000000" w:themeColor="text1"/>
                      <w:kern w:val="0"/>
                      <w:sz w:val="21"/>
                      <w:szCs w:val="21"/>
                      <w:lang w:bidi="ar"/>
                      <w14:textFill>
                        <w14:solidFill>
                          <w14:schemeClr w14:val="tx1"/>
                        </w14:solidFill>
                      </w14:textFill>
                    </w:rPr>
                    <w:t>4</w:t>
                  </w:r>
                  <w:r>
                    <w:rPr>
                      <w:rFonts w:hint="eastAsia"/>
                      <w:color w:val="000000" w:themeColor="text1"/>
                      <w:kern w:val="0"/>
                      <w:sz w:val="21"/>
                      <w:szCs w:val="21"/>
                      <w:lang w:bidi="ar"/>
                      <w14:textFill>
                        <w14:solidFill>
                          <w14:schemeClr w14:val="tx1"/>
                        </w14:solidFill>
                      </w14:textFill>
                    </w:rPr>
                    <w:t>）</w:t>
                  </w:r>
                  <w:r>
                    <w:rPr>
                      <w:color w:val="000000" w:themeColor="text1"/>
                      <w:kern w:val="0"/>
                      <w:sz w:val="21"/>
                      <w:szCs w:val="21"/>
                      <w:lang w:bidi="ar"/>
                      <w14:textFill>
                        <w14:solidFill>
                          <w14:schemeClr w14:val="tx1"/>
                        </w14:solidFill>
                      </w14:textFill>
                    </w:rPr>
                    <w:t>-0661-07</w:t>
                  </w:r>
                  <w:r>
                    <w:rPr>
                      <w:rFonts w:hint="eastAsia"/>
                      <w:color w:val="000000" w:themeColor="text1"/>
                      <w:kern w:val="0"/>
                      <w:sz w:val="21"/>
                      <w:szCs w:val="21"/>
                      <w:lang w:bidi="ar"/>
                      <w14:textFill>
                        <w14:solidFill>
                          <w14:schemeClr w14:val="tx1"/>
                        </w14:solidFill>
                      </w14:textFill>
                    </w:rPr>
                    <w:t>，褚学伟，许模，王中美），磷石膏随着堆积深度加深，渗透系数减小。要求磷石膏基生态修复材料堆排时进行压实，回填体施工必须严格按照《云南省寻甸县大旋塘采石场废弃矿坑生态修复实施方案》进行施工，落实好施工监理，确保回填堆体稳定、安全，规范施工。</w:t>
                  </w:r>
                </w:p>
                <w:p w14:paraId="2E438923">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④渗滤液导排</w:t>
                  </w:r>
                </w:p>
                <w:p w14:paraId="571ABBC5">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a</w:t>
                  </w:r>
                  <w:r>
                    <w:rPr>
                      <w:rFonts w:hint="eastAsia"/>
                      <w:color w:val="000000" w:themeColor="text1"/>
                      <w:kern w:val="0"/>
                      <w:sz w:val="21"/>
                      <w:szCs w:val="21"/>
                      <w:lang w:bidi="ar"/>
                      <w14:textFill>
                        <w14:solidFill>
                          <w14:schemeClr w14:val="tx1"/>
                        </w14:solidFill>
                      </w14:textFill>
                    </w:rPr>
                    <w:t>、回填修复区外部修建截排水沟，有效降低雨季施工期间雨水汇入回填修复区雨水，降低由于降雨形成的渗滤液水量；</w:t>
                  </w:r>
                </w:p>
                <w:p w14:paraId="6D092434">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b</w:t>
                  </w:r>
                  <w:r>
                    <w:rPr>
                      <w:rFonts w:hint="eastAsia"/>
                      <w:color w:val="000000" w:themeColor="text1"/>
                      <w:kern w:val="0"/>
                      <w:sz w:val="21"/>
                      <w:szCs w:val="21"/>
                      <w:lang w:bidi="ar"/>
                      <w14:textFill>
                        <w14:solidFill>
                          <w14:schemeClr w14:val="tx1"/>
                        </w14:solidFill>
                      </w14:textFill>
                    </w:rPr>
                    <w:t>、生态修复区在底部防渗层上设置渗滤液导排盲沟及导排管，将回填区渗滤液导出至收集井；</w:t>
                  </w:r>
                </w:p>
                <w:p w14:paraId="22BE8D36">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color w:val="000000" w:themeColor="text1"/>
                      <w:kern w:val="0"/>
                      <w:sz w:val="21"/>
                      <w:szCs w:val="21"/>
                      <w:lang w:bidi="ar"/>
                      <w14:textFill>
                        <w14:solidFill>
                          <w14:schemeClr w14:val="tx1"/>
                        </w14:solidFill>
                      </w14:textFill>
                    </w:rPr>
                    <w:t>c</w:t>
                  </w:r>
                  <w:r>
                    <w:rPr>
                      <w:rFonts w:hint="eastAsia"/>
                      <w:color w:val="000000" w:themeColor="text1"/>
                      <w:kern w:val="0"/>
                      <w:sz w:val="21"/>
                      <w:szCs w:val="21"/>
                      <w:lang w:bidi="ar"/>
                      <w14:textFill>
                        <w14:solidFill>
                          <w14:schemeClr w14:val="tx1"/>
                        </w14:solidFill>
                      </w14:textFill>
                    </w:rPr>
                    <w:t>、设置</w:t>
                  </w:r>
                  <w:r>
                    <w:rPr>
                      <w:color w:val="000000" w:themeColor="text1"/>
                      <w:kern w:val="0"/>
                      <w:sz w:val="21"/>
                      <w:szCs w:val="21"/>
                      <w:lang w:bidi="ar"/>
                      <w14:textFill>
                        <w14:solidFill>
                          <w14:schemeClr w14:val="tx1"/>
                        </w14:solidFill>
                      </w14:textFill>
                    </w:rPr>
                    <w:t>1</w:t>
                  </w:r>
                  <w:r>
                    <w:rPr>
                      <w:rFonts w:hint="eastAsia"/>
                      <w:color w:val="000000" w:themeColor="text1"/>
                      <w:kern w:val="0"/>
                      <w:sz w:val="21"/>
                      <w:szCs w:val="21"/>
                      <w:lang w:bidi="ar"/>
                      <w14:textFill>
                        <w14:solidFill>
                          <w14:schemeClr w14:val="tx1"/>
                        </w14:solidFill>
                      </w14:textFill>
                    </w:rPr>
                    <w:t>座渗滤液收集井，收集井采用</w:t>
                  </w:r>
                  <w:r>
                    <w:rPr>
                      <w:color w:val="000000" w:themeColor="text1"/>
                      <w:kern w:val="0"/>
                      <w:sz w:val="21"/>
                      <w:szCs w:val="21"/>
                      <w:lang w:bidi="ar"/>
                      <w14:textFill>
                        <w14:solidFill>
                          <w14:schemeClr w14:val="tx1"/>
                        </w14:solidFill>
                      </w14:textFill>
                    </w:rPr>
                    <w:t>C</w:t>
                  </w:r>
                  <w:r>
                    <w:rPr>
                      <w:rFonts w:hint="eastAsia"/>
                      <w:color w:val="000000" w:themeColor="text1"/>
                      <w:kern w:val="0"/>
                      <w:sz w:val="21"/>
                      <w:szCs w:val="21"/>
                      <w:lang w:bidi="ar"/>
                      <w14:textFill>
                        <w14:solidFill>
                          <w14:schemeClr w14:val="tx1"/>
                        </w14:solidFill>
                      </w14:textFill>
                    </w:rPr>
                    <w:t>20混凝土建造，渗滤液收集井定期巡检，发现破损及时修补。</w:t>
                  </w:r>
                </w:p>
                <w:p w14:paraId="7738CF11">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⑤地下水导排</w:t>
                  </w:r>
                </w:p>
                <w:p w14:paraId="159E0614">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修复区防渗膜底部共设置两横一纵导排盲沟，总长405m，盲沟宽上口2.68m，深1.25m，底部先铺设0.1m厚硅石层，安装排渗管后两侧及顶部均采用硅石层充填；导排盲沟管最终汇入到地下水收集井；防渗膜上层土工布顶部再设置一条收集渗滤液的DN280排渗管，总长380.5m，将场内的渗滤液排至渗滤液收集井。</w:t>
                  </w:r>
                </w:p>
                <w:p w14:paraId="3787AF0C">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⑥植被选择</w:t>
                  </w:r>
                </w:p>
                <w:p w14:paraId="19618C84">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乔木可选：考虑市场苗木供应，设计选择冬樱花进行种植。树种规格：地径1.5—4.0cm、高度≥150cm、冠幅：自然冠幅。</w:t>
                  </w:r>
                </w:p>
                <w:p w14:paraId="27C4B815">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灌木可选：考虑恢复效果，设计选择三角梅进行种植，树种规格：地径≥1cm、高度≥100cm、冠幅：自然冠幅。</w:t>
                  </w:r>
                </w:p>
                <w:p w14:paraId="029EC1EC">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草本可选：狗牙根，选用净度≥95，发芽率≥85，种子含水量≤12的</w:t>
                  </w:r>
                  <w:r>
                    <w:rPr>
                      <w:color w:val="000000" w:themeColor="text1"/>
                      <w:kern w:val="0"/>
                      <w:sz w:val="21"/>
                      <w:szCs w:val="21"/>
                      <w:lang w:bidi="ar"/>
                      <w14:textFill>
                        <w14:solidFill>
                          <w14:schemeClr w14:val="tx1"/>
                        </w14:solidFill>
                      </w14:textFill>
                    </w:rPr>
                    <w:t>Ⅰ</w:t>
                  </w:r>
                  <w:r>
                    <w:rPr>
                      <w:rFonts w:hint="eastAsia"/>
                      <w:color w:val="000000" w:themeColor="text1"/>
                      <w:kern w:val="0"/>
                      <w:sz w:val="21"/>
                      <w:szCs w:val="21"/>
                      <w:lang w:bidi="ar"/>
                      <w14:textFill>
                        <w14:solidFill>
                          <w14:schemeClr w14:val="tx1"/>
                        </w14:solidFill>
                      </w14:textFill>
                    </w:rPr>
                    <w:t>级种子。</w:t>
                  </w:r>
                </w:p>
                <w:p w14:paraId="5A4785DF">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C、末端监管</w:t>
                  </w:r>
                </w:p>
                <w:p w14:paraId="118990EA">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①末端监管主要采取设置地下水监控井，建立回填修复区地下水环境监控体系，包括建立地下水污染监控制度和环境管理体系，制定监测计划。</w:t>
                  </w:r>
                </w:p>
                <w:p w14:paraId="0375EBCF">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根据《改性磷石膏用于矿山废弃地生态修复回填技术规范》（DB53/T1269-2024），并结合项目实际水文地质调查情况，项目区项目区</w:t>
                  </w:r>
                  <w:r>
                    <w:rPr>
                      <w:rFonts w:hint="eastAsia"/>
                      <w:color w:val="000000" w:themeColor="text1"/>
                      <w:kern w:val="0"/>
                      <w:sz w:val="21"/>
                      <w:szCs w:val="21"/>
                      <w:lang w:val="en-US" w:eastAsia="zh-CN" w:bidi="ar"/>
                      <w14:textFill>
                        <w14:solidFill>
                          <w14:schemeClr w14:val="tx1"/>
                        </w14:solidFill>
                      </w14:textFill>
                    </w:rPr>
                    <w:t>共设置</w:t>
                  </w:r>
                  <w:r>
                    <w:rPr>
                      <w:rFonts w:hint="eastAsia" w:ascii="宋体" w:hAnsi="宋体"/>
                      <w:color w:val="000000" w:themeColor="text1"/>
                      <w:kern w:val="0"/>
                      <w:sz w:val="21"/>
                      <w:szCs w:val="21"/>
                      <w14:textFill>
                        <w14:solidFill>
                          <w14:schemeClr w14:val="tx1"/>
                        </w14:solidFill>
                      </w14:textFill>
                    </w:rPr>
                    <w:t>7</w:t>
                  </w:r>
                  <w:r>
                    <w:rPr>
                      <w:rFonts w:ascii="宋体" w:hAnsi="宋体"/>
                      <w:color w:val="000000" w:themeColor="text1"/>
                      <w:kern w:val="0"/>
                      <w:sz w:val="21"/>
                      <w:szCs w:val="21"/>
                      <w14:textFill>
                        <w14:solidFill>
                          <w14:schemeClr w14:val="tx1"/>
                        </w14:solidFill>
                      </w14:textFill>
                    </w:rPr>
                    <w:t>口地下水监测井</w:t>
                  </w:r>
                  <w:r>
                    <w:rPr>
                      <w:rFonts w:hint="eastAsia"/>
                      <w:color w:val="000000" w:themeColor="text1"/>
                      <w:kern w:val="0"/>
                      <w:sz w:val="21"/>
                      <w:szCs w:val="21"/>
                      <w:lang w:bidi="ar"/>
                      <w14:textFill>
                        <w14:solidFill>
                          <w14:schemeClr w14:val="tx1"/>
                        </w14:solidFill>
                      </w14:textFill>
                    </w:rPr>
                    <w:t>。对项目监控井水质持续跟踪监测。</w:t>
                  </w:r>
                </w:p>
                <w:p w14:paraId="6EF75925">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②排洪构筑物安全监测</w:t>
                  </w:r>
                </w:p>
                <w:p w14:paraId="6031C9D8">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排洪构筑物在汛期前应进行一次安全大检查，检查构筑物有无变形、位移、损毁、淤堵等情况，汛期应每天观察排水能力，发现异常，立即排除。</w:t>
                  </w:r>
                </w:p>
                <w:p w14:paraId="43E3FB0D">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③回填平台安全监测</w:t>
                  </w:r>
                </w:p>
                <w:p w14:paraId="45082D13">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回填安全监测内容包括：拦挡设施坝体轮廓尺寸、变形、裂缝、滑坡和渗漏、坝面保护监测等。平台位移监测可采用视准线法和前方交汇法。</w:t>
                  </w:r>
                </w:p>
                <w:p w14:paraId="114B722C">
                  <w:pPr>
                    <w:widowControl/>
                    <w:spacing w:line="240" w:lineRule="auto"/>
                    <w:ind w:firstLine="0" w:firstLineChars="0"/>
                    <w:jc w:val="left"/>
                    <w:rPr>
                      <w:b/>
                      <w:bCs/>
                      <w:color w:val="000000" w:themeColor="text1"/>
                      <w:kern w:val="0"/>
                      <w:sz w:val="21"/>
                      <w:szCs w:val="21"/>
                      <w:lang w:bidi="ar"/>
                      <w14:textFill>
                        <w14:solidFill>
                          <w14:schemeClr w14:val="tx1"/>
                        </w14:solidFill>
                      </w14:textFill>
                    </w:rPr>
                  </w:pPr>
                  <w:r>
                    <w:rPr>
                      <w:rFonts w:hint="eastAsia"/>
                      <w:b/>
                      <w:bCs/>
                      <w:color w:val="000000" w:themeColor="text1"/>
                      <w:kern w:val="0"/>
                      <w:sz w:val="21"/>
                      <w:szCs w:val="21"/>
                      <w:lang w:bidi="ar"/>
                      <w14:textFill>
                        <w14:solidFill>
                          <w14:schemeClr w14:val="tx1"/>
                        </w14:solidFill>
                      </w14:textFill>
                    </w:rPr>
                    <w:t>D、应急措施</w:t>
                  </w:r>
                </w:p>
                <w:p w14:paraId="74BAADBF">
                  <w:pPr>
                    <w:widowControl/>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在监控井水质异常情况下，须立即采取应急措施，对下游监控井进行抽水，阻断污染源进一步向下游扩散，启动应急方案，对泄漏渗滤液水质进行监测，将渗滤液抽排至回用水池暂存。</w:t>
                  </w:r>
                </w:p>
              </w:tc>
            </w:tr>
            <w:tr w14:paraId="3CF17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00" w:type="pct"/>
                  <w:gridSpan w:val="5"/>
                  <w:vAlign w:val="center"/>
                </w:tcPr>
                <w:p w14:paraId="1B97D4EA">
                  <w:pPr>
                    <w:widowControl/>
                    <w:adjustRightInd w:val="0"/>
                    <w:snapToGrid w:val="0"/>
                    <w:spacing w:line="240" w:lineRule="auto"/>
                    <w:ind w:firstLine="0" w:firstLineChars="0"/>
                    <w:jc w:val="left"/>
                    <w:rPr>
                      <w:color w:val="000000" w:themeColor="text1"/>
                      <w:kern w:val="0"/>
                      <w:sz w:val="21"/>
                      <w:szCs w:val="21"/>
                      <w:lang w:bidi="ar"/>
                      <w14:textFill>
                        <w14:solidFill>
                          <w14:schemeClr w14:val="tx1"/>
                        </w14:solidFill>
                      </w14:textFill>
                    </w:rPr>
                  </w:pPr>
                  <w:r>
                    <w:rPr>
                      <w:rFonts w:hint="eastAsia"/>
                      <w:color w:val="000000" w:themeColor="text1"/>
                      <w:kern w:val="0"/>
                      <w:sz w:val="21"/>
                      <w:szCs w:val="21"/>
                      <w:lang w:bidi="ar"/>
                      <w14:textFill>
                        <w14:solidFill>
                          <w14:schemeClr w14:val="tx1"/>
                        </w14:solidFill>
                      </w14:textFill>
                    </w:rPr>
                    <w:t>调表说明（列出项目相关信息及评价说明）</w:t>
                  </w:r>
                </w:p>
              </w:tc>
            </w:tr>
          </w:tbl>
          <w:p w14:paraId="2726D179">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（4）生态环境</w:t>
            </w:r>
          </w:p>
          <w:p w14:paraId="1637166E">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根据现场勘查，矿坑经前期多年矿山开采，矿界范围内土地遭到大面积破坏、区内植被遭受破坏程度严重、现矿坑周边仅少量地表植被覆盖、水土流失严重、生态环境差；矿坑内挖方边坡、填方边坡随处可见，形成了较多的不稳定斜坡等地质灾害体，影响周边山体的稳定。</w:t>
            </w:r>
          </w:p>
          <w:p w14:paraId="22821E00">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①水土流失：项目边坡治理过程中可能会加重区域的水土流失情况，引起地质环境灾害。在施工过程中严格按照项目生态修复方案进行施工及边坡稳定处理，并在施工过程中采取水土保持措施，以减缓施工过程中的生态影响。</w:t>
            </w:r>
          </w:p>
          <w:p w14:paraId="715F653B">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②植被：项目区内已基本无原生植被，因此项目建设对建设区内的植被破坏不大；项目建设的最终目的是对矿坑进行生态修复，对回填区坡面、平台全面覆土耕植土，覆土厚度1m，外购耕植土；非充填区域采用穴状覆土，乔木覆土0.8m，灌木/藤本覆土0.5m。填充区和非填充区分区块进行复绿，填充区：</w:t>
            </w:r>
            <w:r>
              <w:rPr>
                <w:rFonts w:hint="eastAsia"/>
                <w:color w:val="000000" w:themeColor="text1"/>
                <w:szCs w:val="21"/>
                <w14:textFill>
                  <w14:solidFill>
                    <w14:schemeClr w14:val="tx1"/>
                  </w14:solidFill>
                </w14:textFill>
              </w:rPr>
              <w:t>A区为充填区域</w:t>
            </w:r>
            <w:r>
              <w:rPr>
                <w:rFonts w:hint="eastAsia" w:ascii="宋体" w:hAnsi="宋体" w:cs="宋体"/>
                <w:color w:val="000000" w:themeColor="text1"/>
                <w14:textFill>
                  <w14:solidFill>
                    <w14:schemeClr w14:val="tx1"/>
                  </w14:solidFill>
                </w14:textFill>
              </w:rPr>
              <w:t>顶部平台复垦为旱地，边坡区域及堆积平台恢复为草地</w:t>
            </w:r>
            <w:r>
              <w:rPr>
                <w:rFonts w:hint="eastAsia"/>
                <w:color w:val="000000" w:themeColor="text1"/>
                <w:szCs w:val="21"/>
                <w14:textFill>
                  <w14:solidFill>
                    <w14:schemeClr w14:val="tx1"/>
                  </w14:solidFill>
                </w14:textFill>
              </w:rPr>
              <w:t>，后期交还政府，由政府自行规划开发</w:t>
            </w:r>
            <w:r>
              <w:rPr>
                <w:rFonts w:hint="eastAsia"/>
                <w:color w:val="000000" w:themeColor="text1"/>
                <w:kern w:val="0"/>
                <w:lang w:bidi="ar"/>
                <w14:textFill>
                  <w14:solidFill>
                    <w14:schemeClr w14:val="tx1"/>
                  </w14:solidFill>
                </w14:textFill>
              </w:rPr>
              <w:t>。非填充区：</w:t>
            </w:r>
            <w:r>
              <w:rPr>
                <w:rFonts w:hint="eastAsia"/>
                <w:color w:val="000000" w:themeColor="text1"/>
                <w:szCs w:val="21"/>
                <w14:textFill>
                  <w14:solidFill>
                    <w14:schemeClr w14:val="tx1"/>
                  </w14:solidFill>
                </w14:textFill>
              </w:rPr>
              <w:t>B区－生态重建（乔木林）恢复为林地</w:t>
            </w:r>
            <w:r>
              <w:rPr>
                <w:rFonts w:hint="eastAsia"/>
                <w:color w:val="000000" w:themeColor="text1"/>
                <w14:textFill>
                  <w14:solidFill>
                    <w14:schemeClr w14:val="tx1"/>
                  </w14:solidFill>
                </w14:textFill>
              </w:rPr>
              <w:t>。</w:t>
            </w:r>
            <w:r>
              <w:rPr>
                <w:rFonts w:hint="eastAsia" w:ascii="宋体" w:hAnsi="宋体" w:cs="宋体"/>
                <w:color w:val="000000" w:themeColor="text1"/>
                <w14:textFill>
                  <w14:solidFill>
                    <w14:schemeClr w14:val="tx1"/>
                  </w14:solidFill>
                </w14:textFill>
              </w:rPr>
              <w:t>C1区-辅助再生（其它草地）在坡脚种植藤木，采用穴坑种植，穴状规格为：0.50m×0.50m×0.50m，每穴插3株，间隔1m；坡面不覆土散播草籽进行复绿，草籽选用狗牙根草籽，播撒密度200kg/hm</w:t>
            </w:r>
            <w:r>
              <w:rPr>
                <w:rFonts w:hint="eastAsia" w:ascii="宋体" w:hAnsi="宋体" w:cs="宋体"/>
                <w:color w:val="000000" w:themeColor="text1"/>
                <w:vertAlign w:val="superscript"/>
                <w14:textFill>
                  <w14:solidFill>
                    <w14:schemeClr w14:val="tx1"/>
                  </w14:solidFill>
                </w14:textFill>
              </w:rPr>
              <w:t>2</w:t>
            </w:r>
            <w:r>
              <w:rPr>
                <w:rFonts w:hint="eastAsia" w:ascii="宋体" w:hAnsi="宋体" w:cs="宋体"/>
                <w:color w:val="000000" w:themeColor="text1"/>
                <w14:textFill>
                  <w14:solidFill>
                    <w14:schemeClr w14:val="tx1"/>
                  </w14:solidFill>
                </w14:textFill>
              </w:rPr>
              <w:t>；C2区－（辅助再生区－其它草地）：拟建碾压土石坝外侧坡面及西侧施工便道，工程结束后，以不覆土撒播草籽进行复绿，播撒密度200kg/hm</w:t>
            </w:r>
            <w:r>
              <w:rPr>
                <w:rFonts w:hint="eastAsia" w:ascii="宋体" w:hAnsi="宋体" w:cs="宋体"/>
                <w:color w:val="000000" w:themeColor="text1"/>
                <w:vertAlign w:val="superscript"/>
                <w14:textFill>
                  <w14:solidFill>
                    <w14:schemeClr w14:val="tx1"/>
                  </w14:solidFill>
                </w14:textFill>
              </w:rPr>
              <w:t>2</w:t>
            </w:r>
            <w:r>
              <w:rPr>
                <w:rFonts w:hint="eastAsia"/>
                <w:color w:val="000000" w:themeColor="text1"/>
                <w:kern w:val="0"/>
                <w:lang w:bidi="ar"/>
                <w14:textFill>
                  <w14:solidFill>
                    <w14:schemeClr w14:val="tx1"/>
                  </w14:solidFill>
                </w14:textFill>
              </w:rPr>
              <w:t>，届时因矿区开发建设而造成的植被破坏将得到恢复，在较短的时间尺度上来看，因该项目建设而造成的少量植被的破坏是暂时的和可逆的。</w:t>
            </w:r>
          </w:p>
          <w:p w14:paraId="4B16E157">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③项目区内原生生态系统已完全破坏，野生动物生境完全恶化，不再适宜野生动物生存，项目区内野生动物不得不迁徙另辟生境，现状区内未发现大中型野生动物存在，待生态恢复后，届时因矿区开发建设而造成植被破坏将得到恢复，动物逐渐回迁。施工期间要求文明施工，严禁非法猎捕鸟类、兽类等野生动物。</w:t>
            </w:r>
          </w:p>
          <w:p w14:paraId="2E6C65D2">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④景观：现在项目区内主要为裸露的岩石地表，基本没有植被覆盖，呈现一块灰白色的块状，与周边的绿色林地形成鲜明对比，严重影响了这一片区的景观。项目生态修复完成后，可</w:t>
            </w:r>
            <w:r>
              <w:rPr>
                <w:rFonts w:hint="eastAsia"/>
                <w:color w:val="000000" w:themeColor="text1"/>
                <w:szCs w:val="22"/>
                <w14:textFill>
                  <w14:solidFill>
                    <w14:schemeClr w14:val="tx1"/>
                  </w14:solidFill>
                </w14:textFill>
              </w:rPr>
              <w:t>新增林地</w:t>
            </w:r>
            <w:r>
              <w:rPr>
                <w:rFonts w:hint="eastAsia"/>
                <w:color w:val="000000" w:themeColor="text1"/>
                <w:szCs w:val="22"/>
                <w:lang w:eastAsia="zh-CN"/>
                <w14:textFill>
                  <w14:solidFill>
                    <w14:schemeClr w14:val="tx1"/>
                  </w14:solidFill>
                </w14:textFill>
              </w:rPr>
              <w:t>127097</w:t>
            </w:r>
            <w:r>
              <w:rPr>
                <w:rFonts w:hint="eastAsia"/>
                <w:color w:val="000000" w:themeColor="text1"/>
                <w:szCs w:val="22"/>
                <w14:textFill>
                  <w14:solidFill>
                    <w14:schemeClr w14:val="tx1"/>
                  </w14:solidFill>
                </w14:textFill>
              </w:rPr>
              <w:t>m</w:t>
            </w:r>
            <w:r>
              <w:rPr>
                <w:rFonts w:hint="eastAsia"/>
                <w:color w:val="000000" w:themeColor="text1"/>
                <w:szCs w:val="22"/>
                <w:vertAlign w:val="superscript"/>
                <w14:textFill>
                  <w14:solidFill>
                    <w14:schemeClr w14:val="tx1"/>
                  </w14:solidFill>
                </w14:textFill>
              </w:rPr>
              <w:t>2</w:t>
            </w:r>
            <w:r>
              <w:rPr>
                <w:rFonts w:hint="eastAsia"/>
                <w:color w:val="000000" w:themeColor="text1"/>
                <w:szCs w:val="22"/>
                <w14:textFill>
                  <w14:solidFill>
                    <w14:schemeClr w14:val="tx1"/>
                  </w14:solidFill>
                </w14:textFill>
              </w:rPr>
              <w:t>。</w:t>
            </w:r>
          </w:p>
          <w:p w14:paraId="415E6CB2">
            <w:pPr>
              <w:widowControl/>
              <w:ind w:firstLine="480"/>
              <w:jc w:val="left"/>
              <w:rPr>
                <w:rFonts w:hint="eastAsia"/>
                <w:kern w:val="0"/>
                <w:lang w:val="en-US" w:eastAsia="zh-CN" w:bidi="ar"/>
              </w:rPr>
            </w:pPr>
            <w:r>
              <w:rPr>
                <w:rFonts w:hint="eastAsia"/>
                <w:kern w:val="0"/>
                <w:lang w:val="en-US" w:eastAsia="zh-CN" w:bidi="ar"/>
              </w:rPr>
              <w:t>⑤</w:t>
            </w:r>
            <w:r>
              <w:rPr>
                <w:kern w:val="0"/>
                <w:lang w:bidi="ar"/>
              </w:rPr>
              <w:t>本项目为废弃矿坑生态修复项目，项目占地面积</w:t>
            </w:r>
            <w:r>
              <w:rPr>
                <w:rFonts w:hint="eastAsia"/>
                <w:kern w:val="0"/>
                <w:lang w:eastAsia="zh-CN" w:bidi="ar"/>
              </w:rPr>
              <w:t>127097</w:t>
            </w:r>
            <w:r>
              <w:rPr>
                <w:kern w:val="0"/>
                <w:lang w:bidi="ar"/>
              </w:rPr>
              <w:t>m</w:t>
            </w:r>
            <w:r>
              <w:rPr>
                <w:kern w:val="0"/>
                <w:vertAlign w:val="superscript"/>
                <w:lang w:bidi="ar"/>
              </w:rPr>
              <w:t>2</w:t>
            </w:r>
            <w:r>
              <w:rPr>
                <w:kern w:val="0"/>
                <w:lang w:bidi="ar"/>
              </w:rPr>
              <w:t>。</w:t>
            </w:r>
            <w:r>
              <w:rPr>
                <w:rFonts w:hint="eastAsia"/>
                <w:color w:val="000000" w:themeColor="text1"/>
                <w:highlight w:val="none"/>
                <w14:textFill>
                  <w14:solidFill>
                    <w14:schemeClr w14:val="tx1"/>
                  </w14:solidFill>
                </w14:textFill>
              </w:rPr>
              <w:t>项目修复范围</w:t>
            </w:r>
            <w:r>
              <w:rPr>
                <w:rFonts w:hint="eastAsia"/>
                <w:color w:val="000000" w:themeColor="text1"/>
                <w:highlight w:val="none"/>
                <w:lang w:val="en-US" w:eastAsia="zh-CN"/>
                <w14:textFill>
                  <w14:solidFill>
                    <w14:schemeClr w14:val="tx1"/>
                  </w14:solidFill>
                </w14:textFill>
              </w:rPr>
              <w:t>内为</w:t>
            </w:r>
            <w:r>
              <w:rPr>
                <w:rFonts w:hint="eastAsia"/>
                <w:color w:val="000000" w:themeColor="text1"/>
                <w:highlight w:val="none"/>
                <w14:textFill>
                  <w14:solidFill>
                    <w14:schemeClr w14:val="tx1"/>
                  </w14:solidFill>
                </w14:textFill>
              </w:rPr>
              <w:t>采矿用地</w:t>
            </w:r>
            <w:r>
              <w:rPr>
                <w:rFonts w:hint="eastAsia"/>
                <w:color w:val="000000" w:themeColor="text1"/>
                <w:highlight w:val="none"/>
                <w:lang w:val="en-US" w:eastAsia="zh-CN"/>
                <w14:textFill>
                  <w14:solidFill>
                    <w14:schemeClr w14:val="tx1"/>
                  </w14:solidFill>
                </w14:textFill>
              </w:rPr>
              <w:t>和</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项目修复范围均在矿山开采遗留用地内进行修复，未新增占地</w:t>
            </w:r>
            <w:r>
              <w:rPr>
                <w:rFonts w:hint="eastAsia"/>
                <w:color w:val="000000" w:themeColor="text1"/>
                <w:highlight w:val="none"/>
                <w:lang w:eastAsia="zh-CN"/>
                <w14:textFill>
                  <w14:solidFill>
                    <w14:schemeClr w14:val="tx1"/>
                  </w14:solidFill>
                </w14:textFill>
              </w:rPr>
              <w:t>。</w:t>
            </w:r>
            <w:r>
              <w:rPr>
                <w:rFonts w:hint="eastAsia"/>
                <w:color w:val="000000" w:themeColor="text1"/>
                <w:highlight w:val="none"/>
                <w:lang w:val="en-US" w:eastAsia="zh-CN"/>
                <w14:textFill>
                  <w14:solidFill>
                    <w14:schemeClr w14:val="tx1"/>
                  </w14:solidFill>
                </w14:textFill>
              </w:rPr>
              <w:t>项目修复区</w:t>
            </w:r>
            <w:r>
              <w:rPr>
                <w:rFonts w:hint="eastAsia"/>
                <w:color w:val="000000" w:themeColor="text1"/>
                <w:highlight w:val="none"/>
                <w14:textFill>
                  <w14:solidFill>
                    <w14:schemeClr w14:val="tx1"/>
                  </w14:solidFill>
                </w14:textFill>
              </w:rPr>
              <w:t>复垦方向初步是林地，具体复垦方向后期按评审过的生态修复方案为主。</w:t>
            </w:r>
          </w:p>
          <w:p w14:paraId="357B8728">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项目生态修复恢复为林地、旱地</w:t>
            </w:r>
            <w:r>
              <w:rPr>
                <w:rFonts w:hint="eastAsia"/>
                <w:color w:val="000000" w:themeColor="text1"/>
                <w:kern w:val="0"/>
                <w:lang w:eastAsia="zh-CN" w:bidi="ar"/>
                <w14:textFill>
                  <w14:solidFill>
                    <w14:schemeClr w14:val="tx1"/>
                  </w14:solidFill>
                </w14:textFill>
              </w:rPr>
              <w:t>，</w:t>
            </w:r>
            <w:r>
              <w:rPr>
                <w:rFonts w:hint="eastAsia"/>
                <w:color w:val="000000" w:themeColor="text1"/>
                <w:kern w:val="0"/>
                <w:lang w:bidi="ar"/>
                <w14:textFill>
                  <w14:solidFill>
                    <w14:schemeClr w14:val="tx1"/>
                  </w14:solidFill>
                </w14:textFill>
              </w:rPr>
              <w:t>符合全域整治规划，项目旱地及林地景观与周边土地利用类型相近，与周边生态系统协调性较好。</w:t>
            </w:r>
          </w:p>
          <w:p w14:paraId="57C42BD6">
            <w:pPr>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综上，施工期间在采取一定的水土保持措施，施工管理措施后，施工期对生态环境影响不大。</w:t>
            </w:r>
          </w:p>
        </w:tc>
      </w:tr>
      <w:tr w14:paraId="5BBA5D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Align w:val="center"/>
          </w:tcPr>
          <w:p w14:paraId="319DD4A2">
            <w:pPr>
              <w:spacing w:line="240" w:lineRule="auto"/>
              <w:ind w:firstLine="0" w:firstLineChars="0"/>
              <w:jc w:val="center"/>
              <w:rPr>
                <w:bCs/>
                <w:color w:val="000000" w:themeColor="text1"/>
                <w:spacing w:val="10"/>
                <w14:textFill>
                  <w14:solidFill>
                    <w14:schemeClr w14:val="tx1"/>
                  </w14:solidFill>
                </w14:textFill>
              </w:rPr>
            </w:pPr>
            <w:r>
              <w:rPr>
                <w:rFonts w:hint="eastAsia"/>
                <w:bCs/>
                <w:color w:val="000000" w:themeColor="text1"/>
                <w:spacing w:val="10"/>
                <w14:textFill>
                  <w14:solidFill>
                    <w14:schemeClr w14:val="tx1"/>
                  </w14:solidFill>
                </w14:textFill>
              </w:rPr>
              <w:t>运营期生态环境影响分析</w:t>
            </w:r>
          </w:p>
        </w:tc>
        <w:tc>
          <w:tcPr>
            <w:tcW w:w="8048" w:type="dxa"/>
          </w:tcPr>
          <w:p w14:paraId="425C425F">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项目运营期主要工作内容为后期绿化的养护和补植等内容。通过采取相应的生态修复措施，矿山生态修复总面积</w:t>
            </w:r>
            <w:r>
              <w:rPr>
                <w:rFonts w:hint="eastAsia"/>
                <w:color w:val="000000" w:themeColor="text1"/>
                <w:kern w:val="0"/>
                <w:lang w:eastAsia="zh-CN" w:bidi="ar"/>
                <w14:textFill>
                  <w14:solidFill>
                    <w14:schemeClr w14:val="tx1"/>
                  </w14:solidFill>
                </w14:textFill>
              </w:rPr>
              <w:t>127097</w:t>
            </w:r>
            <w:r>
              <w:rPr>
                <w:rFonts w:hint="eastAsia"/>
                <w:color w:val="000000" w:themeColor="text1"/>
                <w:kern w:val="0"/>
                <w:lang w:bidi="ar"/>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w:t>
            </w:r>
          </w:p>
          <w:p w14:paraId="23846FEB">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项目为矿坑生态修复，运营期无废气、噪声、固废产生；回填区底部、边坡、顶部均进行防渗，回填完成后覆土进行土地复垦，运营期回填体渗滤液产生量逐渐减少。</w:t>
            </w:r>
          </w:p>
          <w:p w14:paraId="341D7508">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1、运营期生态环境影响分析</w:t>
            </w:r>
          </w:p>
          <w:p w14:paraId="7E95A45B">
            <w:pPr>
              <w:widowControl/>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（1）生态环境影响及生物多样性分析</w:t>
            </w:r>
          </w:p>
          <w:p w14:paraId="05BDF0CD">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实施后，通过矿坑清理、矿坑回填、土地整治、植被恢复等各项措施的实施，①使矿坑林草植被覆盖、恢复，能改善土壤物理、化学性状，提高土壤肥力、减少水土流失；②消除矿坑地质灾害、安全、环保等各类隐患，改善生态环境；③削弱矿坑扬尘对周边空气的影响、矿坑积水对周边地表水及地下水环境的影响；④增加项目区内动植物种类，并且随着项目区植被的大面积恢复，使得项目区的生态功能得到提高，动植物的生存环境得到改善，生物多样性得到丰富；⑤改善项目区周边小气候，调节周边温度、湿度和风力，还能净化空气，有效地改善因前期采矿活动对生态环境带来的负面影响，改变项目区景观。</w:t>
            </w:r>
          </w:p>
          <w:p w14:paraId="1558A901">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综上，项目实施对区域生态环境提升有积极意义。</w:t>
            </w:r>
          </w:p>
          <w:p w14:paraId="39BE9E7B">
            <w:pPr>
              <w:widowControl/>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（2）生态环境效益分析</w:t>
            </w:r>
          </w:p>
          <w:p w14:paraId="77B5799B">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项目实施后，生态修复面积</w:t>
            </w:r>
            <w:r>
              <w:rPr>
                <w:rFonts w:hint="eastAsia"/>
                <w:color w:val="000000" w:themeColor="text1"/>
                <w:szCs w:val="22"/>
                <w:lang w:eastAsia="zh-CN"/>
                <w14:textFill>
                  <w14:solidFill>
                    <w14:schemeClr w14:val="tx1"/>
                  </w14:solidFill>
                </w14:textFill>
              </w:rPr>
              <w:t>127097</w:t>
            </w:r>
            <w:r>
              <w:rPr>
                <w:rFonts w:hint="eastAsia"/>
                <w:color w:val="000000" w:themeColor="text1"/>
                <w:szCs w:val="22"/>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w:t>
            </w:r>
          </w:p>
          <w:p w14:paraId="7B0BBCB6">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通过本方案的实施，能有效改变原有露天采场的地形地貌景观，原有地质灾害得到全部治理，新增林地面积和旱地面积，增加了林草植被覆盖率，有效地改善了原来采矿活动对生态环境带来的负面影响。</w:t>
            </w:r>
          </w:p>
          <w:p w14:paraId="0F6EB76B">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据相关资料表明，林木每生长</w:t>
            </w:r>
            <w:r>
              <w:rPr>
                <w:color w:val="000000" w:themeColor="text1"/>
                <w:kern w:val="0"/>
                <w:lang w:bidi="ar"/>
                <w14:textFill>
                  <w14:solidFill>
                    <w14:schemeClr w14:val="tx1"/>
                  </w14:solidFill>
                </w14:textFill>
              </w:rPr>
              <w:t>1</w:t>
            </w:r>
            <w:r>
              <w:rPr>
                <w:rFonts w:hint="eastAsia"/>
                <w:color w:val="000000" w:themeColor="text1"/>
                <w:kern w:val="0"/>
                <w:lang w:bidi="ar"/>
                <w14:textFill>
                  <w14:solidFill>
                    <w14:schemeClr w14:val="tx1"/>
                  </w14:solidFill>
                </w14:textFill>
              </w:rPr>
              <w:t>立方米蓄积量，大约可以吸收</w:t>
            </w:r>
            <w:r>
              <w:rPr>
                <w:color w:val="000000" w:themeColor="text1"/>
                <w:kern w:val="0"/>
                <w:lang w:bidi="ar"/>
                <w14:textFill>
                  <w14:solidFill>
                    <w14:schemeClr w14:val="tx1"/>
                  </w14:solidFill>
                </w14:textFill>
              </w:rPr>
              <w:t>1.83</w:t>
            </w:r>
            <w:r>
              <w:rPr>
                <w:rFonts w:hint="eastAsia"/>
                <w:color w:val="000000" w:themeColor="text1"/>
                <w:kern w:val="0"/>
                <w:lang w:bidi="ar"/>
                <w14:textFill>
                  <w14:solidFill>
                    <w14:schemeClr w14:val="tx1"/>
                  </w14:solidFill>
                </w14:textFill>
              </w:rPr>
              <w:t>吨二氧化碳，释放</w:t>
            </w:r>
            <w:r>
              <w:rPr>
                <w:color w:val="000000" w:themeColor="text1"/>
                <w:kern w:val="0"/>
                <w:lang w:bidi="ar"/>
                <w14:textFill>
                  <w14:solidFill>
                    <w14:schemeClr w14:val="tx1"/>
                  </w14:solidFill>
                </w14:textFill>
              </w:rPr>
              <w:t>1.62</w:t>
            </w:r>
            <w:r>
              <w:rPr>
                <w:rFonts w:hint="eastAsia"/>
                <w:color w:val="000000" w:themeColor="text1"/>
                <w:kern w:val="0"/>
                <w:lang w:bidi="ar"/>
                <w14:textFill>
                  <w14:solidFill>
                    <w14:schemeClr w14:val="tx1"/>
                  </w14:solidFill>
                </w14:textFill>
              </w:rPr>
              <w:t>吨氧气。旱冬瓜</w:t>
            </w:r>
            <w:r>
              <w:rPr>
                <w:color w:val="000000" w:themeColor="text1"/>
                <w:kern w:val="0"/>
                <w:lang w:bidi="ar"/>
                <w14:textFill>
                  <w14:solidFill>
                    <w14:schemeClr w14:val="tx1"/>
                  </w14:solidFill>
                </w14:textFill>
              </w:rPr>
              <w:t>10</w:t>
            </w:r>
            <w:r>
              <w:rPr>
                <w:rFonts w:hint="eastAsia"/>
                <w:color w:val="000000" w:themeColor="text1"/>
                <w:kern w:val="0"/>
                <w:lang w:bidi="ar"/>
                <w14:textFill>
                  <w14:solidFill>
                    <w14:schemeClr w14:val="tx1"/>
                  </w14:solidFill>
                </w14:textFill>
              </w:rPr>
              <w:t>年生人工林，每公顷蓄积量</w:t>
            </w:r>
            <w:r>
              <w:rPr>
                <w:color w:val="000000" w:themeColor="text1"/>
                <w:kern w:val="0"/>
                <w:lang w:bidi="ar"/>
                <w14:textFill>
                  <w14:solidFill>
                    <w14:schemeClr w14:val="tx1"/>
                  </w14:solidFill>
                </w14:textFill>
              </w:rPr>
              <w:t>149</w:t>
            </w:r>
            <w:r>
              <w:rPr>
                <w:rFonts w:hint="eastAsia"/>
                <w:color w:val="000000" w:themeColor="text1"/>
                <w:kern w:val="0"/>
                <w:lang w:bidi="ar"/>
                <w14:textFill>
                  <w14:solidFill>
                    <w14:schemeClr w14:val="tx1"/>
                  </w14:solidFill>
                </w14:textFill>
              </w:rPr>
              <w:t>m³</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hm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，20年生时，蓄积量为</w:t>
            </w:r>
            <w:r>
              <w:rPr>
                <w:color w:val="000000" w:themeColor="text1"/>
                <w:kern w:val="0"/>
                <w:lang w:bidi="ar"/>
                <w14:textFill>
                  <w14:solidFill>
                    <w14:schemeClr w14:val="tx1"/>
                  </w14:solidFill>
                </w14:textFill>
              </w:rPr>
              <w:t>250</w:t>
            </w:r>
            <w:r>
              <w:rPr>
                <w:rFonts w:hint="eastAsia"/>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300</w:t>
            </w:r>
            <w:r>
              <w:rPr>
                <w:rFonts w:hint="eastAsia"/>
                <w:color w:val="000000" w:themeColor="text1"/>
                <w:kern w:val="0"/>
                <w:lang w:bidi="ar"/>
                <w14:textFill>
                  <w14:solidFill>
                    <w14:schemeClr w14:val="tx1"/>
                  </w14:solidFill>
                </w14:textFill>
              </w:rPr>
              <w:t>m³</w:t>
            </w:r>
            <w:r>
              <w:rPr>
                <w:color w:val="000000" w:themeColor="text1"/>
                <w:kern w:val="0"/>
                <w:lang w:bidi="ar"/>
                <w14:textFill>
                  <w14:solidFill>
                    <w14:schemeClr w14:val="tx1"/>
                  </w14:solidFill>
                </w14:textFill>
              </w:rPr>
              <w:t>/</w:t>
            </w:r>
            <w:r>
              <w:rPr>
                <w:rFonts w:hint="eastAsia"/>
                <w:color w:val="000000" w:themeColor="text1"/>
                <w:kern w:val="0"/>
                <w:lang w:bidi="ar"/>
                <w14:textFill>
                  <w14:solidFill>
                    <w14:schemeClr w14:val="tx1"/>
                  </w14:solidFill>
                </w14:textFill>
              </w:rPr>
              <w:t>hm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。根据《全国青少年绿化知道普及教育</w:t>
            </w:r>
            <w:r>
              <w:rPr>
                <w:color w:val="000000" w:themeColor="text1"/>
                <w:kern w:val="0"/>
                <w:lang w:bidi="ar"/>
                <w14:textFill>
                  <w14:solidFill>
                    <w14:schemeClr w14:val="tx1"/>
                  </w14:solidFill>
                </w14:textFill>
              </w:rPr>
              <w:t>300</w:t>
            </w:r>
            <w:r>
              <w:rPr>
                <w:rFonts w:hint="eastAsia"/>
                <w:color w:val="000000" w:themeColor="text1"/>
                <w:kern w:val="0"/>
                <w:lang w:bidi="ar"/>
                <w14:textFill>
                  <w14:solidFill>
                    <w14:schemeClr w14:val="tx1"/>
                  </w14:solidFill>
                </w14:textFill>
              </w:rPr>
              <w:t>问》，每公顷草坪每天吸收</w:t>
            </w:r>
            <w:r>
              <w:rPr>
                <w:color w:val="000000" w:themeColor="text1"/>
                <w:kern w:val="0"/>
                <w:lang w:bidi="ar"/>
                <w14:textFill>
                  <w14:solidFill>
                    <w14:schemeClr w14:val="tx1"/>
                  </w14:solidFill>
                </w14:textFill>
              </w:rPr>
              <w:t>CO</w:t>
            </w:r>
            <w:r>
              <w:rPr>
                <w:color w:val="000000" w:themeColor="text1"/>
                <w:kern w:val="0"/>
                <w:sz w:val="15"/>
                <w:szCs w:val="15"/>
                <w:lang w:bidi="ar"/>
                <w14:textFill>
                  <w14:solidFill>
                    <w14:schemeClr w14:val="tx1"/>
                  </w14:solidFill>
                </w14:textFill>
              </w:rPr>
              <w:t>2</w:t>
            </w:r>
            <w:r>
              <w:rPr>
                <w:rFonts w:hint="eastAsia"/>
                <w:color w:val="000000" w:themeColor="text1"/>
                <w:kern w:val="0"/>
                <w:lang w:bidi="ar"/>
                <w14:textFill>
                  <w14:solidFill>
                    <w14:schemeClr w14:val="tx1"/>
                  </w14:solidFill>
                </w14:textFill>
              </w:rPr>
              <w:t>量约为</w:t>
            </w:r>
            <w:r>
              <w:rPr>
                <w:color w:val="000000" w:themeColor="text1"/>
                <w:kern w:val="0"/>
                <w:lang w:bidi="ar"/>
                <w14:textFill>
                  <w14:solidFill>
                    <w14:schemeClr w14:val="tx1"/>
                  </w14:solidFill>
                </w14:textFill>
              </w:rPr>
              <w:t>900kg</w:t>
            </w:r>
            <w:r>
              <w:rPr>
                <w:rFonts w:hint="eastAsia"/>
                <w:color w:val="000000" w:themeColor="text1"/>
                <w:kern w:val="0"/>
                <w:lang w:bidi="ar"/>
                <w14:textFill>
                  <w14:solidFill>
                    <w14:schemeClr w14:val="tx1"/>
                  </w14:solidFill>
                </w14:textFill>
              </w:rPr>
              <w:t>，释放</w:t>
            </w:r>
            <w:r>
              <w:rPr>
                <w:color w:val="000000" w:themeColor="text1"/>
                <w:kern w:val="0"/>
                <w:lang w:bidi="ar"/>
                <w14:textFill>
                  <w14:solidFill>
                    <w14:schemeClr w14:val="tx1"/>
                  </w14:solidFill>
                </w14:textFill>
              </w:rPr>
              <w:t>O</w:t>
            </w:r>
            <w:r>
              <w:rPr>
                <w:color w:val="000000" w:themeColor="text1"/>
                <w:kern w:val="0"/>
                <w:sz w:val="15"/>
                <w:szCs w:val="15"/>
                <w:lang w:bidi="ar"/>
                <w14:textFill>
                  <w14:solidFill>
                    <w14:schemeClr w14:val="tx1"/>
                  </w14:solidFill>
                </w14:textFill>
              </w:rPr>
              <w:t>2</w:t>
            </w:r>
            <w:r>
              <w:rPr>
                <w:rFonts w:hint="eastAsia"/>
                <w:color w:val="000000" w:themeColor="text1"/>
                <w:kern w:val="0"/>
                <w:lang w:bidi="ar"/>
                <w14:textFill>
                  <w14:solidFill>
                    <w14:schemeClr w14:val="tx1"/>
                  </w14:solidFill>
                </w14:textFill>
              </w:rPr>
              <w:t>约</w:t>
            </w:r>
            <w:r>
              <w:rPr>
                <w:color w:val="000000" w:themeColor="text1"/>
                <w:kern w:val="0"/>
                <w:lang w:bidi="ar"/>
                <w14:textFill>
                  <w14:solidFill>
                    <w14:schemeClr w14:val="tx1"/>
                  </w14:solidFill>
                </w14:textFill>
              </w:rPr>
              <w:t>650kg</w:t>
            </w:r>
            <w:r>
              <w:rPr>
                <w:rFonts w:hint="eastAsia"/>
                <w:color w:val="000000" w:themeColor="text1"/>
                <w:kern w:val="0"/>
                <w:lang w:bidi="ar"/>
                <w14:textFill>
                  <w14:solidFill>
                    <w14:schemeClr w14:val="tx1"/>
                  </w14:solidFill>
                </w14:textFill>
              </w:rPr>
              <w:t>。</w:t>
            </w:r>
          </w:p>
          <w:p w14:paraId="0F0209C3">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回填修复区恢复为林地面积</w:t>
            </w:r>
            <w:r>
              <w:rPr>
                <w:rFonts w:hint="eastAsia"/>
                <w:color w:val="000000" w:themeColor="text1"/>
                <w:kern w:val="0"/>
                <w:lang w:eastAsia="zh-CN" w:bidi="ar"/>
                <w14:textFill>
                  <w14:solidFill>
                    <w14:schemeClr w14:val="tx1"/>
                  </w14:solidFill>
                </w14:textFill>
              </w:rPr>
              <w:t>127097</w:t>
            </w:r>
            <w:r>
              <w:rPr>
                <w:rFonts w:hint="eastAsia"/>
                <w:color w:val="000000" w:themeColor="text1"/>
                <w:kern w:val="0"/>
                <w:lang w:bidi="ar"/>
                <w14:textFill>
                  <w14:solidFill>
                    <w14:schemeClr w14:val="tx1"/>
                  </w14:solidFill>
                </w14:textFill>
              </w:rPr>
              <w:t>m</w:t>
            </w:r>
            <w:r>
              <w:rPr>
                <w:rFonts w:hint="eastAsia"/>
                <w:color w:val="000000" w:themeColor="text1"/>
                <w:kern w:val="0"/>
                <w:vertAlign w:val="superscript"/>
                <w:lang w:bidi="ar"/>
                <w14:textFill>
                  <w14:solidFill>
                    <w14:schemeClr w14:val="tx1"/>
                  </w14:solidFill>
                </w14:textFill>
              </w:rPr>
              <w:t>2</w:t>
            </w:r>
            <w:r>
              <w:rPr>
                <w:rFonts w:hint="eastAsia"/>
                <w:color w:val="000000" w:themeColor="text1"/>
                <w:kern w:val="0"/>
                <w:lang w:bidi="ar"/>
                <w14:textFill>
                  <w14:solidFill>
                    <w14:schemeClr w14:val="tx1"/>
                  </w14:solidFill>
                </w14:textFill>
              </w:rPr>
              <w:t>，则工程实施后随着林木增长，项目区碳汇也逐年增长，</w:t>
            </w:r>
            <w:r>
              <w:rPr>
                <w:color w:val="000000" w:themeColor="text1"/>
                <w:kern w:val="0"/>
                <w:lang w:bidi="ar"/>
                <w14:textFill>
                  <w14:solidFill>
                    <w14:schemeClr w14:val="tx1"/>
                  </w14:solidFill>
                </w14:textFill>
              </w:rPr>
              <w:t>10</w:t>
            </w:r>
            <w:r>
              <w:rPr>
                <w:rFonts w:hint="eastAsia"/>
                <w:color w:val="000000" w:themeColor="text1"/>
                <w:kern w:val="0"/>
                <w:lang w:bidi="ar"/>
                <w14:textFill>
                  <w14:solidFill>
                    <w14:schemeClr w14:val="tx1"/>
                  </w14:solidFill>
                </w14:textFill>
              </w:rPr>
              <w:t>年后，可吸收二氧化碳约</w:t>
            </w:r>
            <w:r>
              <w:rPr>
                <w:rFonts w:hint="eastAsia"/>
                <w:color w:val="000000" w:themeColor="text1"/>
                <w:kern w:val="0"/>
                <w:lang w:val="en-US" w:eastAsia="zh-CN" w:bidi="ar"/>
                <w14:textFill>
                  <w14:solidFill>
                    <w14:schemeClr w14:val="tx1"/>
                  </w14:solidFill>
                </w14:textFill>
              </w:rPr>
              <w:t>41.75万</w:t>
            </w:r>
            <w:r>
              <w:rPr>
                <w:color w:val="000000" w:themeColor="text1"/>
                <w:kern w:val="0"/>
                <w:lang w:bidi="ar"/>
                <w14:textFill>
                  <w14:solidFill>
                    <w14:schemeClr w14:val="tx1"/>
                  </w14:solidFill>
                </w14:textFill>
              </w:rPr>
              <w:t>t</w:t>
            </w:r>
            <w:r>
              <w:rPr>
                <w:rFonts w:hint="eastAsia"/>
                <w:color w:val="000000" w:themeColor="text1"/>
                <w:kern w:val="0"/>
                <w:lang w:bidi="ar"/>
                <w14:textFill>
                  <w14:solidFill>
                    <w14:schemeClr w14:val="tx1"/>
                  </w14:solidFill>
                </w14:textFill>
              </w:rPr>
              <w:t>，释放氧气</w:t>
            </w:r>
            <w:r>
              <w:rPr>
                <w:rFonts w:hint="eastAsia"/>
                <w:color w:val="000000" w:themeColor="text1"/>
                <w:kern w:val="0"/>
                <w:lang w:val="en-US" w:eastAsia="zh-CN" w:bidi="ar"/>
                <w14:textFill>
                  <w14:solidFill>
                    <w14:schemeClr w14:val="tx1"/>
                  </w14:solidFill>
                </w14:textFill>
              </w:rPr>
              <w:t>30.15万</w:t>
            </w:r>
            <w:r>
              <w:rPr>
                <w:color w:val="000000" w:themeColor="text1"/>
                <w:kern w:val="0"/>
                <w:lang w:bidi="ar"/>
                <w14:textFill>
                  <w14:solidFill>
                    <w14:schemeClr w14:val="tx1"/>
                  </w14:solidFill>
                </w14:textFill>
              </w:rPr>
              <w:t>t</w:t>
            </w:r>
            <w:r>
              <w:rPr>
                <w:rFonts w:hint="eastAsia"/>
                <w:color w:val="000000" w:themeColor="text1"/>
                <w:kern w:val="0"/>
                <w:lang w:bidi="ar"/>
                <w14:textFill>
                  <w14:solidFill>
                    <w14:schemeClr w14:val="tx1"/>
                  </w14:solidFill>
                </w14:textFill>
              </w:rPr>
              <w:t>。</w:t>
            </w:r>
          </w:p>
          <w:p w14:paraId="7A766E47">
            <w:pPr>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综上，该项目具有生态正效益。</w:t>
            </w:r>
          </w:p>
          <w:p w14:paraId="7BAF19C1">
            <w:pPr>
              <w:widowControl/>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（3）生态修复区后期养护、管理措施</w:t>
            </w:r>
          </w:p>
          <w:p w14:paraId="27E79582">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①后期应制定保护保养管理制度。包括平时浇水，排水、预防人畜危害、风害、病虫害防治、修剪中耕除草等工作内容及计划。</w:t>
            </w:r>
          </w:p>
          <w:p w14:paraId="55332E27">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②定期查验：树木每月、灌木每旬查验一次，并应做查验记录。</w:t>
            </w:r>
          </w:p>
          <w:p w14:paraId="01AC5689">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③完工检验时发现不符规定者，应立即换植。查验时发现稍端枯萎，有严重病虫害、折害等无复原希望者应立即补植，发现枯死、半枯无养活希望者，应换植。</w:t>
            </w:r>
          </w:p>
          <w:p w14:paraId="5951C673">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④绿化工程养护灌溉措施</w:t>
            </w:r>
          </w:p>
          <w:p w14:paraId="21B5EE60">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对恢复区内进行灌溉。根据一年植物生长规律及气候特点制定绿化管养全年养护计划。</w:t>
            </w:r>
          </w:p>
          <w:p w14:paraId="48B86FD3">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⑤为方便灌木的养护，将按昆明的气候特点，把一年划分为旱季、雨季、秋冬季等三个季节；在不同季节对不同植物采取不同的管护措施。</w:t>
            </w:r>
          </w:p>
          <w:p w14:paraId="11F6566B">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⑥重视化学防治的同时应综合应用物理、机械、生物等多种方法进行防治，如：利用害虫趋光、趋波特性生产杀虫灯；利用害虫趋味特性制成糖醋液诱杀等等。</w:t>
            </w:r>
          </w:p>
          <w:p w14:paraId="2468D128">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2、运营期地下水及环境风险环境影响分析</w:t>
            </w:r>
          </w:p>
          <w:p w14:paraId="6C390D16">
            <w:pPr>
              <w:widowControl/>
              <w:spacing w:line="336" w:lineRule="auto"/>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（1）污染影响分析</w:t>
            </w:r>
          </w:p>
          <w:p w14:paraId="5F8E5EC6">
            <w:pPr>
              <w:widowControl/>
              <w:spacing w:line="336" w:lineRule="auto"/>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项目运营期主要工作内容为后期绿化的养护和补植等内容，虽进行了防渗，但仍有可能发生防渗层破损情况，污染地下水，项目风险源为渗滤液收集井、回用水池等渗滤液收集区域以及项目回填区防渗层。</w:t>
            </w:r>
          </w:p>
          <w:p w14:paraId="2880898D">
            <w:pPr>
              <w:widowControl/>
              <w:spacing w:line="336" w:lineRule="auto"/>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根据施工期地下水影响预测可知，在项目渗滤液收集井发生泄漏后，污染物氟化物在泄漏后第</w:t>
            </w:r>
            <w:r>
              <w:rPr>
                <w:rFonts w:hint="eastAsia"/>
                <w:color w:val="000000" w:themeColor="text1"/>
                <w:kern w:val="0"/>
                <w:lang w:val="en-US" w:eastAsia="zh-CN" w:bidi="ar"/>
                <w14:textFill>
                  <w14:solidFill>
                    <w14:schemeClr w14:val="tx1"/>
                  </w14:solidFill>
                </w14:textFill>
              </w:rPr>
              <w:t>99</w:t>
            </w:r>
            <w:r>
              <w:rPr>
                <w:rFonts w:hint="eastAsia"/>
                <w:color w:val="000000" w:themeColor="text1"/>
                <w:kern w:val="0"/>
                <w:lang w:bidi="ar"/>
                <w14:textFill>
                  <w14:solidFill>
                    <w14:schemeClr w14:val="tx1"/>
                  </w14:solidFill>
                </w14:textFill>
              </w:rPr>
              <w:t>d浓度有了明显变化，预测中的氟化物浓度随着泄漏时间的推移逐渐升高，泄漏到</w:t>
            </w:r>
            <w:r>
              <w:rPr>
                <w:rFonts w:hint="eastAsia"/>
                <w:color w:val="000000" w:themeColor="text1"/>
                <w:kern w:val="0"/>
                <w:lang w:val="en-US" w:eastAsia="zh-CN" w:bidi="ar"/>
                <w14:textFill>
                  <w14:solidFill>
                    <w14:schemeClr w14:val="tx1"/>
                  </w14:solidFill>
                </w14:textFill>
              </w:rPr>
              <w:t>1154</w:t>
            </w:r>
            <w:r>
              <w:rPr>
                <w:rFonts w:hint="eastAsia"/>
                <w:color w:val="000000" w:themeColor="text1"/>
                <w:kern w:val="0"/>
                <w:lang w:bidi="ar"/>
                <w14:textFill>
                  <w14:solidFill>
                    <w14:schemeClr w14:val="tx1"/>
                  </w14:solidFill>
                </w14:textFill>
              </w:rPr>
              <w:t>d时，监控井中的氟化物出现超标情况。</w:t>
            </w:r>
          </w:p>
          <w:p w14:paraId="6D7FC5D0">
            <w:pPr>
              <w:widowControl/>
              <w:spacing w:line="336" w:lineRule="auto"/>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根据</w:t>
            </w:r>
            <w:r>
              <w:rPr>
                <w:color w:val="000000" w:themeColor="text1"/>
                <w:kern w:val="0"/>
                <w:lang w:bidi="ar"/>
                <w14:textFill>
                  <w14:solidFill>
                    <w14:schemeClr w14:val="tx1"/>
                  </w14:solidFill>
                </w14:textFill>
              </w:rPr>
              <w:t>《云南省寻甸县大旋塘采石场废弃矿坑生态修复水文地质勘察报告》</w:t>
            </w:r>
            <w:r>
              <w:rPr>
                <w:rFonts w:hint="eastAsia"/>
                <w:color w:val="000000" w:themeColor="text1"/>
                <w:kern w:val="0"/>
                <w:lang w:bidi="ar"/>
                <w14:textFill>
                  <w14:solidFill>
                    <w14:schemeClr w14:val="tx1"/>
                  </w14:solidFill>
                </w14:textFill>
              </w:rPr>
              <w:t>可知，项目区地下水主要储存在灰岩溶蚀裂隙、构造裂隙中，储存空间大，联通性好，有利于下水的径流。地下水接受大气降水垂向入渗补给，其径流与排泄条件主要受岩性、地形坡度、储存条件控制。建设项目在建设及运营过程中，要严格按照相关规范及要求进行防渗，降低地下水污染风险。</w:t>
            </w:r>
          </w:p>
          <w:p w14:paraId="6C053FFB">
            <w:pPr>
              <w:widowControl/>
              <w:spacing w:line="336" w:lineRule="auto"/>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项目对回填区、回用水池采取了相应防渗，且本项目设置了位移监测设施与地下水监控井，能够及时监控项目渗滤液情况，在做好防渗情况下</w:t>
            </w:r>
            <w:r>
              <w:rPr>
                <w:color w:val="000000" w:themeColor="text1"/>
                <w:kern w:val="0"/>
                <w:lang w:bidi="ar"/>
                <w14:textFill>
                  <w14:solidFill>
                    <w14:schemeClr w14:val="tx1"/>
                  </w14:solidFill>
                </w14:textFill>
              </w:rPr>
              <w:t>项目</w:t>
            </w:r>
            <w:r>
              <w:rPr>
                <w:rFonts w:hint="eastAsia"/>
                <w:color w:val="000000" w:themeColor="text1"/>
                <w:kern w:val="0"/>
                <w:lang w:bidi="ar"/>
                <w14:textFill>
                  <w14:solidFill>
                    <w14:schemeClr w14:val="tx1"/>
                  </w14:solidFill>
                </w14:textFill>
              </w:rPr>
              <w:t>渗滤液收集井</w:t>
            </w:r>
            <w:r>
              <w:rPr>
                <w:color w:val="000000" w:themeColor="text1"/>
                <w:kern w:val="0"/>
                <w:lang w:bidi="ar"/>
                <w14:textFill>
                  <w14:solidFill>
                    <w14:schemeClr w14:val="tx1"/>
                  </w14:solidFill>
                </w14:textFill>
              </w:rPr>
              <w:t>发生泄漏</w:t>
            </w:r>
            <w:r>
              <w:rPr>
                <w:rFonts w:hint="eastAsia"/>
                <w:color w:val="000000" w:themeColor="text1"/>
                <w:kern w:val="0"/>
                <w:lang w:bidi="ar"/>
                <w14:textFill>
                  <w14:solidFill>
                    <w14:schemeClr w14:val="tx1"/>
                  </w14:solidFill>
                </w14:textFill>
              </w:rPr>
              <w:t>后污染物随地下水流到项目范围外的可能较小，项目建立地下水环境监控体系，包括建立地下水污染监控制度和环境管理体系，制定监测计划、配备先进的检测仪器和设备，以便及时发现问题，及时采取预防措施。在严格落实以上措施建设后，项目运营期地下水受污染的风险较小。</w:t>
            </w:r>
          </w:p>
          <w:p w14:paraId="4B3F0096">
            <w:pPr>
              <w:widowControl/>
              <w:spacing w:line="336" w:lineRule="auto"/>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（2）污染控制措施</w:t>
            </w:r>
          </w:p>
          <w:p w14:paraId="2C828765">
            <w:pPr>
              <w:ind w:firstLine="48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本项目按照《改性磷石膏用于矿山废弃地生态修复回填技术规范》（DB53/T1269-2024）设置了地下水监控井，在回填区设置了渗漏监控系统，可以有效监控防渗衬层的完整性，监控地下水水质。运营期严格按照监测计划做好跟踪监测，直到相关指标连续3年内，年均检测指标持续稳定，特征指标不呈上升趋势。当发现年均监测指标呈上升趋势，应当采取相应的应对措施。项目回填结束后仍需对覆盖层进行维护管理，防止覆盖层不均匀沉降、开裂。</w:t>
            </w:r>
          </w:p>
          <w:p w14:paraId="2979B448">
            <w:pPr>
              <w:widowControl/>
              <w:spacing w:line="336" w:lineRule="auto"/>
              <w:ind w:firstLine="480"/>
              <w:jc w:val="left"/>
              <w:rPr>
                <w:rFonts w:hint="default"/>
                <w:color w:val="000000" w:themeColor="text1"/>
                <w:kern w:val="0"/>
                <w:lang w:val="en-US" w:eastAsia="zh-CN" w:bidi="ar"/>
                <w14:textFill>
                  <w14:solidFill>
                    <w14:schemeClr w14:val="tx1"/>
                  </w14:solidFill>
                </w14:textFill>
              </w:rPr>
            </w:pPr>
            <w:r>
              <w:rPr>
                <w:rFonts w:hint="default"/>
                <w:color w:val="000000" w:themeColor="text1"/>
                <w:kern w:val="0"/>
                <w:lang w:eastAsia="zh-CN" w:bidi="ar"/>
                <w14:textFill>
                  <w14:solidFill>
                    <w14:schemeClr w14:val="tx1"/>
                  </w14:solidFill>
                </w14:textFill>
              </w:rPr>
              <w:t>（</w:t>
            </w:r>
            <w:r>
              <w:rPr>
                <w:rFonts w:hint="default"/>
                <w:color w:val="000000" w:themeColor="text1"/>
                <w:kern w:val="0"/>
                <w:lang w:val="en-US" w:eastAsia="zh-CN" w:bidi="ar"/>
                <w14:textFill>
                  <w14:solidFill>
                    <w14:schemeClr w14:val="tx1"/>
                  </w14:solidFill>
                </w14:textFill>
              </w:rPr>
              <w:t>3</w:t>
            </w:r>
            <w:r>
              <w:rPr>
                <w:rFonts w:hint="default"/>
                <w:color w:val="000000" w:themeColor="text1"/>
                <w:kern w:val="0"/>
                <w:lang w:eastAsia="zh-CN" w:bidi="ar"/>
                <w14:textFill>
                  <w14:solidFill>
                    <w14:schemeClr w14:val="tx1"/>
                  </w14:solidFill>
                </w14:textFill>
              </w:rPr>
              <w:t>）</w:t>
            </w:r>
            <w:r>
              <w:rPr>
                <w:rFonts w:hint="default"/>
                <w:color w:val="000000" w:themeColor="text1"/>
                <w:kern w:val="0"/>
                <w:lang w:val="en-US" w:eastAsia="zh-CN" w:bidi="ar"/>
                <w14:textFill>
                  <w14:solidFill>
                    <w14:schemeClr w14:val="tx1"/>
                  </w14:solidFill>
                </w14:textFill>
              </w:rPr>
              <w:t>周边民用水井保护措施</w:t>
            </w:r>
          </w:p>
          <w:p w14:paraId="1C1C3E9A">
            <w:pPr>
              <w:ind w:firstLine="480"/>
              <w:rPr>
                <w:rFonts w:hint="eastAsia" w:eastAsia="宋体"/>
                <w:color w:val="000000" w:themeColor="text1"/>
                <w:lang w:eastAsia="zh-CN"/>
                <w14:textFill>
                  <w14:solidFill>
                    <w14:schemeClr w14:val="tx1"/>
                  </w14:solidFill>
                </w14:textFill>
              </w:rPr>
            </w:pPr>
            <w:r>
              <w:rPr>
                <w:rFonts w:hint="eastAsia" w:ascii="Times New Roman" w:hAnsi="Times New Roman" w:eastAsia="宋体" w:cs="Times New Roman"/>
                <w:color w:val="000000" w:themeColor="text1"/>
                <w14:textFill>
                  <w14:solidFill>
                    <w14:schemeClr w14:val="tx1"/>
                  </w14:solidFill>
                </w14:textFill>
              </w:rPr>
              <w:t>本项目在生态修复区底部防渗层施工质量确保完整有效的基础上，建设项目周边古城村委会新石桥村人饮备用水源设施。备用水源由寻甸县鸡街镇东海水库进行引水，饮水线路长度4.3km，从水库提水至沉砂池后，再通过不锈钢管引水至新石桥村水源点，水源点处设置500方供水水池。在本项目实施后，若监测</w:t>
            </w:r>
            <w:r>
              <w:rPr>
                <w:rFonts w:hint="eastAsia" w:ascii="Times New Roman" w:hAnsi="Times New Roman" w:eastAsia="宋体" w:cs="Times New Roman"/>
                <w:color w:val="000000" w:themeColor="text1"/>
                <w:lang w:val="en-US" w:eastAsia="zh-CN"/>
                <w14:textFill>
                  <w14:solidFill>
                    <w14:schemeClr w14:val="tx1"/>
                  </w14:solidFill>
                </w14:textFill>
              </w:rPr>
              <w:t>发现</w:t>
            </w:r>
            <w:r>
              <w:rPr>
                <w:rFonts w:hint="eastAsia" w:ascii="Times New Roman" w:hAnsi="Times New Roman" w:eastAsia="宋体" w:cs="Times New Roman"/>
                <w:color w:val="000000" w:themeColor="text1"/>
                <w14:textFill>
                  <w14:solidFill>
                    <w14:schemeClr w14:val="tx1"/>
                  </w14:solidFill>
                </w14:textFill>
              </w:rPr>
              <w:t>村子里水源点或是地下水水质超标，</w:t>
            </w:r>
            <w:r>
              <w:rPr>
                <w:rFonts w:hint="eastAsia" w:ascii="Times New Roman" w:hAnsi="Times New Roman" w:eastAsia="宋体" w:cs="Times New Roman"/>
                <w:color w:val="000000" w:themeColor="text1"/>
                <w:lang w:val="en-US" w:eastAsia="zh-CN"/>
                <w14:textFill>
                  <w14:solidFill>
                    <w14:schemeClr w14:val="tx1"/>
                  </w14:solidFill>
                </w14:textFill>
              </w:rPr>
              <w:t>立即</w:t>
            </w:r>
            <w:r>
              <w:rPr>
                <w:rFonts w:hint="eastAsia" w:ascii="Times New Roman" w:hAnsi="Times New Roman" w:eastAsia="宋体" w:cs="Times New Roman"/>
                <w:color w:val="000000" w:themeColor="text1"/>
                <w14:textFill>
                  <w14:solidFill>
                    <w14:schemeClr w14:val="tx1"/>
                  </w14:solidFill>
                </w14:textFill>
              </w:rPr>
              <w:t>启用备用水源设施进行供水，并及时查找水质超标的原因，采取措施进行补救，确保项目实施尽可能减小对周边居民生活和生产的影响。</w:t>
            </w:r>
          </w:p>
        </w:tc>
      </w:tr>
      <w:tr w14:paraId="2CD4B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74" w:type="dxa"/>
            <w:vAlign w:val="center"/>
          </w:tcPr>
          <w:p w14:paraId="7EDD570C">
            <w:pPr>
              <w:adjustRightInd w:val="0"/>
              <w:snapToGrid w:val="0"/>
              <w:spacing w:line="240" w:lineRule="auto"/>
              <w:ind w:firstLine="0" w:firstLineChars="0"/>
              <w:jc w:val="center"/>
              <w:rPr>
                <w:bCs/>
                <w:color w:val="000000" w:themeColor="text1"/>
                <w:spacing w:val="10"/>
                <w14:textFill>
                  <w14:solidFill>
                    <w14:schemeClr w14:val="tx1"/>
                  </w14:solidFill>
                </w14:textFill>
              </w:rPr>
            </w:pPr>
            <w:r>
              <w:rPr>
                <w:rFonts w:hint="eastAsia"/>
                <w:bCs/>
                <w:color w:val="000000" w:themeColor="text1"/>
                <w14:textFill>
                  <w14:solidFill>
                    <w14:schemeClr w14:val="tx1"/>
                  </w14:solidFill>
                </w14:textFill>
              </w:rPr>
              <w:t>选址选线环境合理性分析</w:t>
            </w:r>
          </w:p>
        </w:tc>
        <w:tc>
          <w:tcPr>
            <w:tcW w:w="8048" w:type="dxa"/>
          </w:tcPr>
          <w:p w14:paraId="7A0AFC41">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w:t>
            </w:r>
            <w:r>
              <w:rPr>
                <w:rFonts w:hint="eastAsia"/>
                <w:color w:val="000000" w:themeColor="text1"/>
                <w:kern w:val="0"/>
                <w:lang w:val="en-US" w:eastAsia="zh-CN" w:bidi="ar"/>
                <w14:textFill>
                  <w14:solidFill>
                    <w14:schemeClr w14:val="tx1"/>
                  </w14:solidFill>
                </w14:textFill>
              </w:rPr>
              <w:t>废弃矿坑</w:t>
            </w:r>
            <w:r>
              <w:rPr>
                <w:rFonts w:hint="eastAsia"/>
                <w:color w:val="000000" w:themeColor="text1"/>
                <w:kern w:val="0"/>
                <w:lang w:bidi="ar"/>
                <w14:textFill>
                  <w14:solidFill>
                    <w14:schemeClr w14:val="tx1"/>
                  </w14:solidFill>
                </w14:textFill>
              </w:rPr>
              <w:t>生态修复区因采矿活动，造成大量地表裸露及水土流失，严重影响生态环境。现对项目区进行回填恢复植被治理，有利于恢复生态环境。本项目修复区域不位于饮用水源地、天然滑坡泥石流地区、生态保护红线区、项目不占用永久基本农田；根据水文地质勘察报告，项目区岩溶中等发育，不存在较多落水洞和岩溶漏斗的区域与其他需要特别保护的区域内。项目不位于国务院有关部门及地方人民政府划定的生态保护红线区域、永久基本农田集中区域和其他需要特定保护的区域内，以及法律法规规定的其他禁止建设区域。根据相关查询意见，项目不涉及生态保护红线、永久基本农田，不在城镇开发边界内。项目建设符合《改性磷石膏用于矿山废弃地生态修复回填技术规范》（DB53/T1269-2024）、《改性磷石膏综合利用矿山生态修复环境风险评估规范》(DB5301/T98-2023)相关要求。</w:t>
            </w:r>
          </w:p>
          <w:p w14:paraId="786F55B9">
            <w:pPr>
              <w:widowControl/>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根据检测结果，回填的改性磷石膏满足</w:t>
            </w:r>
            <w:r>
              <w:rPr>
                <w:rFonts w:hint="eastAsia"/>
                <w:color w:val="000000" w:themeColor="text1"/>
                <w14:textFill>
                  <w14:solidFill>
                    <w14:schemeClr w14:val="tx1"/>
                  </w14:solidFill>
                </w14:textFill>
              </w:rPr>
              <w:t>《改性磷石膏用于矿山废弃地生态修复回填技术规范》</w:t>
            </w:r>
            <w:r>
              <w:rPr>
                <w:rFonts w:hint="eastAsia"/>
                <w:color w:val="000000" w:themeColor="text1"/>
                <w:kern w:val="0"/>
                <w:lang w:bidi="ar"/>
                <w14:textFill>
                  <w14:solidFill>
                    <w14:schemeClr w14:val="tx1"/>
                  </w14:solidFill>
                </w14:textFill>
              </w:rPr>
              <w:t>（DB53/T1269-2024）、《磷石膏的处理处置规范》（GB/T 32124-2024）要求。改性磷石膏按照HJ557规定方法制备改性磷石膏浸出液中任何一种特征污染物浓度均不应超过GB 8978最高允许排放浓度（第二类污染物最高允许排放浓度按照一级标准执行），项目参照《改性磷石膏用于矿山废弃地生态修复回填技术规范》（DB53/T1269-2024）要求进行防渗，存在的环境风险不大。</w:t>
            </w:r>
          </w:p>
          <w:p w14:paraId="3794F324">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项目是针对</w:t>
            </w:r>
            <w:r>
              <w:rPr>
                <w:rFonts w:hint="eastAsia"/>
                <w:color w:val="000000" w:themeColor="text1"/>
                <w:szCs w:val="22"/>
                <w14:textFill>
                  <w14:solidFill>
                    <w14:schemeClr w14:val="tx1"/>
                  </w14:solidFill>
                </w14:textFill>
              </w:rPr>
              <w:t>废弃矿坑进行生态修复治理，恢复破坏场地生态环境</w:t>
            </w:r>
            <w:r>
              <w:rPr>
                <w:rFonts w:hint="eastAsia"/>
                <w:color w:val="000000" w:themeColor="text1"/>
                <w:kern w:val="0"/>
                <w:lang w:bidi="ar"/>
                <w14:textFill>
                  <w14:solidFill>
                    <w14:schemeClr w14:val="tx1"/>
                  </w14:solidFill>
                </w14:textFill>
              </w:rPr>
              <w:t>，由于矿山已停采，采区岩石裸露，边坡高陡，且坡面岩体较破碎，可能成为崩塌、滑坡等矿山地质灾害隐患点。因此对矿山采空区进行回填后种植植被可以减少地质灾害的发生，还可以美化环境，根据调查可知，项目不在生态保护红线区域，避开集中式饮用水源保护区及汇水范围、活动断层、溶洞区、天然滑坡或泥石流影响区域，不涉及饮用水源保护地、自然保护区、风景名胜区、基本农田保护区和文物保护单位等特殊需要保护的单位等环境敏感目标。项目为矿山地质环境恢复治理工程，建成后无污染物排放。</w:t>
            </w:r>
          </w:p>
          <w:p w14:paraId="25EAB6DD">
            <w:pPr>
              <w:widowControl/>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回填矿坑前，需对每批次改性磷石膏进行监测，按照HJ557规定方法制备改性磷石膏浸出液中任何一种特征污染物浓度均不应超过GB 8978最高允许排放浓度（第二类污染物最高允许排放浓度按照一级标准执行），方可入场回填。施工回填作业过程中加强作业人员培训和管理，防止回填施工破坏防渗层，同时对修复工程质量加以控制和监理。</w:t>
            </w:r>
          </w:p>
          <w:p w14:paraId="01281FC5">
            <w:pPr>
              <w:ind w:firstLine="480"/>
              <w:rPr>
                <w:rFonts w:hint="eastAsia"/>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项目实施后，项目区的植被综合盖度明显增强，涵养水源、净化水质、保持水土和抵御自然灾害的能力明显提高，大气污染程度得到有效缓解，对周边环境的影响主要表现为正影响。项目选址合理。</w:t>
            </w:r>
          </w:p>
          <w:p w14:paraId="304B08E4">
            <w:pPr>
              <w:ind w:firstLine="480"/>
              <w:rPr>
                <w:rFonts w:hint="eastAsia"/>
                <w:color w:val="000000" w:themeColor="text1"/>
                <w:kern w:val="0"/>
                <w:lang w:bidi="ar"/>
                <w14:textFill>
                  <w14:solidFill>
                    <w14:schemeClr w14:val="tx1"/>
                  </w14:solidFill>
                </w14:textFill>
              </w:rPr>
            </w:pPr>
          </w:p>
          <w:p w14:paraId="4C5B3F55">
            <w:pPr>
              <w:ind w:firstLine="480"/>
              <w:rPr>
                <w:rFonts w:hint="eastAsia"/>
                <w:color w:val="000000" w:themeColor="text1"/>
                <w:kern w:val="0"/>
                <w:lang w:bidi="ar"/>
                <w14:textFill>
                  <w14:solidFill>
                    <w14:schemeClr w14:val="tx1"/>
                  </w14:solidFill>
                </w14:textFill>
              </w:rPr>
            </w:pPr>
          </w:p>
          <w:p w14:paraId="5547BC52">
            <w:pPr>
              <w:ind w:firstLine="480"/>
              <w:rPr>
                <w:rFonts w:hint="eastAsia"/>
                <w:color w:val="000000" w:themeColor="text1"/>
                <w:kern w:val="0"/>
                <w:lang w:bidi="ar"/>
                <w14:textFill>
                  <w14:solidFill>
                    <w14:schemeClr w14:val="tx1"/>
                  </w14:solidFill>
                </w14:textFill>
              </w:rPr>
            </w:pPr>
          </w:p>
          <w:p w14:paraId="77D6293F">
            <w:pPr>
              <w:pStyle w:val="2"/>
              <w:rPr>
                <w:rFonts w:hint="eastAsia"/>
                <w:color w:val="000000" w:themeColor="text1"/>
                <w:kern w:val="0"/>
                <w:lang w:bidi="ar"/>
                <w14:textFill>
                  <w14:solidFill>
                    <w14:schemeClr w14:val="tx1"/>
                  </w14:solidFill>
                </w14:textFill>
              </w:rPr>
            </w:pPr>
          </w:p>
          <w:p w14:paraId="03A30897">
            <w:pPr>
              <w:pStyle w:val="3"/>
              <w:rPr>
                <w:rFonts w:hint="eastAsia"/>
                <w:color w:val="000000" w:themeColor="text1"/>
                <w:kern w:val="0"/>
                <w:lang w:bidi="ar"/>
                <w14:textFill>
                  <w14:solidFill>
                    <w14:schemeClr w14:val="tx1"/>
                  </w14:solidFill>
                </w14:textFill>
              </w:rPr>
            </w:pPr>
          </w:p>
          <w:p w14:paraId="607F9836">
            <w:pPr>
              <w:pStyle w:val="5"/>
              <w:rPr>
                <w:rFonts w:hint="eastAsia"/>
                <w:color w:val="000000" w:themeColor="text1"/>
                <w:kern w:val="0"/>
                <w:lang w:bidi="ar"/>
                <w14:textFill>
                  <w14:solidFill>
                    <w14:schemeClr w14:val="tx1"/>
                  </w14:solidFill>
                </w14:textFill>
              </w:rPr>
            </w:pPr>
          </w:p>
          <w:p w14:paraId="3C27B9BE">
            <w:pPr>
              <w:pStyle w:val="6"/>
              <w:rPr>
                <w:rFonts w:hint="eastAsia"/>
                <w:color w:val="000000" w:themeColor="text1"/>
                <w:kern w:val="0"/>
                <w:lang w:bidi="ar"/>
                <w14:textFill>
                  <w14:solidFill>
                    <w14:schemeClr w14:val="tx1"/>
                  </w14:solidFill>
                </w14:textFill>
              </w:rPr>
            </w:pPr>
          </w:p>
          <w:p w14:paraId="77C0EB5D">
            <w:pPr>
              <w:pStyle w:val="7"/>
              <w:rPr>
                <w:rFonts w:hint="eastAsia"/>
                <w:color w:val="000000" w:themeColor="text1"/>
                <w:kern w:val="0"/>
                <w:lang w:bidi="ar"/>
                <w14:textFill>
                  <w14:solidFill>
                    <w14:schemeClr w14:val="tx1"/>
                  </w14:solidFill>
                </w14:textFill>
              </w:rPr>
            </w:pPr>
          </w:p>
          <w:p w14:paraId="5E295488">
            <w:pPr>
              <w:pStyle w:val="8"/>
              <w:rPr>
                <w:rFonts w:hint="eastAsia"/>
                <w:color w:val="000000" w:themeColor="text1"/>
                <w:kern w:val="0"/>
                <w:lang w:bidi="ar"/>
                <w14:textFill>
                  <w14:solidFill>
                    <w14:schemeClr w14:val="tx1"/>
                  </w14:solidFill>
                </w14:textFill>
              </w:rPr>
            </w:pPr>
          </w:p>
          <w:p w14:paraId="17B169BD">
            <w:pPr>
              <w:pStyle w:val="9"/>
              <w:rPr>
                <w:rFonts w:hint="eastAsia"/>
                <w:color w:val="000000" w:themeColor="text1"/>
                <w:kern w:val="0"/>
                <w:lang w:bidi="ar"/>
                <w14:textFill>
                  <w14:solidFill>
                    <w14:schemeClr w14:val="tx1"/>
                  </w14:solidFill>
                </w14:textFill>
              </w:rPr>
            </w:pPr>
          </w:p>
          <w:p w14:paraId="2C8DB713">
            <w:pPr>
              <w:pStyle w:val="10"/>
              <w:rPr>
                <w:rFonts w:hint="eastAsia"/>
                <w:color w:val="000000" w:themeColor="text1"/>
                <w:kern w:val="0"/>
                <w:lang w:bidi="ar"/>
                <w14:textFill>
                  <w14:solidFill>
                    <w14:schemeClr w14:val="tx1"/>
                  </w14:solidFill>
                </w14:textFill>
              </w:rPr>
            </w:pPr>
          </w:p>
          <w:p w14:paraId="3F8F0801">
            <w:pPr>
              <w:pStyle w:val="11"/>
              <w:numPr>
                <w:ilvl w:val="0"/>
                <w:numId w:val="0"/>
              </w:numPr>
              <w:ind w:leftChars="200"/>
              <w:rPr>
                <w:rFonts w:hint="eastAsia"/>
              </w:rPr>
            </w:pPr>
          </w:p>
          <w:p w14:paraId="27B2195F">
            <w:pPr>
              <w:pStyle w:val="12"/>
              <w:rPr>
                <w:rFonts w:hint="eastAsia"/>
                <w:color w:val="000000" w:themeColor="text1"/>
                <w:kern w:val="0"/>
                <w:lang w:bidi="ar"/>
                <w14:textFill>
                  <w14:solidFill>
                    <w14:schemeClr w14:val="tx1"/>
                  </w14:solidFill>
                </w14:textFill>
              </w:rPr>
            </w:pPr>
          </w:p>
          <w:p w14:paraId="18258EFF">
            <w:pPr>
              <w:pStyle w:val="13"/>
              <w:rPr>
                <w:rFonts w:hint="eastAsia"/>
                <w:color w:val="000000" w:themeColor="text1"/>
                <w:kern w:val="0"/>
                <w:lang w:bidi="ar"/>
                <w14:textFill>
                  <w14:solidFill>
                    <w14:schemeClr w14:val="tx1"/>
                  </w14:solidFill>
                </w14:textFill>
              </w:rPr>
            </w:pPr>
          </w:p>
          <w:p w14:paraId="3DDCBC23">
            <w:pPr>
              <w:pStyle w:val="14"/>
              <w:rPr>
                <w:rFonts w:hint="eastAsia"/>
                <w:color w:val="000000" w:themeColor="text1"/>
                <w:kern w:val="0"/>
                <w:lang w:bidi="ar"/>
                <w14:textFill>
                  <w14:solidFill>
                    <w14:schemeClr w14:val="tx1"/>
                  </w14:solidFill>
                </w14:textFill>
              </w:rPr>
            </w:pPr>
          </w:p>
          <w:p w14:paraId="7B9899EC">
            <w:pPr>
              <w:rPr>
                <w:rFonts w:hint="eastAsia"/>
                <w:color w:val="000000" w:themeColor="text1"/>
                <w:kern w:val="0"/>
                <w:lang w:bidi="ar"/>
                <w14:textFill>
                  <w14:solidFill>
                    <w14:schemeClr w14:val="tx1"/>
                  </w14:solidFill>
                </w14:textFill>
              </w:rPr>
            </w:pPr>
          </w:p>
          <w:p w14:paraId="4DA9FCB3">
            <w:pPr>
              <w:pStyle w:val="2"/>
              <w:rPr>
                <w:rFonts w:hint="eastAsia"/>
                <w:color w:val="000000" w:themeColor="text1"/>
                <w:kern w:val="0"/>
                <w:lang w:bidi="ar"/>
                <w14:textFill>
                  <w14:solidFill>
                    <w14:schemeClr w14:val="tx1"/>
                  </w14:solidFill>
                </w14:textFill>
              </w:rPr>
            </w:pPr>
          </w:p>
          <w:p w14:paraId="208452FF">
            <w:pPr>
              <w:pStyle w:val="3"/>
              <w:rPr>
                <w:rFonts w:hint="eastAsia"/>
                <w:color w:val="000000" w:themeColor="text1"/>
                <w:kern w:val="0"/>
                <w:lang w:bidi="ar"/>
                <w14:textFill>
                  <w14:solidFill>
                    <w14:schemeClr w14:val="tx1"/>
                  </w14:solidFill>
                </w14:textFill>
              </w:rPr>
            </w:pPr>
          </w:p>
          <w:p w14:paraId="65DE20ED">
            <w:pPr>
              <w:pStyle w:val="5"/>
              <w:rPr>
                <w:rFonts w:hint="eastAsia"/>
                <w:color w:val="000000" w:themeColor="text1"/>
                <w:kern w:val="0"/>
                <w:lang w:bidi="ar"/>
                <w14:textFill>
                  <w14:solidFill>
                    <w14:schemeClr w14:val="tx1"/>
                  </w14:solidFill>
                </w14:textFill>
              </w:rPr>
            </w:pPr>
          </w:p>
          <w:p w14:paraId="23FB5E0E">
            <w:pPr>
              <w:pStyle w:val="7"/>
              <w:rPr>
                <w:rFonts w:hint="eastAsia"/>
              </w:rPr>
            </w:pPr>
          </w:p>
          <w:p w14:paraId="5E329019">
            <w:pPr>
              <w:ind w:firstLine="480"/>
              <w:rPr>
                <w:rFonts w:hint="eastAsia"/>
                <w:color w:val="000000" w:themeColor="text1"/>
                <w:kern w:val="0"/>
                <w:lang w:bidi="ar"/>
                <w14:textFill>
                  <w14:solidFill>
                    <w14:schemeClr w14:val="tx1"/>
                  </w14:solidFill>
                </w14:textFill>
              </w:rPr>
            </w:pPr>
          </w:p>
          <w:p w14:paraId="5435F50C">
            <w:pPr>
              <w:ind w:firstLine="480"/>
              <w:rPr>
                <w:rFonts w:hint="eastAsia"/>
                <w:color w:val="000000" w:themeColor="text1"/>
                <w:kern w:val="0"/>
                <w:lang w:bidi="ar"/>
                <w14:textFill>
                  <w14:solidFill>
                    <w14:schemeClr w14:val="tx1"/>
                  </w14:solidFill>
                </w14:textFill>
              </w:rPr>
            </w:pPr>
          </w:p>
        </w:tc>
      </w:tr>
    </w:tbl>
    <w:p w14:paraId="5EDF8AB6">
      <w:pPr>
        <w:pStyle w:val="35"/>
        <w:jc w:val="center"/>
        <w:rPr>
          <w:rFonts w:ascii="Times New Roman" w:hAnsi="Times New Roman"/>
          <w:snapToGrid w:val="0"/>
          <w:color w:val="000000" w:themeColor="text1"/>
          <w:sz w:val="36"/>
          <w:szCs w:val="36"/>
          <w14:textFill>
            <w14:solidFill>
              <w14:schemeClr w14:val="tx1"/>
            </w14:solidFill>
          </w14:textFill>
        </w:rPr>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pPr>
    </w:p>
    <w:p w14:paraId="39F0737C">
      <w:pPr>
        <w:pStyle w:val="35"/>
        <w:adjustRightInd w:val="0"/>
        <w:snapToGrid w:val="0"/>
        <w:spacing w:before="0" w:beforeAutospacing="0" w:after="0" w:afterAutospacing="0"/>
        <w:ind w:firstLine="0" w:firstLineChars="0"/>
        <w:jc w:val="center"/>
        <w:outlineLvl w:val="0"/>
        <w:rPr>
          <w:rFonts w:ascii="Times New Roman" w:hAnsi="Times New Roman"/>
          <w:snapToGrid w:val="0"/>
          <w:color w:val="000000" w:themeColor="text1"/>
          <w:sz w:val="30"/>
          <w:szCs w:val="30"/>
          <w14:textFill>
            <w14:solidFill>
              <w14:schemeClr w14:val="tx1"/>
            </w14:solidFill>
          </w14:textFill>
        </w:rPr>
      </w:pPr>
      <w:bookmarkStart w:id="78" w:name="_Toc32332"/>
      <w:bookmarkStart w:id="79" w:name="_Toc10747"/>
      <w:r>
        <w:rPr>
          <w:rFonts w:hint="eastAsia" w:ascii="Times New Roman" w:hAnsi="Times New Roman"/>
          <w:snapToGrid w:val="0"/>
          <w:color w:val="000000" w:themeColor="text1"/>
          <w:sz w:val="30"/>
          <w:szCs w:val="30"/>
          <w14:textFill>
            <w14:solidFill>
              <w14:schemeClr w14:val="tx1"/>
            </w14:solidFill>
          </w14:textFill>
        </w:rPr>
        <w:t>五、主要生态环境保护措施</w:t>
      </w:r>
      <w:bookmarkEnd w:id="78"/>
      <w:bookmarkEnd w:id="79"/>
    </w:p>
    <w:tbl>
      <w:tblPr>
        <w:tblStyle w:val="40"/>
        <w:tblW w:w="921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53"/>
        <w:gridCol w:w="8457"/>
      </w:tblGrid>
      <w:tr w14:paraId="7BFE3A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tcMar>
              <w:left w:w="28" w:type="dxa"/>
              <w:right w:w="28" w:type="dxa"/>
            </w:tcMar>
            <w:vAlign w:val="center"/>
          </w:tcPr>
          <w:p w14:paraId="553DFF93">
            <w:pPr>
              <w:adjustRightInd w:val="0"/>
              <w:snapToGrid w:val="0"/>
              <w:spacing w:line="240" w:lineRule="auto"/>
              <w:ind w:firstLine="0" w:firstLineChars="0"/>
              <w:jc w:val="center"/>
              <w:rPr>
                <w:bCs/>
                <w:color w:val="000000" w:themeColor="text1"/>
                <w:szCs w:val="21"/>
                <w14:textFill>
                  <w14:solidFill>
                    <w14:schemeClr w14:val="tx1"/>
                  </w14:solidFill>
                </w14:textFill>
              </w:rPr>
            </w:pPr>
            <w:r>
              <w:rPr>
                <w:rFonts w:hint="eastAsia"/>
                <w:bCs/>
                <w:color w:val="000000" w:themeColor="text1"/>
                <w:spacing w:val="10"/>
                <w:szCs w:val="21"/>
                <w14:textFill>
                  <w14:solidFill>
                    <w14:schemeClr w14:val="tx1"/>
                  </w14:solidFill>
                </w14:textFill>
              </w:rPr>
              <w:t>施工期生态环境保护措施</w:t>
            </w:r>
          </w:p>
        </w:tc>
        <w:tc>
          <w:tcPr>
            <w:tcW w:w="8457" w:type="dxa"/>
          </w:tcPr>
          <w:p w14:paraId="4FBE93E5">
            <w:pPr>
              <w:pStyle w:val="71"/>
              <w:adjustRightInd w:val="0"/>
              <w:ind w:firstLine="498"/>
              <w:jc w:val="both"/>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1、大气环境保护措施</w:t>
            </w:r>
          </w:p>
          <w:p w14:paraId="23D3D959">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项目施工过程中产生的废气主要为扬尘以及运输车辆、施工机械产生的尾气。</w:t>
            </w:r>
          </w:p>
          <w:p w14:paraId="39788CB8">
            <w:pPr>
              <w:widowControl/>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（1）施工扬尘</w:t>
            </w:r>
          </w:p>
          <w:p w14:paraId="7B2AD1B7">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项目生态修复过程中产生的扬尘主要为场地清理、</w:t>
            </w:r>
            <w:r>
              <w:rPr>
                <w:rFonts w:hint="eastAsia"/>
                <w:color w:val="000000" w:themeColor="text1"/>
                <w:kern w:val="0"/>
                <w:lang w:bidi="ar"/>
                <w14:textFill>
                  <w14:solidFill>
                    <w14:schemeClr w14:val="tx1"/>
                  </w14:solidFill>
                </w14:textFill>
              </w:rPr>
              <w:t>截排水沟开挖、拆除</w:t>
            </w:r>
            <w:r>
              <w:rPr>
                <w:rFonts w:hint="eastAsia"/>
                <w:color w:val="000000" w:themeColor="text1"/>
                <w:kern w:val="0"/>
                <w:lang w:val="en-US" w:eastAsia="zh-CN" w:bidi="ar"/>
                <w14:textFill>
                  <w14:solidFill>
                    <w14:schemeClr w14:val="tx1"/>
                  </w14:solidFill>
                </w14:textFill>
              </w:rPr>
              <w:t>原矿山</w:t>
            </w:r>
            <w:r>
              <w:rPr>
                <w:rFonts w:hint="eastAsia"/>
                <w:color w:val="000000" w:themeColor="text1"/>
                <w:kern w:val="0"/>
                <w:lang w:bidi="ar"/>
                <w14:textFill>
                  <w14:solidFill>
                    <w14:schemeClr w14:val="tx1"/>
                  </w14:solidFill>
                </w14:textFill>
              </w:rPr>
              <w:t>遗留建筑物</w:t>
            </w:r>
            <w:r>
              <w:rPr>
                <w:rFonts w:hint="eastAsia" w:ascii="宋体" w:hAnsi="宋体" w:cs="宋体"/>
                <w:color w:val="000000" w:themeColor="text1"/>
                <w:kern w:val="0"/>
                <w:lang w:bidi="ar"/>
                <w14:textFill>
                  <w14:solidFill>
                    <w14:schemeClr w14:val="tx1"/>
                  </w14:solidFill>
                </w14:textFill>
              </w:rPr>
              <w:t>等工程施工过程产生，属于无组织排放，为减缓施工扬尘对环境影响，项目拟采取以下措施：</w:t>
            </w:r>
          </w:p>
          <w:p w14:paraId="04A33E8D">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1）通过在施工过程中采取洒水喷雾降尘，洒水喷雾次数根据天气状况而定；非雨天每日洒水次数不少于3次；若遇到大风或干燥天气应增加洒水喷雾次数；</w:t>
            </w:r>
          </w:p>
          <w:p w14:paraId="5507A6E8">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2）控制施工作业面，在合理安排施工进程情况下，尽可能减少大面积施工，以减少扬尘产生量；</w:t>
            </w:r>
          </w:p>
          <w:p w14:paraId="3994D2C3">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3）</w:t>
            </w:r>
            <w:r>
              <w:rPr>
                <w:rFonts w:hint="eastAsia" w:ascii="宋体" w:hAnsi="宋体" w:cs="宋体"/>
                <w:color w:val="000000" w:themeColor="text1"/>
                <w:kern w:val="0"/>
                <w:lang w:bidi="ar"/>
                <w14:textFill>
                  <w14:solidFill>
                    <w14:schemeClr w14:val="tx1"/>
                  </w14:solidFill>
                </w14:textFill>
              </w:rPr>
              <w:t>场区堆存的物料采取篷布遮盖，</w:t>
            </w:r>
            <w:r>
              <w:rPr>
                <w:rFonts w:hint="eastAsia"/>
                <w:color w:val="000000" w:themeColor="text1"/>
                <w:kern w:val="0"/>
                <w:lang w:bidi="ar"/>
                <w14:textFill>
                  <w14:solidFill>
                    <w14:schemeClr w14:val="tx1"/>
                  </w14:solidFill>
                </w14:textFill>
              </w:rPr>
              <w:t>合理安排施工工序、施工进度，尽量避免在大风气象条件下施工。</w:t>
            </w:r>
          </w:p>
          <w:p w14:paraId="60D20E74">
            <w:pPr>
              <w:widowControl/>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（2）运输扬尘</w:t>
            </w:r>
          </w:p>
          <w:p w14:paraId="1EC6CF6F">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针对运输扬尘要求：</w:t>
            </w:r>
          </w:p>
          <w:p w14:paraId="74D23F6A">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1）对回填料及弃土、耕植土的运输须密闭运输，施工场地运输车辆的车厢应当确保牢固、严密，严禁在装运过程中沿途抛、洒、滴、漏；</w:t>
            </w:r>
          </w:p>
          <w:p w14:paraId="32C5FBAB">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2）减速慢行，严禁超载、超速，并规划好运输车辆的运行路线与时间；</w:t>
            </w:r>
          </w:p>
          <w:p w14:paraId="11DBE8FF">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3）运输道路合理安排洒水降尘，出场车辆进行冲洗，严禁带泥上路。</w:t>
            </w:r>
          </w:p>
          <w:p w14:paraId="0D0DB940">
            <w:pPr>
              <w:widowControl/>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（3）施工机械及运输车辆废气对环境的保护措施</w:t>
            </w:r>
          </w:p>
          <w:p w14:paraId="3529056A">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施工机械及运输车辆尾气属于无组织排放</w:t>
            </w:r>
            <w:r>
              <w:rPr>
                <w:rFonts w:hint="eastAsia"/>
                <w:color w:val="000000" w:themeColor="text1"/>
                <w:kern w:val="0"/>
                <w:lang w:bidi="ar"/>
                <w14:textFill>
                  <w14:solidFill>
                    <w14:schemeClr w14:val="tx1"/>
                  </w14:solidFill>
                </w14:textFill>
              </w:rPr>
              <w:t>，具有间断性产生、产生量较小、产生点相对分散、易被稀释扩散等特点，设备定期维护保养，严禁带病作业。</w:t>
            </w:r>
          </w:p>
          <w:p w14:paraId="5F56D2AC">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项目生态修复区位于山区，空气流动性较好，施工机械和运输车辆所产生的污染在空气中经自然扩散和稀释后，对评价区域的空气环境质量影响不大。</w:t>
            </w:r>
          </w:p>
          <w:p w14:paraId="0B2F30BF">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（4）小结</w:t>
            </w:r>
          </w:p>
          <w:p w14:paraId="64C6F16B">
            <w:pPr>
              <w:widowControl/>
              <w:ind w:firstLine="480"/>
              <w:jc w:val="left"/>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经采取相应的防治措施并加强管理后，影响程度和范围可得到减缓和控制，污染影响可做到最小化，且随着施工期的结束而消失，对周围环境的影响程度不大，项目的实施也不会降低当地现状环境空气质量。</w:t>
            </w:r>
          </w:p>
          <w:p w14:paraId="05DC7822">
            <w:pPr>
              <w:pStyle w:val="71"/>
              <w:adjustRightInd w:val="0"/>
              <w:ind w:firstLine="498"/>
              <w:jc w:val="both"/>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2、地表水环境保护措施</w:t>
            </w:r>
          </w:p>
          <w:p w14:paraId="022F4AF9">
            <w:pPr>
              <w:widowControl/>
              <w:adjustRightInd w:val="0"/>
              <w:snapToGrid w:val="0"/>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项目施工期废水主要为渗滤液、地表径流、施工废水（</w:t>
            </w:r>
            <w:r>
              <w:rPr>
                <w:rFonts w:hint="eastAsia"/>
                <w:color w:val="000000" w:themeColor="text1"/>
                <w14:textFill>
                  <w14:solidFill>
                    <w14:schemeClr w14:val="tx1"/>
                  </w14:solidFill>
                </w14:textFill>
              </w:rPr>
              <w:t>施工车辆进出冲洗废水</w:t>
            </w:r>
            <w:r>
              <w:rPr>
                <w:rFonts w:hint="eastAsia" w:ascii="宋体" w:hAnsi="宋体" w:cs="宋体"/>
                <w:color w:val="000000" w:themeColor="text1"/>
                <w:kern w:val="0"/>
                <w:lang w:bidi="ar"/>
                <w14:textFill>
                  <w14:solidFill>
                    <w14:schemeClr w14:val="tx1"/>
                  </w14:solidFill>
                </w14:textFill>
              </w:rPr>
              <w:t>）、施工人员洗手废水</w:t>
            </w:r>
            <w:r>
              <w:rPr>
                <w:rFonts w:hint="eastAsia"/>
                <w:color w:val="000000" w:themeColor="text1"/>
                <w:kern w:val="0"/>
                <w:lang w:bidi="ar"/>
                <w14:textFill>
                  <w14:solidFill>
                    <w14:schemeClr w14:val="tx1"/>
                  </w14:solidFill>
                </w14:textFill>
              </w:rPr>
              <w:t>。</w:t>
            </w:r>
          </w:p>
          <w:p w14:paraId="5B59E58A">
            <w:pPr>
              <w:widowControl/>
              <w:adjustRightInd w:val="0"/>
              <w:snapToGrid w:val="0"/>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（1）渗滤液</w:t>
            </w:r>
          </w:p>
          <w:p w14:paraId="52EA4D84">
            <w:pPr>
              <w:widowControl/>
              <w:adjustRightInd w:val="0"/>
              <w:snapToGrid w:val="0"/>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1）废水产生情况</w:t>
            </w:r>
          </w:p>
          <w:p w14:paraId="166601F8">
            <w:pPr>
              <w:widowControl/>
              <w:adjustRightInd w:val="0"/>
              <w:snapToGrid w:val="0"/>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回填施工过程中降雨时，存在部分受雨水淋溶影响产生的渗滤液，产生的渗滤液经导排管排至渗滤液收集井后晴天回用于回填区洒水降尘，对周边环境影响小。</w:t>
            </w:r>
          </w:p>
          <w:p w14:paraId="6488D8AC">
            <w:pPr>
              <w:widowControl/>
              <w:adjustRightInd w:val="0"/>
              <w:snapToGrid w:val="0"/>
              <w:ind w:firstLine="480"/>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2）废水处理可行性分析</w:t>
            </w:r>
          </w:p>
          <w:p w14:paraId="1DA8AA82">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项目生态修复面积为</w:t>
            </w:r>
            <w:r>
              <w:rPr>
                <w:rFonts w:hint="eastAsia"/>
                <w:color w:val="000000" w:themeColor="text1"/>
                <w:lang w:eastAsia="zh-CN"/>
                <w14:textFill>
                  <w14:solidFill>
                    <w14:schemeClr w14:val="tx1"/>
                  </w14:solidFill>
                </w14:textFill>
              </w:rPr>
              <w:t>127097</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，洒水降尘量需求大（171.6</w:t>
            </w:r>
            <w:r>
              <w:rPr>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），项目施工期渗滤液产生量最大时在7、8月份，最大产生量为</w:t>
            </w:r>
            <w:r>
              <w:rPr>
                <w:rFonts w:hint="eastAsia"/>
                <w:color w:val="000000" w:themeColor="text1"/>
                <w:lang w:val="en-US" w:eastAsia="zh-CN"/>
                <w14:textFill>
                  <w14:solidFill>
                    <w14:schemeClr w14:val="tx1"/>
                  </w14:solidFill>
                </w14:textFill>
              </w:rPr>
              <w:t>117.82</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/d，地表径流产生量为</w:t>
            </w:r>
            <w:r>
              <w:rPr>
                <w:rFonts w:hint="eastAsia"/>
                <w:color w:val="000000" w:themeColor="text1"/>
                <w:lang w:val="en-US" w:eastAsia="zh-CN"/>
                <w14:textFill>
                  <w14:solidFill>
                    <w14:schemeClr w14:val="tx1"/>
                  </w14:solidFill>
                </w14:textFill>
              </w:rPr>
              <w:t>205.59</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/d，可完全回用于场区洒水降尘。</w:t>
            </w:r>
          </w:p>
          <w:p w14:paraId="7649920D">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考虑雨天不进行作业、绿化，项目在</w:t>
            </w:r>
            <w:r>
              <w:rPr>
                <w:rFonts w:hint="eastAsia"/>
                <w:color w:val="000000" w:themeColor="text1"/>
                <w:lang w:val="en-US" w:eastAsia="zh-CN"/>
                <w14:textFill>
                  <w14:solidFill>
                    <w14:schemeClr w14:val="tx1"/>
                  </w14:solidFill>
                </w14:textFill>
              </w:rPr>
              <w:t>南部回填区</w:t>
            </w:r>
            <w:r>
              <w:rPr>
                <w:rFonts w:hint="eastAsia"/>
                <w:color w:val="000000" w:themeColor="text1"/>
                <w14:textFill>
                  <w14:solidFill>
                    <w14:schemeClr w14:val="tx1"/>
                  </w14:solidFill>
                </w14:textFill>
              </w:rPr>
              <w:t>设置一个</w:t>
            </w:r>
            <w:r>
              <w:rPr>
                <w:rFonts w:hint="eastAsia"/>
                <w:color w:val="000000" w:themeColor="text1"/>
                <w:lang w:val="en-US" w:eastAsia="zh-CN"/>
                <w14:textFill>
                  <w14:solidFill>
                    <w14:schemeClr w14:val="tx1"/>
                  </w14:solidFill>
                </w14:textFill>
              </w:rPr>
              <w:t>425</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的回用水池，在</w:t>
            </w:r>
            <w:r>
              <w:rPr>
                <w:rFonts w:hint="eastAsia"/>
                <w:color w:val="000000" w:themeColor="text1"/>
                <w:lang w:val="en-US" w:eastAsia="zh-CN"/>
                <w14:textFill>
                  <w14:solidFill>
                    <w14:schemeClr w14:val="tx1"/>
                  </w14:solidFill>
                </w14:textFill>
              </w:rPr>
              <w:t>北部回填区</w:t>
            </w:r>
            <w:r>
              <w:rPr>
                <w:rFonts w:hint="eastAsia"/>
                <w:color w:val="000000" w:themeColor="text1"/>
                <w14:textFill>
                  <w14:solidFill>
                    <w14:schemeClr w14:val="tx1"/>
                  </w14:solidFill>
                </w14:textFill>
              </w:rPr>
              <w:t>设置一个</w:t>
            </w:r>
            <w:r>
              <w:rPr>
                <w:rFonts w:hint="eastAsia"/>
                <w:color w:val="000000" w:themeColor="text1"/>
                <w:lang w:val="en-US" w:eastAsia="zh-CN"/>
                <w14:textFill>
                  <w14:solidFill>
                    <w14:schemeClr w14:val="tx1"/>
                  </w14:solidFill>
                </w14:textFill>
              </w:rPr>
              <w:t>410</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的回用水池，渗滤液收集井及回用水池总容积可接纳约</w:t>
            </w:r>
            <w:r>
              <w:rPr>
                <w:rFonts w:hint="eastAsia"/>
                <w:color w:val="000000" w:themeColor="text1"/>
                <w:lang w:val="en-US" w:eastAsia="zh-CN"/>
                <w14:textFill>
                  <w14:solidFill>
                    <w14:schemeClr w14:val="tx1"/>
                  </w14:solidFill>
                </w14:textFill>
              </w:rPr>
              <w:t>3</w:t>
            </w:r>
            <w:r>
              <w:rPr>
                <w:rFonts w:hint="eastAsia"/>
                <w:color w:val="000000" w:themeColor="text1"/>
                <w14:textFill>
                  <w14:solidFill>
                    <w14:schemeClr w14:val="tx1"/>
                  </w14:solidFill>
                </w14:textFill>
              </w:rPr>
              <w:t>天的渗滤液及地表径流量；项目施工结束回填体顶部设置防渗膜，渗滤液产生量会随之变少。</w:t>
            </w:r>
          </w:p>
          <w:p w14:paraId="5A845D62">
            <w:pPr>
              <w:widowControl/>
              <w:adjustRightInd w:val="0"/>
              <w:snapToGrid w:val="0"/>
              <w:ind w:firstLine="480"/>
              <w:rPr>
                <w:color w:val="000000" w:themeColor="text1"/>
                <w:kern w:val="0"/>
                <w:lang w:bidi="ar"/>
                <w14:textFill>
                  <w14:solidFill>
                    <w14:schemeClr w14:val="tx1"/>
                  </w14:solidFill>
                </w14:textFill>
              </w:rPr>
            </w:pPr>
            <w:r>
              <w:rPr>
                <w:rFonts w:hint="eastAsia"/>
                <w:color w:val="000000" w:themeColor="text1"/>
                <w14:textFill>
                  <w14:solidFill>
                    <w14:schemeClr w14:val="tx1"/>
                  </w14:solidFill>
                </w14:textFill>
              </w:rPr>
              <w:t>根据《改性磷石膏用于矿山废弃地生态修复回填技术规范》（DB53/T1269-2024）11.3“回填施工现场应设置收集设施，收集施工过程受雨水溶淋产生的淋滤水。淋滤水可用于回填区扬尘治理或满足GB 8978的要求达标排放”规范要求，本项目产生的渗滤液经渗滤液收集井收集后晴天回用于回填区降尘是可行的，满足相应规范要求。</w:t>
            </w:r>
          </w:p>
          <w:p w14:paraId="746E3A36">
            <w:pPr>
              <w:widowControl/>
              <w:adjustRightInd w:val="0"/>
              <w:snapToGrid w:val="0"/>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（2）施工废水</w:t>
            </w:r>
          </w:p>
          <w:p w14:paraId="499C99A8">
            <w:pPr>
              <w:widowControl/>
              <w:adjustRightInd w:val="0"/>
              <w:snapToGrid w:val="0"/>
              <w:ind w:firstLine="480"/>
              <w:jc w:val="left"/>
              <w:rPr>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项目施工废水主要为施工车辆冲洗废水及混凝土养护废水。项目施工车辆冲洗废水产生量约为</w:t>
            </w:r>
            <w:r>
              <w:rPr>
                <w:rFonts w:hint="eastAsia"/>
                <w:color w:val="000000" w:themeColor="text1"/>
                <w14:textFill>
                  <w14:solidFill>
                    <w14:schemeClr w14:val="tx1"/>
                  </w14:solidFill>
                </w14:textFill>
              </w:rPr>
              <w:t>2.08m</w:t>
            </w:r>
            <w:r>
              <w:rPr>
                <w:rFonts w:hint="eastAsia"/>
                <w:color w:val="000000" w:themeColor="text1"/>
                <w:vertAlign w:val="superscript"/>
                <w14:textFill>
                  <w14:solidFill>
                    <w14:schemeClr w14:val="tx1"/>
                  </w14:solidFill>
                </w14:textFill>
              </w:rPr>
              <w:t>3</w:t>
            </w:r>
            <w:r>
              <w:rPr>
                <w:color w:val="000000" w:themeColor="text1"/>
                <w14:textFill>
                  <w14:solidFill>
                    <w14:schemeClr w14:val="tx1"/>
                  </w14:solidFill>
                </w14:textFill>
              </w:rPr>
              <w:t>/d</w:t>
            </w:r>
            <w:r>
              <w:rPr>
                <w:rFonts w:hint="eastAsia"/>
                <w:color w:val="000000" w:themeColor="text1"/>
                <w14:textFill>
                  <w14:solidFill>
                    <w14:schemeClr w14:val="tx1"/>
                  </w14:solidFill>
                </w14:textFill>
              </w:rPr>
              <w:t>，</w:t>
            </w:r>
            <w:r>
              <w:rPr>
                <w:rFonts w:hint="eastAsia" w:ascii="宋体" w:hAnsi="宋体" w:cs="宋体"/>
                <w:color w:val="000000" w:themeColor="text1"/>
                <w:kern w:val="0"/>
                <w:lang w:bidi="ar"/>
                <w14:textFill>
                  <w14:solidFill>
                    <w14:schemeClr w14:val="tx1"/>
                  </w14:solidFill>
                </w14:textFill>
              </w:rPr>
              <w:t>废水污染物主要为</w:t>
            </w:r>
            <w:r>
              <w:rPr>
                <w:color w:val="000000" w:themeColor="text1"/>
                <w:kern w:val="0"/>
                <w:lang w:bidi="ar"/>
                <w14:textFill>
                  <w14:solidFill>
                    <w14:schemeClr w14:val="tx1"/>
                  </w14:solidFill>
                </w14:textFill>
              </w:rPr>
              <w:t>SS</w:t>
            </w:r>
            <w:r>
              <w:rPr>
                <w:rFonts w:hint="eastAsia" w:ascii="宋体" w:hAnsi="宋体" w:cs="宋体"/>
                <w:color w:val="000000" w:themeColor="text1"/>
                <w:kern w:val="0"/>
                <w:lang w:bidi="ar"/>
                <w14:textFill>
                  <w14:solidFill>
                    <w14:schemeClr w14:val="tx1"/>
                  </w14:solidFill>
                </w14:textFill>
              </w:rPr>
              <w:t>。混凝土养护废水自然蒸发，废水经收集沉淀处理后回用于洒水降尘，项目区施工期设置1座3</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3</w:t>
            </w:r>
            <w:r>
              <w:rPr>
                <w:rFonts w:hint="eastAsia"/>
                <w:color w:val="000000" w:themeColor="text1"/>
                <w14:textFill>
                  <w14:solidFill>
                    <w14:schemeClr w14:val="tx1"/>
                  </w14:solidFill>
                </w14:textFill>
              </w:rPr>
              <w:t>的临时沉淀池，可容纳1天的施工车辆冲洗废水及施工人员洗手废水，废水处理设施可行</w:t>
            </w:r>
            <w:r>
              <w:rPr>
                <w:rFonts w:hint="eastAsia" w:ascii="宋体" w:hAnsi="宋体" w:cs="宋体"/>
                <w:color w:val="000000" w:themeColor="text1"/>
                <w:kern w:val="0"/>
                <w:lang w:bidi="ar"/>
                <w14:textFill>
                  <w14:solidFill>
                    <w14:schemeClr w14:val="tx1"/>
                  </w14:solidFill>
                </w14:textFill>
              </w:rPr>
              <w:t>。</w:t>
            </w:r>
          </w:p>
          <w:p w14:paraId="3BF745A8">
            <w:pPr>
              <w:widowControl/>
              <w:adjustRightInd w:val="0"/>
              <w:snapToGrid w:val="0"/>
              <w:ind w:firstLine="482"/>
              <w:jc w:val="left"/>
              <w:rPr>
                <w:color w:val="000000" w:themeColor="text1"/>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（3）施工人员洗手污水</w:t>
            </w:r>
          </w:p>
          <w:p w14:paraId="458757E5">
            <w:pPr>
              <w:widowControl/>
              <w:adjustRightInd w:val="0"/>
              <w:snapToGrid w:val="0"/>
              <w:ind w:firstLine="480"/>
              <w:jc w:val="left"/>
              <w:rPr>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项目施工人员洗手废水产生量约</w:t>
            </w:r>
            <w:r>
              <w:rPr>
                <w:rFonts w:hint="eastAsia"/>
                <w:color w:val="000000" w:themeColor="text1"/>
                <w:kern w:val="0"/>
                <w:lang w:bidi="ar"/>
                <w14:textFill>
                  <w14:solidFill>
                    <w14:schemeClr w14:val="tx1"/>
                  </w14:solidFill>
                </w14:textFill>
              </w:rPr>
              <w:t>0.48</w:t>
            </w:r>
            <w:r>
              <w:rPr>
                <w:color w:val="000000" w:themeColor="text1"/>
                <w:kern w:val="0"/>
                <w:lang w:bidi="ar"/>
                <w14:textFill>
                  <w14:solidFill>
                    <w14:schemeClr w14:val="tx1"/>
                  </w14:solidFill>
                </w14:textFill>
              </w:rPr>
              <w:t>m³/d，经临时沉淀池（</w:t>
            </w:r>
            <w:r>
              <w:rPr>
                <w:rFonts w:hint="eastAsia"/>
                <w:color w:val="000000" w:themeColor="text1"/>
                <w:kern w:val="0"/>
                <w:lang w:bidi="ar"/>
                <w14:textFill>
                  <w14:solidFill>
                    <w14:schemeClr w14:val="tx1"/>
                  </w14:solidFill>
                </w14:textFill>
              </w:rPr>
              <w:t>3</w:t>
            </w:r>
            <w:r>
              <w:rPr>
                <w:color w:val="000000" w:themeColor="text1"/>
                <w:kern w:val="0"/>
                <w:lang w:bidi="ar"/>
                <w14:textFill>
                  <w14:solidFill>
                    <w14:schemeClr w14:val="tx1"/>
                  </w14:solidFill>
                </w14:textFill>
              </w:rPr>
              <w:t>m³）沉淀处理后回用于施工场地洒水降尘，不会对区域地表水体造成较大影响。</w:t>
            </w:r>
          </w:p>
          <w:p w14:paraId="0C0C6211">
            <w:pPr>
              <w:widowControl/>
              <w:adjustRightInd w:val="0"/>
              <w:snapToGrid w:val="0"/>
              <w:ind w:firstLine="482"/>
              <w:jc w:val="left"/>
              <w:rPr>
                <w:rFonts w:hint="eastAsia" w:ascii="宋体" w:hAnsi="宋体" w:cs="宋体"/>
                <w:b/>
                <w:bCs/>
                <w:color w:val="000000" w:themeColor="text1"/>
                <w:kern w:val="0"/>
                <w:lang w:bidi="ar"/>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（4）小结</w:t>
            </w:r>
          </w:p>
          <w:p w14:paraId="0337D321">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项目施工废水均合理处置，在采取各污染控制措施下，项目不会对周边地表水体造成较大影响。</w:t>
            </w:r>
          </w:p>
          <w:p w14:paraId="4EE18300">
            <w:pPr>
              <w:pStyle w:val="71"/>
              <w:adjustRightInd w:val="0"/>
              <w:ind w:firstLine="482"/>
              <w:jc w:val="both"/>
              <w:rPr>
                <w:b/>
                <w:bCs/>
                <w:color w:val="000000" w:themeColor="text1"/>
                <w:spacing w:val="0"/>
                <w:kern w:val="0"/>
                <w:lang w:val="en-US" w:bidi="ar"/>
                <w14:textFill>
                  <w14:solidFill>
                    <w14:schemeClr w14:val="tx1"/>
                  </w14:solidFill>
                </w14:textFill>
              </w:rPr>
            </w:pPr>
            <w:r>
              <w:rPr>
                <w:rFonts w:hint="eastAsia"/>
                <w:b/>
                <w:bCs/>
                <w:color w:val="000000" w:themeColor="text1"/>
                <w:spacing w:val="0"/>
                <w:kern w:val="0"/>
                <w:lang w:val="en-US" w:bidi="ar"/>
                <w14:textFill>
                  <w14:solidFill>
                    <w14:schemeClr w14:val="tx1"/>
                  </w14:solidFill>
                </w14:textFill>
              </w:rPr>
              <w:t>3、声环境保护措施</w:t>
            </w:r>
          </w:p>
          <w:p w14:paraId="152F9CE0">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施工期间噪声主要是施工现场的各类机械设备噪声、施工作业噪声以及物料运输造成的交通噪声。</w:t>
            </w:r>
          </w:p>
          <w:p w14:paraId="1D6131A2">
            <w:pPr>
              <w:widowControl/>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（1）施工噪声</w:t>
            </w:r>
          </w:p>
          <w:p w14:paraId="6BEDDB90">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项目周边200</w:t>
            </w:r>
            <w:r>
              <w:rPr>
                <w:color w:val="000000" w:themeColor="text1"/>
                <w:kern w:val="0"/>
                <w:lang w:bidi="ar"/>
                <w14:textFill>
                  <w14:solidFill>
                    <w14:schemeClr w14:val="tx1"/>
                  </w14:solidFill>
                </w14:textFill>
              </w:rPr>
              <w:t>m</w:t>
            </w:r>
            <w:r>
              <w:rPr>
                <w:rFonts w:hint="eastAsia"/>
                <w:color w:val="000000" w:themeColor="text1"/>
                <w:kern w:val="0"/>
                <w:lang w:bidi="ar"/>
                <w14:textFill>
                  <w14:solidFill>
                    <w14:schemeClr w14:val="tx1"/>
                  </w14:solidFill>
                </w14:textFill>
              </w:rPr>
              <w:t>范围内没有居民分布。为减轻施工期对周围环境影响，项目施工期需注意采取以下措施：</w:t>
            </w:r>
          </w:p>
          <w:p w14:paraId="290A0CF0">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1）在符合施工需要的前提下，尽可能选取噪声低、振动小、能耗小的先进设备。加强对施工机械的维护保养，避免由于设备性能差而使机械噪声增大的现象发生，避免偶发噪声发生；</w:t>
            </w:r>
          </w:p>
          <w:p w14:paraId="2FAFC80F">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2）加快施工进度，合理安排施工时间；</w:t>
            </w:r>
          </w:p>
          <w:p w14:paraId="533DE91B">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3）加强对施工人员的环境宣传和教育，使他们认真落实各项降噪措施，做到文明施工；</w:t>
            </w:r>
          </w:p>
          <w:p w14:paraId="4038D12B">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4）运输施工物资应注意合理安排施工物料运输时间；</w:t>
            </w:r>
          </w:p>
          <w:p w14:paraId="7A2ED0D9">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5）加强对施工场地的噪声管理，文明施工，做 好区内交通组织，施工场地车辆出入现场时应低速、禁鸣，设立专人负责；</w:t>
            </w:r>
          </w:p>
          <w:p w14:paraId="5248C4E4">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通过采取上述措施，将项目施工期施工机械噪声对周围环境的影响降至最低。随着项目施工结束，施工噪声污染将随之消失，在严格执行上述措施的前提下，项目施工噪声对周边环境产生的影响是可以接受的。</w:t>
            </w:r>
          </w:p>
          <w:p w14:paraId="68A1B484">
            <w:pPr>
              <w:widowControl/>
              <w:ind w:firstLine="482"/>
              <w:jc w:val="left"/>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（2）运输噪声</w:t>
            </w:r>
          </w:p>
          <w:p w14:paraId="09590198">
            <w:pPr>
              <w:widowControl/>
              <w:adjustRightInd w:val="0"/>
              <w:snapToGrid w:val="0"/>
              <w:ind w:firstLine="480"/>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回填料运输依托现有道路，往来车辆较多，为避免车辆运输噪声对沿途村民的影响，要求运输车辆经过此处时减速慢行，同时加强途经对途经村庄道路维护；在经过沿线村庄时，应减缓车速、禁止鸣笛；合理安排运输时间，运输尽量安排在昼间减少车辆运输产生的噪声对于周边环境的影响。经采取以上措施后，项目施工噪声对沿途村庄的影响是可以接受的。</w:t>
            </w:r>
          </w:p>
          <w:p w14:paraId="08741A19">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（3）小结</w:t>
            </w:r>
          </w:p>
          <w:p w14:paraId="2F00E0CA">
            <w:pPr>
              <w:widowControl/>
              <w:adjustRightInd w:val="0"/>
              <w:snapToGrid w:val="0"/>
              <w:ind w:firstLine="480"/>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通过采取上述措施，项目施工噪声对周围环境的影响降至最低。随着项目施工结束，施工噪声污染将随之消失，在严格执行上述措施的前提下，项目施工噪声对周边环境产生的影响是可以接受的。</w:t>
            </w:r>
          </w:p>
          <w:p w14:paraId="2A3855F3">
            <w:pPr>
              <w:pStyle w:val="71"/>
              <w:adjustRightInd w:val="0"/>
              <w:ind w:firstLine="482" w:firstLineChars="0"/>
              <w:jc w:val="both"/>
              <w:rPr>
                <w:b/>
                <w:bCs/>
                <w:color w:val="000000" w:themeColor="text1"/>
                <w:spacing w:val="0"/>
                <w:kern w:val="0"/>
                <w:lang w:val="en-US" w:bidi="ar"/>
                <w14:textFill>
                  <w14:solidFill>
                    <w14:schemeClr w14:val="tx1"/>
                  </w14:solidFill>
                </w14:textFill>
              </w:rPr>
            </w:pPr>
            <w:r>
              <w:rPr>
                <w:rFonts w:hint="eastAsia"/>
                <w:b/>
                <w:bCs/>
                <w:color w:val="000000" w:themeColor="text1"/>
                <w:spacing w:val="0"/>
                <w:kern w:val="0"/>
                <w:lang w:val="en-US" w:bidi="ar"/>
                <w14:textFill>
                  <w14:solidFill>
                    <w14:schemeClr w14:val="tx1"/>
                  </w14:solidFill>
                </w14:textFill>
              </w:rPr>
              <w:t>4、固体废弃物处置措施</w:t>
            </w:r>
          </w:p>
          <w:p w14:paraId="2321C7FA">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项目施工期固体废物主要为开挖土石方、施工人员生活垃圾、临时沉淀池及渗滤液收集井的沉渣、拆除构筑物固体废物。</w:t>
            </w:r>
          </w:p>
          <w:p w14:paraId="68A2F0EA">
            <w:pPr>
              <w:widowControl/>
              <w:adjustRightInd w:val="0"/>
              <w:snapToGrid w:val="0"/>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（1）废土石方</w:t>
            </w:r>
          </w:p>
          <w:p w14:paraId="6E82AEDC">
            <w:pPr>
              <w:widowControl/>
              <w:adjustRightInd w:val="0"/>
              <w:snapToGrid w:val="0"/>
              <w:ind w:firstLine="480"/>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根据工程分析，项目施工期产生土石方全部用于场地平整。土石方处置率</w:t>
            </w:r>
            <w:r>
              <w:rPr>
                <w:color w:val="000000" w:themeColor="text1"/>
                <w:kern w:val="0"/>
                <w:lang w:bidi="ar"/>
                <w14:textFill>
                  <w14:solidFill>
                    <w14:schemeClr w14:val="tx1"/>
                  </w14:solidFill>
                </w14:textFill>
              </w:rPr>
              <w:t>100%</w:t>
            </w:r>
            <w:r>
              <w:rPr>
                <w:rFonts w:hint="eastAsia" w:ascii="宋体" w:hAnsi="宋体" w:cs="宋体"/>
                <w:color w:val="000000" w:themeColor="text1"/>
                <w:kern w:val="0"/>
                <w:lang w:bidi="ar"/>
                <w14:textFill>
                  <w14:solidFill>
                    <w14:schemeClr w14:val="tx1"/>
                  </w14:solidFill>
                </w14:textFill>
              </w:rPr>
              <w:t>，对周边环境影响小。</w:t>
            </w:r>
          </w:p>
          <w:p w14:paraId="09885788">
            <w:pPr>
              <w:widowControl/>
              <w:ind w:firstLine="482"/>
              <w:jc w:val="left"/>
              <w:rPr>
                <w:b/>
                <w:bCs/>
                <w:color w:val="000000" w:themeColor="text1"/>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（2）临时沉淀池及渗滤液收集井沉渣</w:t>
            </w:r>
          </w:p>
          <w:p w14:paraId="62F5399C">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临时沉淀池及渗滤液收集井的沉渣，定期进行清理，清理出来的沉渣约</w:t>
            </w:r>
            <w:r>
              <w:rPr>
                <w:color w:val="000000" w:themeColor="text1"/>
                <w:kern w:val="0"/>
                <w:lang w:bidi="ar"/>
                <w14:textFill>
                  <w14:solidFill>
                    <w14:schemeClr w14:val="tx1"/>
                  </w14:solidFill>
                </w14:textFill>
              </w:rPr>
              <w:t>3t/a</w:t>
            </w:r>
            <w:r>
              <w:rPr>
                <w:rFonts w:hint="eastAsia" w:ascii="宋体" w:hAnsi="宋体" w:cs="宋体"/>
                <w:color w:val="000000" w:themeColor="text1"/>
                <w:kern w:val="0"/>
                <w:lang w:bidi="ar"/>
                <w14:textFill>
                  <w14:solidFill>
                    <w14:schemeClr w14:val="tx1"/>
                  </w14:solidFill>
                </w14:textFill>
              </w:rPr>
              <w:t>，装袋沥水晾干后用于回填区回填。</w:t>
            </w:r>
          </w:p>
          <w:p w14:paraId="1B26D6FC">
            <w:pPr>
              <w:widowControl/>
              <w:ind w:firstLine="482"/>
              <w:jc w:val="left"/>
              <w:rPr>
                <w:b/>
                <w:bCs/>
                <w:color w:val="000000" w:themeColor="text1"/>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（3）施工人员生活垃圾</w:t>
            </w:r>
          </w:p>
          <w:p w14:paraId="2D889E1E">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根据环境影响分析章节，项目施工期施工人员生活垃圾产生量为</w:t>
            </w:r>
            <w:r>
              <w:rPr>
                <w:rFonts w:hint="eastAsia"/>
                <w:color w:val="000000" w:themeColor="text1"/>
                <w:kern w:val="0"/>
                <w:lang w:bidi="ar"/>
                <w14:textFill>
                  <w14:solidFill>
                    <w14:schemeClr w14:val="tx1"/>
                  </w14:solidFill>
                </w14:textFill>
              </w:rPr>
              <w:t>15</w:t>
            </w:r>
            <w:r>
              <w:rPr>
                <w:color w:val="000000" w:themeColor="text1"/>
                <w:kern w:val="0"/>
                <w:lang w:bidi="ar"/>
                <w14:textFill>
                  <w14:solidFill>
                    <w14:schemeClr w14:val="tx1"/>
                  </w14:solidFill>
                </w14:textFill>
              </w:rPr>
              <w:t>kg/d</w:t>
            </w:r>
            <w:r>
              <w:rPr>
                <w:rFonts w:hint="eastAsia" w:ascii="宋体" w:hAnsi="宋体" w:cs="宋体"/>
                <w:color w:val="000000" w:themeColor="text1"/>
                <w:kern w:val="0"/>
                <w:lang w:bidi="ar"/>
                <w14:textFill>
                  <w14:solidFill>
                    <w14:schemeClr w14:val="tx1"/>
                  </w14:solidFill>
                </w14:textFill>
              </w:rPr>
              <w:t>，施工期施工人员生活垃圾经集中收集后清运至附近村庄收集点堆存，由环卫部门清运处置。</w:t>
            </w:r>
          </w:p>
          <w:p w14:paraId="63159DDD">
            <w:pPr>
              <w:widowControl/>
              <w:ind w:firstLine="480"/>
              <w:jc w:val="left"/>
              <w:rPr>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项目区旱厕</w:t>
            </w:r>
            <w:r>
              <w:rPr>
                <w:rFonts w:hint="eastAsia"/>
                <w:color w:val="000000" w:themeColor="text1"/>
                <w:kern w:val="0"/>
                <w:lang w:bidi="ar"/>
                <w14:textFill>
                  <w14:solidFill>
                    <w14:schemeClr w14:val="tx1"/>
                  </w14:solidFill>
                </w14:textFill>
              </w:rPr>
              <w:t>粪便委托环卫部门定期清运定期，待施工结束后拆除旱厕。</w:t>
            </w:r>
          </w:p>
          <w:p w14:paraId="07B21B5D">
            <w:pPr>
              <w:widowControl/>
              <w:ind w:firstLine="482"/>
              <w:jc w:val="left"/>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（4）小结</w:t>
            </w:r>
          </w:p>
          <w:p w14:paraId="06FC09B7">
            <w:pPr>
              <w:ind w:firstLine="480"/>
              <w:rPr>
                <w:color w:val="000000" w:themeColor="text1"/>
                <w:kern w:val="0"/>
                <w:lang w:bidi="ar"/>
                <w14:textFill>
                  <w14:solidFill>
                    <w14:schemeClr w14:val="tx1"/>
                  </w14:solidFill>
                </w14:textFill>
              </w:rPr>
            </w:pPr>
            <w:r>
              <w:rPr>
                <w:rFonts w:hint="eastAsia"/>
                <w:color w:val="000000" w:themeColor="text1"/>
                <w14:textFill>
                  <w14:solidFill>
                    <w14:schemeClr w14:val="tx1"/>
                  </w14:solidFill>
                </w14:textFill>
              </w:rPr>
              <w:t>项目施工期固体废物均得到合理处置，固体废物处置率100%，在采取各污染控制措施下，项目不会对周边环境造成较大影响。</w:t>
            </w:r>
          </w:p>
          <w:p w14:paraId="5CC99812">
            <w:pPr>
              <w:widowControl/>
              <w:ind w:firstLine="482"/>
              <w:rPr>
                <w:rFonts w:hint="eastAsia" w:ascii="宋体" w:hAnsi="宋体" w:cs="宋体"/>
                <w:b/>
                <w:bCs/>
                <w:color w:val="000000" w:themeColor="text1"/>
                <w:kern w:val="0"/>
                <w:lang w:bidi="ar"/>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5、地下水环境保护措施</w:t>
            </w:r>
          </w:p>
          <w:p w14:paraId="758D5B5C">
            <w:pPr>
              <w:widowControl/>
              <w:ind w:firstLine="480"/>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项目施工期使用改性磷石膏回填矿坑，回填修复区铺设绿化植被覆土前，回填体为裸露堆放，受雨水淋溶影响产生部分渗滤液，渗滤液含有一定量污染物。项目使用的回填物料若不采取防渗措施，渗滤液将会随雨水渗入地下，污染地下水。为防止回填场渗滤液渗漏对地下水造成污染，采用粘土和土工布、土工膜对回填区的底部、顶部和内边坡进行防渗。</w:t>
            </w:r>
          </w:p>
          <w:p w14:paraId="5FC6BCE0">
            <w:pPr>
              <w:widowControl/>
              <w:ind w:firstLine="482"/>
              <w:rPr>
                <w:b/>
                <w:bCs/>
                <w:color w:val="000000" w:themeColor="text1"/>
                <w14:textFill>
                  <w14:solidFill>
                    <w14:schemeClr w14:val="tx1"/>
                  </w14:solidFill>
                </w14:textFill>
              </w:rPr>
            </w:pPr>
            <w:r>
              <w:rPr>
                <w:rFonts w:hint="eastAsia"/>
                <w:b/>
                <w:bCs/>
                <w:color w:val="000000" w:themeColor="text1"/>
                <w:kern w:val="0"/>
                <w:lang w:bidi="ar"/>
                <w14:textFill>
                  <w14:solidFill>
                    <w14:schemeClr w14:val="tx1"/>
                  </w14:solidFill>
                </w14:textFill>
              </w:rPr>
              <w:t>（1）回填料控制</w:t>
            </w:r>
          </w:p>
          <w:p w14:paraId="284CE6C8">
            <w:pPr>
              <w:widowControl/>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1）回填物料必须为合格改性磷石膏，禁止使用新鲜磷石膏回填；</w:t>
            </w:r>
          </w:p>
          <w:p w14:paraId="12E8F609">
            <w:pPr>
              <w:widowControl/>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2）建设单位设专人管理回填料中和过程、专人检验中和后稳定的回填物料。每一批次回填物料均需检验，并做好记录；</w:t>
            </w:r>
          </w:p>
          <w:p w14:paraId="7384A2E0">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3）严禁生活垃圾及建筑垃圾混入，在回填、推平过程中也要检查，一旦发现其他垃圾混入，应立即停止回填，确保其他垃圾不得进入回填场。</w:t>
            </w:r>
          </w:p>
          <w:p w14:paraId="41E458E2">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4）</w:t>
            </w:r>
            <w:r>
              <w:rPr>
                <w:rFonts w:hint="eastAsia" w:ascii="Times New Roman" w:hAnsi="Times New Roman" w:eastAsia="宋体" w:cs="Times New Roman"/>
                <w:color w:val="000000" w:themeColor="text1"/>
                <w:kern w:val="0"/>
                <w:lang w:bidi="ar"/>
                <w14:textFill>
                  <w14:solidFill>
                    <w14:schemeClr w14:val="tx1"/>
                  </w14:solidFill>
                </w14:textFill>
              </w:rPr>
              <w:t>本项目改性磷石膏回填量</w:t>
            </w:r>
            <w:r>
              <w:rPr>
                <w:rFonts w:hint="eastAsia" w:ascii="Times New Roman" w:hAnsi="Times New Roman" w:eastAsia="宋体" w:cs="Times New Roman"/>
                <w:color w:val="000000" w:themeColor="text1"/>
                <w:kern w:val="0"/>
                <w:lang w:val="en-US" w:eastAsia="zh-CN" w:bidi="ar"/>
                <w14:textFill>
                  <w14:solidFill>
                    <w14:schemeClr w14:val="tx1"/>
                  </w14:solidFill>
                </w14:textFill>
              </w:rPr>
              <w:t>约</w:t>
            </w:r>
            <w:r>
              <w:rPr>
                <w:rFonts w:hint="eastAsia" w:ascii="Times New Roman" w:hAnsi="Times New Roman" w:eastAsia="宋体" w:cs="Times New Roman"/>
                <w:color w:val="000000" w:themeColor="text1"/>
                <w:kern w:val="0"/>
                <w:lang w:bidi="ar"/>
                <w14:textFill>
                  <w14:solidFill>
                    <w14:schemeClr w14:val="tx1"/>
                  </w14:solidFill>
                </w14:textFill>
              </w:rPr>
              <w:t>为</w:t>
            </w:r>
            <w:r>
              <w:rPr>
                <w:rFonts w:hint="eastAsia" w:ascii="Times New Roman" w:hAnsi="Times New Roman" w:eastAsia="宋体" w:cs="Times New Roman"/>
                <w:color w:val="000000" w:themeColor="text1"/>
                <w:kern w:val="0"/>
                <w:lang w:val="en-US" w:eastAsia="zh-CN" w:bidi="ar"/>
                <w14:textFill>
                  <w14:solidFill>
                    <w14:schemeClr w14:val="tx1"/>
                  </w14:solidFill>
                </w14:textFill>
              </w:rPr>
              <w:t>215.622万吨</w:t>
            </w:r>
            <w:r>
              <w:rPr>
                <w:rFonts w:hint="eastAsia" w:ascii="Times New Roman" w:hAnsi="Times New Roman" w:eastAsia="宋体" w:cs="Times New Roman"/>
                <w:color w:val="000000" w:themeColor="text1"/>
                <w:kern w:val="0"/>
                <w:lang w:bidi="ar"/>
                <w14:textFill>
                  <w14:solidFill>
                    <w14:schemeClr w14:val="tx1"/>
                  </w14:solidFill>
                </w14:textFill>
              </w:rPr>
              <w:t>，</w:t>
            </w:r>
            <w:r>
              <w:rPr>
                <w:rFonts w:hint="eastAsia" w:ascii="Times New Roman" w:hAnsi="Times New Roman" w:eastAsia="宋体" w:cs="Times New Roman"/>
                <w:color w:val="000000" w:themeColor="text1"/>
                <w:kern w:val="0"/>
                <w:lang w:val="en-US" w:eastAsia="zh-CN" w:bidi="ar"/>
                <w14:textFill>
                  <w14:solidFill>
                    <w14:schemeClr w14:val="tx1"/>
                  </w14:solidFill>
                </w14:textFill>
              </w:rPr>
              <w:t>2156220</w:t>
            </w:r>
            <w:r>
              <w:rPr>
                <w:rFonts w:hint="eastAsia" w:ascii="Times New Roman" w:hAnsi="Times New Roman" w:eastAsia="宋体" w:cs="Times New Roman"/>
                <w:color w:val="000000" w:themeColor="text1"/>
                <w:kern w:val="0"/>
                <w:lang w:bidi="ar"/>
                <w14:textFill>
                  <w14:solidFill>
                    <w14:schemeClr w14:val="tx1"/>
                  </w14:solidFill>
                </w14:textFill>
              </w:rPr>
              <w:t>T&gt;1000000T，以30000T改性磷石膏为一批次</w:t>
            </w:r>
            <w:r>
              <w:rPr>
                <w:rFonts w:hint="eastAsia"/>
                <w:color w:val="000000" w:themeColor="text1"/>
                <w:kern w:val="0"/>
                <w:lang w:bidi="ar"/>
                <w14:textFill>
                  <w14:solidFill>
                    <w14:schemeClr w14:val="tx1"/>
                  </w14:solidFill>
                </w14:textFill>
              </w:rPr>
              <w:t>，改性磷石膏用于回填区地形重塑后进行采样，结合回填工艺确定采样区域。采样区域使用网格法结合堆积高度确定采样点位数，每批次采样点位不少于3个，每批次份样数不少于6个，将上述份样制成一个混合样，按照HJ/T20中第5章的要求进行制样分析。对改性磷石膏材料浸出液进行检测，按照HJ557规定方法制备改性磷石膏浸出液中任何一种特征污染物浓度均不超过GB 8978最高允许排放浓度（第二类污染物最高允许排放浓度按照一级标准执行）检验合格后方可运入回填区回填，并保留监测记录。</w:t>
            </w:r>
          </w:p>
          <w:p w14:paraId="67FCA7F1">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（2）防渗措施</w:t>
            </w:r>
          </w:p>
          <w:p w14:paraId="00D7DEA2">
            <w:pPr>
              <w:widowControl/>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基底处理：</w:t>
            </w:r>
          </w:p>
          <w:p w14:paraId="332AC3C4">
            <w:pPr>
              <w:widowControl/>
              <w:ind w:firstLine="480"/>
              <w:rPr>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生态修复区底部清基后铺设粘土层，压实处理后粘土层厚度0.75</w:t>
            </w:r>
            <w:r>
              <w:rPr>
                <w:color w:val="000000" w:themeColor="text1"/>
                <w:kern w:val="0"/>
                <w:lang w:bidi="ar"/>
                <w14:textFill>
                  <w14:solidFill>
                    <w14:schemeClr w14:val="tx1"/>
                  </w14:solidFill>
                </w14:textFill>
              </w:rPr>
              <w:t>m</w:t>
            </w:r>
            <w:r>
              <w:rPr>
                <w:rFonts w:hint="eastAsia"/>
                <w:color w:val="000000" w:themeColor="text1"/>
                <w:kern w:val="0"/>
                <w:lang w:bidi="ar"/>
                <w14:textFill>
                  <w14:solidFill>
                    <w14:schemeClr w14:val="tx1"/>
                  </w14:solidFill>
                </w14:textFill>
              </w:rPr>
              <w:t>，压实后的粘土层进行渗透试验，渗透系数满足</w:t>
            </w:r>
            <w:r>
              <w:rPr>
                <w:color w:val="000000" w:themeColor="text1"/>
                <w:kern w:val="0"/>
                <w:lang w:bidi="ar"/>
                <w14:textFill>
                  <w14:solidFill>
                    <w14:schemeClr w14:val="tx1"/>
                  </w14:solidFill>
                </w14:textFill>
              </w:rPr>
              <w:t>1.0×10</w:t>
            </w:r>
            <w:r>
              <w:rPr>
                <w:rFonts w:hint="eastAsia"/>
                <w:color w:val="000000" w:themeColor="text1"/>
                <w:kern w:val="0"/>
                <w:vertAlign w:val="superscript"/>
                <w:lang w:bidi="ar"/>
                <w14:textFill>
                  <w14:solidFill>
                    <w14:schemeClr w14:val="tx1"/>
                  </w14:solidFill>
                </w14:textFill>
              </w:rPr>
              <w:t>-</w:t>
            </w:r>
            <w:r>
              <w:rPr>
                <w:color w:val="000000" w:themeColor="text1"/>
                <w:kern w:val="0"/>
                <w:vertAlign w:val="superscript"/>
                <w:lang w:bidi="ar"/>
                <w14:textFill>
                  <w14:solidFill>
                    <w14:schemeClr w14:val="tx1"/>
                  </w14:solidFill>
                </w14:textFill>
              </w:rPr>
              <w:t>5</w:t>
            </w:r>
            <w:r>
              <w:rPr>
                <w:color w:val="000000" w:themeColor="text1"/>
                <w:kern w:val="0"/>
                <w:lang w:bidi="ar"/>
                <w14:textFill>
                  <w14:solidFill>
                    <w14:schemeClr w14:val="tx1"/>
                  </w14:solidFill>
                </w14:textFill>
              </w:rPr>
              <w:t>cm/s</w:t>
            </w:r>
            <w:r>
              <w:rPr>
                <w:rFonts w:hint="eastAsia"/>
                <w:color w:val="000000" w:themeColor="text1"/>
                <w:kern w:val="0"/>
                <w:lang w:bidi="ar"/>
                <w14:textFill>
                  <w14:solidFill>
                    <w14:schemeClr w14:val="tx1"/>
                  </w14:solidFill>
                </w14:textFill>
              </w:rPr>
              <w:t>要求后再进行地下水导排管和人工防渗膜铺设。如工程场地发现岩溶裂隙等不稳定基层或其他影响工程安全稳定性的问题，应及时采用回填、加固等相关措施进行处理，达到相关要求后方可进一步施工。施工监理和环境监理相关单位也应履行好相关职责，确保措施到位，避免存在相关隐患，影响后期防渗工程。</w:t>
            </w:r>
          </w:p>
          <w:p w14:paraId="49473A35">
            <w:pPr>
              <w:ind w:firstLine="482"/>
              <w:rPr>
                <w:color w:val="000000" w:themeColor="text1"/>
                <w:lang w:bidi="ar"/>
                <w14:textFill>
                  <w14:solidFill>
                    <w14:schemeClr w14:val="tx1"/>
                  </w14:solidFill>
                </w14:textFill>
              </w:rPr>
            </w:pPr>
            <w:r>
              <w:rPr>
                <w:rFonts w:hint="eastAsia"/>
                <w:b/>
                <w:bCs/>
                <w:color w:val="000000" w:themeColor="text1"/>
                <w14:textFill>
                  <w14:solidFill>
                    <w14:schemeClr w14:val="tx1"/>
                  </w14:solidFill>
                </w14:textFill>
              </w:rPr>
              <w:t>底部防渗</w:t>
            </w:r>
            <w:r>
              <w:rPr>
                <w:rFonts w:hint="eastAsia"/>
                <w:color w:val="000000" w:themeColor="text1"/>
                <w14:textFill>
                  <w14:solidFill>
                    <w14:schemeClr w14:val="tx1"/>
                  </w14:solidFill>
                </w14:textFill>
              </w:rPr>
              <w:t>：</w:t>
            </w:r>
            <w:r>
              <w:rPr>
                <w:color w:val="000000" w:themeColor="text1"/>
                <w:lang w:bidi="ar"/>
                <w14:textFill>
                  <w14:solidFill>
                    <w14:schemeClr w14:val="tx1"/>
                  </w14:solidFill>
                </w14:textFill>
              </w:rPr>
              <w:t>在修复区场地铺设两横一纵导排盲沟，场地整平至2046m标高后，铺设0.75m厚黏土层，压实好后依次铺设热粘连两布一膜聚酯长丝土工布（300g/m</w:t>
            </w:r>
            <w:r>
              <w:rPr>
                <w:color w:val="000000" w:themeColor="text1"/>
                <w:vertAlign w:val="superscript"/>
                <w:lang w:bidi="ar"/>
                <w14:textFill>
                  <w14:solidFill>
                    <w14:schemeClr w14:val="tx1"/>
                  </w14:solidFill>
                </w14:textFill>
              </w:rPr>
              <w:t>2</w:t>
            </w:r>
            <w:r>
              <w:rPr>
                <w:color w:val="000000" w:themeColor="text1"/>
                <w:lang w:bidi="ar"/>
                <w14:textFill>
                  <w14:solidFill>
                    <w14:schemeClr w14:val="tx1"/>
                  </w14:solidFill>
                </w14:textFill>
              </w:rPr>
              <w:t>）+1.5mmHDPE土工膜+聚酯长丝土工布（300g/m</w:t>
            </w:r>
            <w:r>
              <w:rPr>
                <w:color w:val="000000" w:themeColor="text1"/>
                <w:vertAlign w:val="superscript"/>
                <w:lang w:bidi="ar"/>
                <w14:textFill>
                  <w14:solidFill>
                    <w14:schemeClr w14:val="tx1"/>
                  </w14:solidFill>
                </w14:textFill>
              </w:rPr>
              <w:t>2</w:t>
            </w:r>
            <w:r>
              <w:rPr>
                <w:color w:val="000000" w:themeColor="text1"/>
                <w:lang w:bidi="ar"/>
                <w14:textFill>
                  <w14:solidFill>
                    <w14:schemeClr w14:val="tx1"/>
                  </w14:solidFill>
                </w14:textFill>
              </w:rPr>
              <w:t>）。</w:t>
            </w:r>
          </w:p>
          <w:p w14:paraId="33CFD49F">
            <w:pPr>
              <w:ind w:firstLine="480"/>
              <w:rPr>
                <w:color w:val="000000" w:themeColor="text1"/>
                <w14:textFill>
                  <w14:solidFill>
                    <w14:schemeClr w14:val="tx1"/>
                  </w14:solidFill>
                </w14:textFill>
              </w:rPr>
            </w:pPr>
            <w:r>
              <w:rPr>
                <w:color w:val="000000" w:themeColor="text1"/>
                <w:lang w:bidi="ar"/>
                <w14:textFill>
                  <w14:solidFill>
                    <w14:schemeClr w14:val="tx1"/>
                  </w14:solidFill>
                </w14:textFill>
              </w:rPr>
              <w:t>修复区防渗膜底部共设置两横一纵导排盲沟，总长405m，盲沟宽上口2.68m，深1.25m，底部先铺设0.1m厚硅石层，安装排渗管后两侧及顶部均采用硅石层充填；导排盲沟管最终汇入到地下水收集井；防渗膜上层土工布顶部再设置一条收集渗滤液的DN280排渗管，总长380.5m，将场内的渗滤液排至渗滤液收集井。</w:t>
            </w:r>
          </w:p>
          <w:p w14:paraId="784259A4">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岸坡防渗</w:t>
            </w:r>
            <w:r>
              <w:rPr>
                <w:rFonts w:hint="eastAsia"/>
                <w:color w:val="000000" w:themeColor="text1"/>
                <w14:textFill>
                  <w14:solidFill>
                    <w14:schemeClr w14:val="tx1"/>
                  </w14:solidFill>
                </w14:textFill>
              </w:rPr>
              <w:t>：南部岸坡坡度较缓地段，坡面平整清理压实好后，为防止不规则边坡划破防渗膜，在基础持力层与防渗层间设一层黏土层厚75cm，再铺设热粘连两布一膜聚酯长丝土工布（300g/m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）+1.5mmHDPE土工膜+聚酯长丝土工布（300g/m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51F13B40">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东岸边坡通过1:1的坡比进行削坡分台，对边坡及平台区设一层黏土层厚750mm，再铺设热粘连两布一膜聚酯长丝土工布（300g/m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）+1.5mmHDPE土工膜+聚酯长丝土工布（300g/m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）。防渗设施在堆填过程中逐步铺设，采取边铺设边堆填的工艺进行。</w:t>
            </w:r>
          </w:p>
          <w:p w14:paraId="6B85E29A">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拦挡坝内坡防渗</w:t>
            </w:r>
            <w:r>
              <w:rPr>
                <w:rFonts w:hint="eastAsia"/>
                <w:color w:val="000000" w:themeColor="text1"/>
                <w14:textFill>
                  <w14:solidFill>
                    <w14:schemeClr w14:val="tx1"/>
                  </w14:solidFill>
                </w14:textFill>
              </w:rPr>
              <w:t>：为有效保护防渗层的安全，拦挡体内坡面碾压平整完成后，铺设一层0.75m厚的粘土，接着铺设热粘连两布一膜聚酯长丝土工布（300g/㎡）+1.5mmHDPE土工膜+聚酯长丝土工布（300g/m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），并与场底防渗膜相连。</w:t>
            </w:r>
          </w:p>
          <w:p w14:paraId="341B957B">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回填区封场防渗</w:t>
            </w:r>
            <w:r>
              <w:rPr>
                <w:rFonts w:hint="eastAsia"/>
                <w:color w:val="000000" w:themeColor="text1"/>
                <w14:textFill>
                  <w14:solidFill>
                    <w14:schemeClr w14:val="tx1"/>
                  </w14:solidFill>
                </w14:textFill>
              </w:rPr>
              <w:t>：回填区封场防渗结构自下而上为：</w:t>
            </w:r>
          </w:p>
          <w:p w14:paraId="14A1A95B">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防渗层：采用热粘连两布一膜聚酯长丝土工布（300g/m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）+1.5mmHDPE土工膜+聚酯长丝土工布（300g/m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w:t>
            </w:r>
          </w:p>
          <w:p w14:paraId="76EEA2F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植被层：封场覆1m的耕植土，保证滩面整体坡向坝前方向呈2%的坡度。在平台区上设置排水沟，断面b×h=0.3m×0.4m，将汇集的雨水导排至北部回用水池。</w:t>
            </w:r>
          </w:p>
          <w:p w14:paraId="3A4867A3">
            <w:pPr>
              <w:widowControl/>
              <w:ind w:firstLine="482"/>
              <w:rPr>
                <w:rFonts w:hint="eastAsia" w:ascii="宋体" w:hAnsi="宋体" w:cs="宋体"/>
                <w:b/>
                <w:bCs/>
                <w:color w:val="000000" w:themeColor="text1"/>
                <w:kern w:val="0"/>
                <w:lang w:bidi="ar"/>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（3）防渗漏监控</w:t>
            </w:r>
          </w:p>
          <w:p w14:paraId="07038CB0">
            <w:pPr>
              <w:widowControl/>
              <w:ind w:firstLine="480"/>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按照</w:t>
            </w:r>
            <w:r>
              <w:rPr>
                <w:rFonts w:hint="eastAsia"/>
                <w:color w:val="000000" w:themeColor="text1"/>
                <w14:textFill>
                  <w14:solidFill>
                    <w14:schemeClr w14:val="tx1"/>
                  </w14:solidFill>
                </w14:textFill>
              </w:rPr>
              <w:t>《改性磷石膏用于矿山废弃地生态修复回填技术规范》（DB53/T1269-2024）</w:t>
            </w:r>
            <w:r>
              <w:rPr>
                <w:rFonts w:hint="eastAsia" w:ascii="宋体" w:hAnsi="宋体" w:cs="宋体"/>
                <w:color w:val="000000" w:themeColor="text1"/>
                <w:kern w:val="0"/>
                <w:lang w:bidi="ar"/>
                <w14:textFill>
                  <w14:solidFill>
                    <w14:schemeClr w14:val="tx1"/>
                  </w14:solidFill>
                </w14:textFill>
              </w:rPr>
              <w:t>要求，回填区设置渗漏监控系统，监控防渗衬层的完整性。</w:t>
            </w:r>
            <w:r>
              <w:rPr>
                <w:rFonts w:hint="eastAsia"/>
                <w:color w:val="000000" w:themeColor="text1"/>
                <w:kern w:val="0"/>
                <w:lang w:bidi="ar"/>
                <w14:textFill>
                  <w14:solidFill>
                    <w14:schemeClr w14:val="tx1"/>
                  </w14:solidFill>
                </w14:textFill>
              </w:rPr>
              <w:t>项目区</w:t>
            </w:r>
            <w:r>
              <w:rPr>
                <w:rFonts w:hint="eastAsia"/>
                <w:color w:val="000000" w:themeColor="text1"/>
                <w:kern w:val="0"/>
                <w:lang w:val="en-US" w:eastAsia="zh-CN" w:bidi="ar"/>
                <w14:textFill>
                  <w14:solidFill>
                    <w14:schemeClr w14:val="tx1"/>
                  </w14:solidFill>
                </w14:textFill>
              </w:rPr>
              <w:t>共设置</w:t>
            </w:r>
            <w:r>
              <w:rPr>
                <w:rFonts w:ascii="宋体" w:hAnsi="宋体"/>
                <w:color w:val="000000" w:themeColor="text1"/>
                <w:kern w:val="0"/>
                <w:sz w:val="24"/>
                <w14:textFill>
                  <w14:solidFill>
                    <w14:schemeClr w14:val="tx1"/>
                  </w14:solidFill>
                </w14:textFill>
              </w:rPr>
              <w:t>4个地下水跟踪监测井</w:t>
            </w:r>
            <w:r>
              <w:rPr>
                <w:rFonts w:hint="eastAsia"/>
                <w:color w:val="000000" w:themeColor="text1"/>
                <w:kern w:val="0"/>
                <w:lang w:bidi="ar"/>
                <w14:textFill>
                  <w14:solidFill>
                    <w14:schemeClr w14:val="tx1"/>
                  </w14:solidFill>
                </w14:textFill>
              </w:rPr>
              <w:t>，</w:t>
            </w:r>
            <w:r>
              <w:rPr>
                <w:rFonts w:hint="eastAsia" w:ascii="宋体" w:hAnsi="宋体"/>
                <w:color w:val="000000" w:themeColor="text1"/>
                <w:kern w:val="0"/>
                <w:sz w:val="24"/>
                <w14:textFill>
                  <w14:solidFill>
                    <w14:schemeClr w14:val="tx1"/>
                  </w14:solidFill>
                </w14:textFill>
              </w:rPr>
              <w:t>7</w:t>
            </w:r>
            <w:r>
              <w:rPr>
                <w:rFonts w:ascii="宋体" w:hAnsi="宋体"/>
                <w:color w:val="000000" w:themeColor="text1"/>
                <w:kern w:val="0"/>
                <w:sz w:val="24"/>
                <w14:textFill>
                  <w14:solidFill>
                    <w14:schemeClr w14:val="tx1"/>
                  </w14:solidFill>
                </w14:textFill>
              </w:rPr>
              <w:t>口地下水监测井</w:t>
            </w:r>
            <w:r>
              <w:rPr>
                <w:rFonts w:hint="eastAsia"/>
                <w:color w:val="000000" w:themeColor="text1"/>
                <w14:textFill>
                  <w14:solidFill>
                    <w14:schemeClr w14:val="tx1"/>
                  </w14:solidFill>
                </w14:textFill>
              </w:rPr>
              <w:t>，</w:t>
            </w:r>
            <w:r>
              <w:rPr>
                <w:rFonts w:hint="eastAsia" w:ascii="宋体" w:hAnsi="宋体" w:cs="宋体"/>
                <w:color w:val="000000" w:themeColor="text1"/>
                <w:kern w:val="0"/>
                <w:lang w:bidi="ar"/>
                <w14:textFill>
                  <w14:solidFill>
                    <w14:schemeClr w14:val="tx1"/>
                  </w14:solidFill>
                </w14:textFill>
              </w:rPr>
              <w:t>进行地下水环境监测，及时掌握地下水变化情况。</w:t>
            </w:r>
          </w:p>
          <w:p w14:paraId="1069C3DB">
            <w:pPr>
              <w:widowControl/>
              <w:ind w:firstLine="482"/>
              <w:rPr>
                <w:rFonts w:hint="eastAsia" w:ascii="宋体" w:hAnsi="宋体" w:cs="宋体"/>
                <w:b/>
                <w:bCs/>
                <w:color w:val="000000" w:themeColor="text1"/>
                <w:kern w:val="0"/>
                <w:lang w:bidi="ar"/>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（4）防渗工程施工期监理</w:t>
            </w:r>
          </w:p>
          <w:p w14:paraId="19615352">
            <w:pPr>
              <w:widowControl/>
              <w:ind w:firstLine="480"/>
              <w:rPr>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开展施工期监理，重点对防渗工程质量、防渗漏监控系统设置情况、渗滤液导排、收集井建设情况等进行监理，并形成监理报告，作为项目验收的依据。加强施工及运营过程中对防渗层的保护，防止回填施工破坏防渗层。</w:t>
            </w:r>
            <w:r>
              <w:rPr>
                <w:rFonts w:hint="eastAsia"/>
                <w:color w:val="000000" w:themeColor="text1"/>
                <w:kern w:val="0"/>
                <w:lang w:bidi="ar"/>
                <w14:textFill>
                  <w14:solidFill>
                    <w14:schemeClr w14:val="tx1"/>
                  </w14:solidFill>
                </w14:textFill>
              </w:rPr>
              <w:t>施工监理和环境监理相关单位也应履行好相关职责，如工程场地发现岩溶裂隙等不稳定基层或其他影响工程安全稳定性的问题，应及时采用回填、加固等相关措施进行处理，达到相关要求后方可进一步施工，确保措施到位，避免存在相关隐患，影响后期防渗工程。</w:t>
            </w:r>
          </w:p>
          <w:p w14:paraId="74C3B7BD">
            <w:pPr>
              <w:widowControl/>
              <w:ind w:firstLine="480"/>
              <w:jc w:val="left"/>
              <w:rPr>
                <w:color w:val="000000" w:themeColor="text1"/>
                <w14:textFill>
                  <w14:solidFill>
                    <w14:schemeClr w14:val="tx1"/>
                  </w14:solidFill>
                </w14:textFill>
              </w:rPr>
            </w:pPr>
          </w:p>
          <w:p w14:paraId="287CF750">
            <w:pPr>
              <w:widowControl/>
              <w:ind w:firstLine="482"/>
              <w:jc w:val="left"/>
              <w:rPr>
                <w:b/>
                <w:bCs/>
                <w:color w:val="000000" w:themeColor="text1"/>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（5）渗滤液收集井</w:t>
            </w:r>
          </w:p>
          <w:p w14:paraId="7DBA52BB">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按照</w:t>
            </w:r>
            <w:r>
              <w:rPr>
                <w:rFonts w:hint="eastAsia"/>
                <w:color w:val="000000" w:themeColor="text1"/>
                <w14:textFill>
                  <w14:solidFill>
                    <w14:schemeClr w14:val="tx1"/>
                  </w14:solidFill>
                </w14:textFill>
              </w:rPr>
              <w:t>《改性磷石膏用于矿山废弃地生态修复回填技术规范》（DB53/T1269-2024）</w:t>
            </w:r>
            <w:r>
              <w:rPr>
                <w:rFonts w:hint="eastAsia" w:ascii="宋体" w:hAnsi="宋体" w:cs="宋体"/>
                <w:color w:val="000000" w:themeColor="text1"/>
                <w:kern w:val="0"/>
                <w:lang w:bidi="ar"/>
                <w14:textFill>
                  <w14:solidFill>
                    <w14:schemeClr w14:val="tx1"/>
                  </w14:solidFill>
                </w14:textFill>
              </w:rPr>
              <w:t>的要求，项目回填过程中，对渗滤液污染物进行检测，监测频次为</w:t>
            </w:r>
            <w:r>
              <w:rPr>
                <w:rFonts w:hint="eastAsia"/>
                <w:color w:val="000000" w:themeColor="text1"/>
                <w:kern w:val="0"/>
                <w:lang w:bidi="ar"/>
                <w14:textFill>
                  <w14:solidFill>
                    <w14:schemeClr w14:val="tx1"/>
                  </w14:solidFill>
                </w14:textFill>
              </w:rPr>
              <w:t>季度性监测</w:t>
            </w:r>
            <w:r>
              <w:rPr>
                <w:rFonts w:hint="eastAsia" w:ascii="宋体" w:hAnsi="宋体" w:cs="宋体"/>
                <w:color w:val="000000" w:themeColor="text1"/>
                <w:kern w:val="0"/>
                <w:lang w:bidi="ar"/>
                <w14:textFill>
                  <w14:solidFill>
                    <w14:schemeClr w14:val="tx1"/>
                  </w14:solidFill>
                </w14:textFill>
              </w:rPr>
              <w:t>。</w:t>
            </w:r>
          </w:p>
          <w:p w14:paraId="61C7DBA8">
            <w:pPr>
              <w:widowControl/>
              <w:ind w:firstLine="482"/>
              <w:jc w:val="left"/>
              <w:rPr>
                <w:rFonts w:hint="eastAsia" w:ascii="宋体" w:hAnsi="宋体" w:cs="宋体"/>
                <w:b/>
                <w:bCs/>
                <w:color w:val="000000" w:themeColor="text1"/>
                <w:kern w:val="0"/>
                <w:lang w:bidi="ar"/>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（6）地下水污染监控措施</w:t>
            </w:r>
          </w:p>
          <w:p w14:paraId="2C149EA5">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建立回填区地下水环境监控体系，包括建立地下水污染监控制度和环境管理体系，以便及时发现问题，及时采取预防措施。根据</w:t>
            </w:r>
            <w:r>
              <w:rPr>
                <w:rFonts w:hint="eastAsia"/>
                <w:color w:val="000000" w:themeColor="text1"/>
                <w14:textFill>
                  <w14:solidFill>
                    <w14:schemeClr w14:val="tx1"/>
                  </w14:solidFill>
                </w14:textFill>
              </w:rPr>
              <w:t>《改性磷石膏用于矿山废弃地生态修复回填技术规范》（DB53/T1269-2024）</w:t>
            </w:r>
            <w:r>
              <w:rPr>
                <w:rFonts w:hint="eastAsia" w:ascii="宋体" w:hAnsi="宋体" w:cs="宋体"/>
                <w:color w:val="000000" w:themeColor="text1"/>
                <w:kern w:val="0"/>
                <w:lang w:bidi="ar"/>
                <w14:textFill>
                  <w14:solidFill>
                    <w14:schemeClr w14:val="tx1"/>
                  </w14:solidFill>
                </w14:textFill>
              </w:rPr>
              <w:t>，并结合项目实际水文地质调查情况，项目设置</w:t>
            </w:r>
            <w:r>
              <w:rPr>
                <w:rFonts w:hint="eastAsia"/>
                <w:color w:val="000000" w:themeColor="text1"/>
                <w:kern w:val="0"/>
                <w:lang w:bidi="ar"/>
                <w14:textFill>
                  <w14:solidFill>
                    <w14:schemeClr w14:val="tx1"/>
                  </w14:solidFill>
                </w14:textFill>
              </w:rPr>
              <w:t>项目区</w:t>
            </w:r>
            <w:r>
              <w:rPr>
                <w:rFonts w:hint="eastAsia"/>
                <w:color w:val="000000" w:themeColor="text1"/>
                <w:kern w:val="0"/>
                <w:lang w:val="en-US" w:eastAsia="zh-CN" w:bidi="ar"/>
                <w14:textFill>
                  <w14:solidFill>
                    <w14:schemeClr w14:val="tx1"/>
                  </w14:solidFill>
                </w14:textFill>
              </w:rPr>
              <w:t>共设置</w:t>
            </w:r>
            <w:r>
              <w:rPr>
                <w:rFonts w:hint="eastAsia" w:ascii="宋体" w:hAnsi="宋体"/>
                <w:color w:val="000000" w:themeColor="text1"/>
                <w:kern w:val="0"/>
                <w:sz w:val="24"/>
                <w14:textFill>
                  <w14:solidFill>
                    <w14:schemeClr w14:val="tx1"/>
                  </w14:solidFill>
                </w14:textFill>
              </w:rPr>
              <w:t>7</w:t>
            </w:r>
            <w:r>
              <w:rPr>
                <w:rFonts w:ascii="宋体" w:hAnsi="宋体"/>
                <w:color w:val="000000" w:themeColor="text1"/>
                <w:kern w:val="0"/>
                <w:sz w:val="24"/>
                <w14:textFill>
                  <w14:solidFill>
                    <w14:schemeClr w14:val="tx1"/>
                  </w14:solidFill>
                </w14:textFill>
              </w:rPr>
              <w:t>口地下水监测井</w:t>
            </w:r>
            <w:r>
              <w:rPr>
                <w:rFonts w:hint="eastAsia"/>
                <w:color w:val="000000" w:themeColor="text1"/>
                <w:kern w:val="0"/>
                <w:lang w:bidi="ar"/>
                <w14:textFill>
                  <w14:solidFill>
                    <w14:schemeClr w14:val="tx1"/>
                  </w14:solidFill>
                </w14:textFill>
              </w:rPr>
              <w:t>。</w:t>
            </w:r>
            <w:r>
              <w:rPr>
                <w:rFonts w:hint="eastAsia" w:ascii="宋体" w:hAnsi="宋体" w:cs="宋体"/>
                <w:color w:val="000000" w:themeColor="text1"/>
                <w:kern w:val="0"/>
                <w:lang w:bidi="ar"/>
                <w14:textFill>
                  <w14:solidFill>
                    <w14:schemeClr w14:val="tx1"/>
                  </w14:solidFill>
                </w14:textFill>
              </w:rPr>
              <w:t>按照监测计划进行定期监测。</w:t>
            </w:r>
          </w:p>
          <w:p w14:paraId="19D44695">
            <w:pPr>
              <w:keepNext/>
              <w:keepLines/>
              <w:tabs>
                <w:tab w:val="left" w:pos="420"/>
              </w:tabs>
              <w:adjustRightInd w:val="0"/>
              <w:snapToGrid w:val="0"/>
              <w:spacing w:line="240" w:lineRule="auto"/>
              <w:ind w:firstLine="0" w:firstLineChars="0"/>
              <w:jc w:val="center"/>
              <w:textAlignment w:val="baseline"/>
              <w:rPr>
                <w:b/>
                <w:bCs/>
                <w:color w:val="000000" w:themeColor="text1"/>
                <w:kern w:val="0"/>
                <w:sz w:val="24"/>
                <w:szCs w:val="24"/>
                <w:lang w:bidi="ar"/>
                <w14:textFill>
                  <w14:solidFill>
                    <w14:schemeClr w14:val="tx1"/>
                  </w14:solidFill>
                </w14:textFill>
              </w:rPr>
            </w:pPr>
            <w:r>
              <w:rPr>
                <w:rFonts w:hint="eastAsia"/>
                <w:b/>
                <w:bCs/>
                <w:color w:val="000000" w:themeColor="text1"/>
                <w:kern w:val="0"/>
                <w:sz w:val="24"/>
                <w:szCs w:val="24"/>
                <w:lang w:bidi="ar"/>
                <w14:textFill>
                  <w14:solidFill>
                    <w14:schemeClr w14:val="tx1"/>
                  </w14:solidFill>
                </w14:textFill>
              </w:rPr>
              <w:t>表5-</w:t>
            </w:r>
            <w:r>
              <w:rPr>
                <w:rFonts w:hint="eastAsia"/>
                <w:b/>
                <w:bCs/>
                <w:color w:val="000000" w:themeColor="text1"/>
                <w:kern w:val="0"/>
                <w:sz w:val="24"/>
                <w:szCs w:val="24"/>
                <w:lang w:val="en-US" w:eastAsia="zh-CN" w:bidi="ar"/>
                <w14:textFill>
                  <w14:solidFill>
                    <w14:schemeClr w14:val="tx1"/>
                  </w14:solidFill>
                </w14:textFill>
              </w:rPr>
              <w:t xml:space="preserve">1  </w:t>
            </w:r>
            <w:r>
              <w:rPr>
                <w:rFonts w:hint="eastAsia"/>
                <w:b/>
                <w:bCs/>
                <w:color w:val="000000" w:themeColor="text1"/>
                <w:kern w:val="0"/>
                <w:sz w:val="24"/>
                <w:szCs w:val="24"/>
                <w:lang w:bidi="ar"/>
                <w14:textFill>
                  <w14:solidFill>
                    <w14:schemeClr w14:val="tx1"/>
                  </w14:solidFill>
                </w14:textFill>
              </w:rPr>
              <w:t>项目区地下水监控井监控要求</w:t>
            </w:r>
          </w:p>
          <w:tbl>
            <w:tblPr>
              <w:tblStyle w:val="40"/>
              <w:tblW w:w="495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473"/>
              <w:gridCol w:w="2387"/>
              <w:gridCol w:w="3294"/>
            </w:tblGrid>
            <w:tr w14:paraId="549175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516" w:type="pct"/>
                  <w:vAlign w:val="center"/>
                </w:tcPr>
                <w:p w14:paraId="4C070656">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监测项目</w:t>
                  </w:r>
                </w:p>
              </w:tc>
              <w:tc>
                <w:tcPr>
                  <w:tcW w:w="1463" w:type="pct"/>
                  <w:vAlign w:val="center"/>
                </w:tcPr>
                <w:p w14:paraId="5A5E595C">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频次</w:t>
                  </w:r>
                </w:p>
              </w:tc>
              <w:tc>
                <w:tcPr>
                  <w:tcW w:w="2019" w:type="pct"/>
                  <w:vAlign w:val="center"/>
                </w:tcPr>
                <w:p w14:paraId="64F946C4">
                  <w:pPr>
                    <w:adjustRightInd w:val="0"/>
                    <w:snapToGrid w:val="0"/>
                    <w:spacing w:line="240" w:lineRule="auto"/>
                    <w:ind w:firstLine="0" w:firstLineChars="0"/>
                    <w:jc w:val="center"/>
                    <w:rPr>
                      <w:b/>
                      <w:bCs/>
                      <w:color w:val="000000" w:themeColor="text1"/>
                      <w:sz w:val="21"/>
                      <w:szCs w:val="21"/>
                      <w14:textFill>
                        <w14:solidFill>
                          <w14:schemeClr w14:val="tx1"/>
                        </w14:solidFill>
                      </w14:textFill>
                    </w:rPr>
                  </w:pPr>
                  <w:r>
                    <w:rPr>
                      <w:rFonts w:hint="eastAsia"/>
                      <w:b/>
                      <w:bCs/>
                      <w:color w:val="000000" w:themeColor="text1"/>
                      <w:sz w:val="21"/>
                      <w:szCs w:val="21"/>
                      <w14:textFill>
                        <w14:solidFill>
                          <w14:schemeClr w14:val="tx1"/>
                        </w14:solidFill>
                      </w14:textFill>
                    </w:rPr>
                    <w:t>管理要求</w:t>
                  </w:r>
                </w:p>
              </w:tc>
            </w:tr>
            <w:tr w14:paraId="0B82ED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0" w:hRule="atLeast"/>
              </w:trPr>
              <w:tc>
                <w:tcPr>
                  <w:tcW w:w="1516" w:type="pct"/>
                  <w:vAlign w:val="center"/>
                </w:tcPr>
                <w:p w14:paraId="712D7712">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pH、氟化物、氯化物、硫酸盐、硝酸盐、亚硝酸盐、铜、锌、汞、砷、硒、镉、铬、铅</w:t>
                  </w:r>
                </w:p>
              </w:tc>
              <w:tc>
                <w:tcPr>
                  <w:tcW w:w="1463" w:type="pct"/>
                  <w:vAlign w:val="center"/>
                </w:tcPr>
                <w:p w14:paraId="3F4DF135">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每年在丰、枯水期各监测1次。如监测结果出现异常，应及时进行重新监测，间隔时间不得超过1个月。</w:t>
                  </w:r>
                </w:p>
              </w:tc>
              <w:tc>
                <w:tcPr>
                  <w:tcW w:w="2019" w:type="pct"/>
                  <w:vAlign w:val="center"/>
                </w:tcPr>
                <w:p w14:paraId="52BB0D3E">
                  <w:pPr>
                    <w:adjustRightInd w:val="0"/>
                    <w:snapToGri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14:textFill>
                        <w14:solidFill>
                          <w14:schemeClr w14:val="tx1"/>
                        </w14:solidFill>
                      </w14:textFill>
                    </w:rPr>
                    <w:t>加强对地下水水质动态监测，及时掌握上下游水质变化，发现问题及时处理，建议建设单位将监测资料存档，便于长时间观测生态修复区下游水质变化。</w:t>
                  </w:r>
                </w:p>
              </w:tc>
            </w:tr>
          </w:tbl>
          <w:p w14:paraId="58CFD857">
            <w:pPr>
              <w:widowControl/>
              <w:ind w:firstLine="482"/>
              <w:jc w:val="left"/>
              <w:rPr>
                <w:rFonts w:hint="eastAsia" w:ascii="宋体" w:hAnsi="宋体" w:cs="宋体"/>
                <w:b/>
                <w:bCs/>
                <w:color w:val="000000" w:themeColor="text1"/>
                <w:kern w:val="0"/>
                <w:lang w:bidi="ar"/>
                <w14:textFill>
                  <w14:solidFill>
                    <w14:schemeClr w14:val="tx1"/>
                  </w14:solidFill>
                </w14:textFill>
              </w:rPr>
            </w:pPr>
            <w:r>
              <w:rPr>
                <w:rFonts w:hint="eastAsia" w:ascii="宋体" w:hAnsi="宋体" w:cs="宋体"/>
                <w:b/>
                <w:bCs/>
                <w:color w:val="000000" w:themeColor="text1"/>
                <w:kern w:val="0"/>
                <w:lang w:bidi="ar"/>
                <w14:textFill>
                  <w14:solidFill>
                    <w14:schemeClr w14:val="tx1"/>
                  </w14:solidFill>
                </w14:textFill>
              </w:rPr>
              <w:t>（8）小结</w:t>
            </w:r>
          </w:p>
          <w:p w14:paraId="10C00631">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建设单位通过采取以上措施处理之后，回填场渗滤液基本不会下渗，非正常排放渗滤液影响范围有限，非正常排放对下游地下水水质产生一定的影响，建设单位需要认真落实防渗措施，通过地下水监控井和生态修复回填场防渗膜底部地下水导排管对地下水和防渗效果进行监控，防止地下水污染，监测资料存档，便于长时间观测生态修复区下游水质变化情况，一旦发现监控井中水质出现异常，要及时上报主管部门。</w:t>
            </w:r>
          </w:p>
          <w:p w14:paraId="03339159">
            <w:pPr>
              <w:pStyle w:val="71"/>
              <w:adjustRightInd w:val="0"/>
              <w:ind w:firstLine="498"/>
              <w:jc w:val="both"/>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6、生态环境保护措施</w:t>
            </w:r>
          </w:p>
          <w:p w14:paraId="6D4029D2">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1</w:t>
            </w:r>
            <w:r>
              <w:rPr>
                <w:rFonts w:hint="eastAsia" w:ascii="宋体" w:hAnsi="宋体" w:cs="宋体"/>
                <w:color w:val="000000" w:themeColor="text1"/>
                <w:kern w:val="0"/>
                <w:lang w:bidi="ar"/>
                <w14:textFill>
                  <w14:solidFill>
                    <w14:schemeClr w14:val="tx1"/>
                  </w14:solidFill>
                </w14:textFill>
              </w:rPr>
              <w:t>）施工过程中须严格控制施工作业面，采取水土保持措施，可有效改善开采区的水土流失问题；</w:t>
            </w:r>
          </w:p>
          <w:p w14:paraId="7C886E11">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2</w:t>
            </w:r>
            <w:r>
              <w:rPr>
                <w:rFonts w:hint="eastAsia" w:ascii="宋体" w:hAnsi="宋体" w:cs="宋体"/>
                <w:color w:val="000000" w:themeColor="text1"/>
                <w:kern w:val="0"/>
                <w:lang w:bidi="ar"/>
                <w14:textFill>
                  <w14:solidFill>
                    <w14:schemeClr w14:val="tx1"/>
                  </w14:solidFill>
                </w14:textFill>
              </w:rPr>
              <w:t>）合理布局施工总图，分片区施工；</w:t>
            </w:r>
          </w:p>
          <w:p w14:paraId="45F6F8A3">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w:t>
            </w:r>
            <w:r>
              <w:rPr>
                <w:rFonts w:ascii="宋体" w:hAnsi="宋体" w:cs="宋体"/>
                <w:color w:val="000000" w:themeColor="text1"/>
                <w:kern w:val="0"/>
                <w:lang w:bidi="ar"/>
                <w14:textFill>
                  <w14:solidFill>
                    <w14:schemeClr w14:val="tx1"/>
                  </w14:solidFill>
                </w14:textFill>
              </w:rPr>
              <w:t>3</w:t>
            </w:r>
            <w:r>
              <w:rPr>
                <w:rFonts w:hint="eastAsia" w:ascii="宋体" w:hAnsi="宋体" w:cs="宋体"/>
                <w:color w:val="000000" w:themeColor="text1"/>
                <w:kern w:val="0"/>
                <w:lang w:bidi="ar"/>
                <w14:textFill>
                  <w14:solidFill>
                    <w14:schemeClr w14:val="tx1"/>
                  </w14:solidFill>
                </w14:textFill>
              </w:rPr>
              <w:t>）施工期间要求文明施工，严禁非法猎捕鸟类、兽类等野生动物；</w:t>
            </w:r>
          </w:p>
          <w:p w14:paraId="5EF303D2">
            <w:pPr>
              <w:widowControl/>
              <w:ind w:firstLine="480"/>
              <w:jc w:val="left"/>
              <w:rPr>
                <w:rFonts w:hint="eastAsia"/>
                <w:color w:val="000000" w:themeColor="text1"/>
                <w:lang w:eastAsia="zh-CN"/>
                <w14:textFill>
                  <w14:solidFill>
                    <w14:schemeClr w14:val="tx1"/>
                  </w14:solidFill>
                </w14:textFill>
              </w:rPr>
            </w:pP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4</w:t>
            </w:r>
            <w:r>
              <w:rPr>
                <w:rFonts w:hint="eastAsia"/>
                <w:color w:val="000000" w:themeColor="text1"/>
                <w:lang w:eastAsia="zh-CN"/>
                <w14:textFill>
                  <w14:solidFill>
                    <w14:schemeClr w14:val="tx1"/>
                  </w14:solidFill>
                </w14:textFill>
              </w:rPr>
              <w:t>）</w:t>
            </w:r>
            <w:r>
              <w:rPr>
                <w:rFonts w:hint="eastAsia"/>
                <w:color w:val="000000" w:themeColor="text1"/>
                <w14:textFill>
                  <w14:solidFill>
                    <w14:schemeClr w14:val="tx1"/>
                  </w14:solidFill>
                </w14:textFill>
              </w:rPr>
              <w:t>本项目为废弃矿坑生态修复项目，项目占地面积</w:t>
            </w:r>
            <w:r>
              <w:rPr>
                <w:rFonts w:hint="eastAsia"/>
                <w:color w:val="000000" w:themeColor="text1"/>
                <w:lang w:eastAsia="zh-CN"/>
                <w14:textFill>
                  <w14:solidFill>
                    <w14:schemeClr w14:val="tx1"/>
                  </w14:solidFill>
                </w14:textFill>
              </w:rPr>
              <w:t>127097</w:t>
            </w:r>
            <w:r>
              <w:rPr>
                <w:rFonts w:hint="eastAsia"/>
                <w:color w:val="000000" w:themeColor="text1"/>
                <w14:textFill>
                  <w14:solidFill>
                    <w14:schemeClr w14:val="tx1"/>
                  </w14:solidFill>
                </w14:textFill>
              </w:rPr>
              <w:t>m</w:t>
            </w:r>
            <w:r>
              <w:rPr>
                <w:rFonts w:hint="eastAsia"/>
                <w:color w:val="000000" w:themeColor="text1"/>
                <w:vertAlign w:val="superscript"/>
                <w14:textFill>
                  <w14:solidFill>
                    <w14:schemeClr w14:val="tx1"/>
                  </w14:solidFill>
                </w14:textFill>
              </w:rPr>
              <w:t>2</w:t>
            </w:r>
            <w:r>
              <w:rPr>
                <w:rFonts w:hint="eastAsia"/>
                <w:color w:val="000000" w:themeColor="text1"/>
                <w14:textFill>
                  <w14:solidFill>
                    <w14:schemeClr w14:val="tx1"/>
                  </w14:solidFill>
                </w14:textFill>
              </w:rPr>
              <w:t>。项目修复范围</w:t>
            </w:r>
            <w:r>
              <w:rPr>
                <w:rFonts w:hint="eastAsia"/>
                <w:color w:val="000000" w:themeColor="text1"/>
                <w:lang w:val="en-US" w:eastAsia="zh-CN"/>
                <w14:textFill>
                  <w14:solidFill>
                    <w14:schemeClr w14:val="tx1"/>
                  </w14:solidFill>
                </w14:textFill>
              </w:rPr>
              <w:t>内为</w:t>
            </w:r>
            <w:r>
              <w:rPr>
                <w:rFonts w:hint="eastAsia"/>
                <w:color w:val="000000" w:themeColor="text1"/>
                <w14:textFill>
                  <w14:solidFill>
                    <w14:schemeClr w14:val="tx1"/>
                  </w14:solidFill>
                </w14:textFill>
              </w:rPr>
              <w:t>采矿用地</w:t>
            </w:r>
            <w:r>
              <w:rPr>
                <w:rFonts w:hint="eastAsia"/>
                <w:color w:val="000000" w:themeColor="text1"/>
                <w:lang w:val="en-US" w:eastAsia="zh-CN"/>
                <w14:textFill>
                  <w14:solidFill>
                    <w14:schemeClr w14:val="tx1"/>
                  </w14:solidFill>
                </w14:textFill>
              </w:rPr>
              <w:t>和农村道路</w:t>
            </w:r>
            <w:r>
              <w:rPr>
                <w:rFonts w:hint="eastAsia"/>
                <w:color w:val="000000" w:themeColor="text1"/>
                <w:lang w:eastAsia="zh-CN"/>
                <w14:textFill>
                  <w14:solidFill>
                    <w14:schemeClr w14:val="tx1"/>
                  </w14:solidFill>
                </w14:textFill>
              </w:rPr>
              <w:t>，</w:t>
            </w:r>
            <w:r>
              <w:rPr>
                <w:rFonts w:hint="eastAsia"/>
                <w:color w:val="000000" w:themeColor="text1"/>
                <w:lang w:val="en-US" w:eastAsia="zh-CN"/>
                <w14:textFill>
                  <w14:solidFill>
                    <w14:schemeClr w14:val="tx1"/>
                  </w14:solidFill>
                </w14:textFill>
              </w:rPr>
              <w:t>项目修复范围均在矿山开采遗留用地内进行修复，未新增占地</w:t>
            </w:r>
            <w:r>
              <w:rPr>
                <w:rFonts w:hint="eastAsia"/>
                <w:color w:val="000000" w:themeColor="text1"/>
                <w:lang w:eastAsia="zh-CN"/>
                <w14:textFill>
                  <w14:solidFill>
                    <w14:schemeClr w14:val="tx1"/>
                  </w14:solidFill>
                </w14:textFill>
              </w:rPr>
              <w:t>。</w:t>
            </w:r>
          </w:p>
          <w:p w14:paraId="7B8EF2B3">
            <w:pPr>
              <w:widowControl/>
              <w:ind w:firstLine="480"/>
              <w:jc w:val="left"/>
              <w:rPr>
                <w:rFonts w:hint="eastAsia"/>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w:t>
            </w:r>
            <w:r>
              <w:rPr>
                <w:rFonts w:hint="eastAsia" w:ascii="宋体" w:hAnsi="宋体" w:cs="宋体"/>
                <w:color w:val="000000" w:themeColor="text1"/>
                <w:kern w:val="0"/>
                <w:lang w:val="en-US" w:eastAsia="zh-CN" w:bidi="ar"/>
                <w14:textFill>
                  <w14:solidFill>
                    <w14:schemeClr w14:val="tx1"/>
                  </w14:solidFill>
                </w14:textFill>
              </w:rPr>
              <w:t>5</w:t>
            </w:r>
            <w:r>
              <w:rPr>
                <w:rFonts w:hint="eastAsia" w:ascii="宋体" w:hAnsi="宋体" w:cs="宋体"/>
                <w:color w:val="000000" w:themeColor="text1"/>
                <w:kern w:val="0"/>
                <w:lang w:bidi="ar"/>
                <w14:textFill>
                  <w14:solidFill>
                    <w14:schemeClr w14:val="tx1"/>
                  </w14:solidFill>
                </w14:textFill>
              </w:rPr>
              <w:t>）回填结束后，进行覆土，栽种植被。</w:t>
            </w:r>
            <w:r>
              <w:rPr>
                <w:rFonts w:hint="eastAsia"/>
                <w:color w:val="000000" w:themeColor="text1"/>
                <w14:textFill>
                  <w14:solidFill>
                    <w14:schemeClr w14:val="tx1"/>
                  </w14:solidFill>
                </w14:textFill>
              </w:rPr>
              <w:t>《改性磷石膏用于矿山废弃地生态修复回填技术规范》（DB53/T1269-2024）中植被恢复要求“植被恢复设计应遵从立地条件与植物生态学特征相适应、乡土适生植物优先原则，考虑植被适应性、结构布局合理性和物种多样性，优先使用原生表土及乡土物种，禁止引入对当地生物多样性造成威胁的外来植物种，重建与周边生态系统相协调的生态系统，最终形成可自然维持的生态系统。为防止破坏回填修复区的顶部及边坡的防渗设计，宜选用根系不发达、播种栽植容易、成活率高的植被进行修复。非回填的修复区域，宜选用根系发达、萌芽能力强、生长速度快、能有效固结土壤、抗水土流失能力强的植物。”</w:t>
            </w:r>
            <w:r>
              <w:rPr>
                <w:rFonts w:hint="eastAsia" w:ascii="宋体" w:hAnsi="宋体" w:cs="宋体"/>
                <w:color w:val="000000" w:themeColor="text1"/>
                <w:kern w:val="0"/>
                <w:lang w:bidi="ar"/>
                <w14:textFill>
                  <w14:solidFill>
                    <w14:schemeClr w14:val="tx1"/>
                  </w14:solidFill>
                </w14:textFill>
              </w:rPr>
              <w:t>本项目植被恢复乔木选用冬樱花、灌木选用三角梅、草籽选用狗牙根，均为本地常见植被，播种栽植容易，不属于外地引用</w:t>
            </w:r>
            <w:r>
              <w:rPr>
                <w:rFonts w:hint="eastAsia"/>
                <w:color w:val="000000" w:themeColor="text1"/>
                <w14:textFill>
                  <w14:solidFill>
                    <w14:schemeClr w14:val="tx1"/>
                  </w14:solidFill>
                </w14:textFill>
              </w:rPr>
              <w:t>物种，能够大大增加植被存活率，符合相关规范要求。</w:t>
            </w:r>
          </w:p>
          <w:p w14:paraId="4D7FA9AB">
            <w:pPr>
              <w:widowControl/>
              <w:adjustRightInd w:val="0"/>
              <w:snapToGrid w:val="0"/>
              <w:ind w:firstLine="482"/>
              <w:rPr>
                <w:b/>
                <w:bCs/>
                <w:color w:val="000000" w:themeColor="text1"/>
                <w:kern w:val="0"/>
                <w:lang w:bidi="ar"/>
                <w14:textFill>
                  <w14:solidFill>
                    <w14:schemeClr w14:val="tx1"/>
                  </w14:solidFill>
                </w14:textFill>
              </w:rPr>
            </w:pPr>
            <w:r>
              <w:rPr>
                <w:rFonts w:hint="eastAsia"/>
                <w:b/>
                <w:bCs/>
                <w:color w:val="000000" w:themeColor="text1"/>
                <w:kern w:val="0"/>
                <w:lang w:bidi="ar"/>
                <w14:textFill>
                  <w14:solidFill>
                    <w14:schemeClr w14:val="tx1"/>
                  </w14:solidFill>
                </w14:textFill>
              </w:rPr>
              <w:t>7、土壤环境污染防治措施</w:t>
            </w:r>
          </w:p>
          <w:p w14:paraId="6E2CE361">
            <w:pPr>
              <w:widowControl/>
              <w:adjustRightInd w:val="0"/>
              <w:snapToGrid w:val="0"/>
              <w:ind w:firstLine="480"/>
              <w:rPr>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（1）渗滤液收集井为混凝土浇灌地埋形式，采用</w:t>
            </w:r>
            <w:r>
              <w:rPr>
                <w:color w:val="000000" w:themeColor="text1"/>
                <w:kern w:val="0"/>
                <w:lang w:bidi="ar"/>
                <w14:textFill>
                  <w14:solidFill>
                    <w14:schemeClr w14:val="tx1"/>
                  </w14:solidFill>
                </w14:textFill>
              </w:rPr>
              <w:t>C20混凝土浇筑；基槽开挖施工时，边坡要求放坡坡比1:0.3</w:t>
            </w:r>
            <w:r>
              <w:rPr>
                <w:rFonts w:hint="eastAsia"/>
                <w:color w:val="000000" w:themeColor="text1"/>
                <w:kern w:val="0"/>
                <w:lang w:bidi="ar"/>
                <w14:textFill>
                  <w14:solidFill>
                    <w14:schemeClr w14:val="tx1"/>
                  </w14:solidFill>
                </w14:textFill>
              </w:rPr>
              <w:t>；</w:t>
            </w:r>
            <w:r>
              <w:rPr>
                <w:color w:val="000000" w:themeColor="text1"/>
                <w:kern w:val="0"/>
                <w:lang w:bidi="ar"/>
                <w14:textFill>
                  <w14:solidFill>
                    <w14:schemeClr w14:val="tx1"/>
                  </w14:solidFill>
                </w14:textFill>
              </w:rPr>
              <w:t>井底浇筑前先铺设C15素混凝土垫层，厚度0.1m。</w:t>
            </w:r>
          </w:p>
          <w:p w14:paraId="3FF0C355">
            <w:pPr>
              <w:widowControl/>
              <w:adjustRightInd w:val="0"/>
              <w:snapToGrid w:val="0"/>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（2）</w:t>
            </w:r>
            <w:r>
              <w:rPr>
                <w:rFonts w:hint="eastAsia" w:ascii="宋体" w:hAnsi="宋体" w:cs="宋体"/>
                <w:color w:val="000000" w:themeColor="text1"/>
                <w:kern w:val="0"/>
                <w:lang w:bidi="ar"/>
                <w14:textFill>
                  <w14:solidFill>
                    <w14:schemeClr w14:val="tx1"/>
                  </w14:solidFill>
                </w14:textFill>
              </w:rPr>
              <w:t>回填修复区采用按照设计规范进行防渗，避免渗滤液泄漏下渗对土壤环境产生影响。</w:t>
            </w:r>
          </w:p>
          <w:p w14:paraId="28CE59FC">
            <w:pPr>
              <w:widowControl/>
              <w:adjustRightInd w:val="0"/>
              <w:snapToGrid w:val="0"/>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（3）</w:t>
            </w:r>
            <w:r>
              <w:rPr>
                <w:rFonts w:hint="eastAsia" w:ascii="宋体" w:hAnsi="宋体" w:cs="宋体"/>
                <w:color w:val="000000" w:themeColor="text1"/>
                <w:kern w:val="0"/>
                <w:lang w:bidi="ar"/>
                <w14:textFill>
                  <w14:solidFill>
                    <w14:schemeClr w14:val="tx1"/>
                  </w14:solidFill>
                </w14:textFill>
              </w:rPr>
              <w:t>矿山修复材料应满足回填要求后方可运至回填区回填，不得回填不合格的改性磷石膏。回填的修复材料应满足</w:t>
            </w:r>
            <w:r>
              <w:rPr>
                <w:rFonts w:hint="eastAsia"/>
                <w:color w:val="000000" w:themeColor="text1"/>
                <w14:textFill>
                  <w14:solidFill>
                    <w14:schemeClr w14:val="tx1"/>
                  </w14:solidFill>
                </w14:textFill>
              </w:rPr>
              <w:t>《改性磷石膏用于矿山废弃地生态修复回填技术规范》（DB53/T1269-2024）、《磷石膏的处理处置规范》（GB/T 32124-2024）、《改性磷石膏综合利用 矿山生态修复过程环境监管规范》（DB5301/T99-2023）、《改性磷石膏综合利用 矿山生态修复跟踪评估规范》（DB5301/T100-2023）</w:t>
            </w:r>
            <w:r>
              <w:rPr>
                <w:rFonts w:hint="eastAsia" w:ascii="宋体" w:hAnsi="宋体" w:cs="宋体"/>
                <w:color w:val="000000" w:themeColor="text1"/>
                <w:kern w:val="0"/>
                <w:lang w:bidi="ar"/>
                <w14:textFill>
                  <w14:solidFill>
                    <w14:schemeClr w14:val="tx1"/>
                  </w14:solidFill>
                </w14:textFill>
              </w:rPr>
              <w:t>的相关要求。</w:t>
            </w:r>
          </w:p>
          <w:p w14:paraId="629344E8">
            <w:pPr>
              <w:widowControl/>
              <w:adjustRightInd w:val="0"/>
              <w:snapToGrid w:val="0"/>
              <w:ind w:firstLine="480"/>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（4）</w:t>
            </w:r>
            <w:r>
              <w:rPr>
                <w:rFonts w:hint="eastAsia" w:ascii="宋体" w:hAnsi="宋体" w:cs="宋体"/>
                <w:color w:val="000000" w:themeColor="text1"/>
                <w:kern w:val="0"/>
                <w:lang w:bidi="ar"/>
                <w14:textFill>
                  <w14:solidFill>
                    <w14:schemeClr w14:val="tx1"/>
                  </w14:solidFill>
                </w14:textFill>
              </w:rPr>
              <w:t>对每批次绿化覆土成分进行监测，确保覆土满足《土壤环境质量农用地土壤污染风险管控标准（试行）》（</w:t>
            </w:r>
            <w:r>
              <w:rPr>
                <w:color w:val="000000" w:themeColor="text1"/>
                <w:kern w:val="0"/>
                <w:lang w:bidi="ar"/>
                <w14:textFill>
                  <w14:solidFill>
                    <w14:schemeClr w14:val="tx1"/>
                  </w14:solidFill>
                </w14:textFill>
              </w:rPr>
              <w:t>GB15618-2018</w:t>
            </w:r>
            <w:r>
              <w:rPr>
                <w:rFonts w:hint="eastAsia" w:ascii="宋体" w:hAnsi="宋体" w:cs="宋体"/>
                <w:color w:val="000000" w:themeColor="text1"/>
                <w:kern w:val="0"/>
                <w:lang w:bidi="ar"/>
                <w14:textFill>
                  <w14:solidFill>
                    <w14:schemeClr w14:val="tx1"/>
                  </w14:solidFill>
                </w14:textFill>
              </w:rPr>
              <w:t>）的要求。项目应按照</w:t>
            </w:r>
            <w:r>
              <w:rPr>
                <w:rFonts w:hint="eastAsia"/>
                <w:color w:val="000000" w:themeColor="text1"/>
                <w14:textFill>
                  <w14:solidFill>
                    <w14:schemeClr w14:val="tx1"/>
                  </w14:solidFill>
                </w14:textFill>
              </w:rPr>
              <w:t>《改性磷石膏用于矿山废弃地生态修复回填技术规范》（DB53/T1269-2024）</w:t>
            </w:r>
            <w:r>
              <w:rPr>
                <w:rFonts w:hint="eastAsia" w:ascii="宋体" w:hAnsi="宋体" w:cs="宋体"/>
                <w:color w:val="000000" w:themeColor="text1"/>
                <w:kern w:val="0"/>
                <w:lang w:bidi="ar"/>
                <w14:textFill>
                  <w14:solidFill>
                    <w14:schemeClr w14:val="tx1"/>
                  </w14:solidFill>
                </w14:textFill>
              </w:rPr>
              <w:t>的相关要求在施工期对土壤进行监测。</w:t>
            </w:r>
          </w:p>
          <w:p w14:paraId="5F05656D">
            <w:pPr>
              <w:widowControl/>
              <w:adjustRightInd w:val="0"/>
              <w:snapToGrid w:val="0"/>
              <w:ind w:firstLine="480"/>
              <w:rPr>
                <w:rFonts w:hint="eastAsia" w:ascii="宋体" w:hAnsi="宋体" w:cs="宋体"/>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（5）</w:t>
            </w:r>
            <w:r>
              <w:rPr>
                <w:rFonts w:hint="eastAsia" w:ascii="宋体" w:hAnsi="宋体" w:cs="宋体"/>
                <w:color w:val="000000" w:themeColor="text1"/>
                <w:kern w:val="0"/>
                <w:lang w:bidi="ar"/>
                <w14:textFill>
                  <w14:solidFill>
                    <w14:schemeClr w14:val="tx1"/>
                  </w14:solidFill>
                </w14:textFill>
              </w:rPr>
              <w:t>对运输车辆采区覆盖措施，落实洒水抑尘等施工扬尘控制措施，减少回填无害化处理后的改性磷石膏泼洒，沉降进入土壤环境，减缓对土壤环境的影响。</w:t>
            </w:r>
          </w:p>
          <w:p w14:paraId="25DDFF11">
            <w:pPr>
              <w:widowControl/>
              <w:adjustRightInd w:val="0"/>
              <w:snapToGrid w:val="0"/>
              <w:ind w:firstLine="480"/>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（6）小结</w:t>
            </w:r>
          </w:p>
          <w:p w14:paraId="730BF9FA">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在采取上述措施后，项目不会对周边土壤环境造成较大影响。</w:t>
            </w:r>
          </w:p>
          <w:p w14:paraId="1895C453">
            <w:pPr>
              <w:pStyle w:val="71"/>
              <w:adjustRightInd w:val="0"/>
              <w:ind w:firstLine="498"/>
              <w:jc w:val="both"/>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8、环境风险防范措施</w:t>
            </w:r>
          </w:p>
          <w:p w14:paraId="052B4754">
            <w:pPr>
              <w:pStyle w:val="71"/>
              <w:adjustRightInd w:val="0"/>
              <w:ind w:firstLine="496"/>
              <w:jc w:val="both"/>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（1）落实源头控制</w:t>
            </w:r>
          </w:p>
          <w:p w14:paraId="1DF60E72">
            <w:pPr>
              <w:pStyle w:val="71"/>
              <w:adjustRightInd w:val="0"/>
              <w:ind w:firstLine="496"/>
              <w:jc w:val="both"/>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建设单位在回填过程中，对每批次（</w:t>
            </w:r>
            <w:r>
              <w:rPr>
                <w:rFonts w:hint="eastAsia"/>
                <w:color w:val="000000" w:themeColor="text1"/>
                <w:lang w:val="en-US" w:eastAsia="zh-CN"/>
                <w14:textFill>
                  <w14:solidFill>
                    <w14:schemeClr w14:val="tx1"/>
                  </w14:solidFill>
                </w14:textFill>
              </w:rPr>
              <w:t>30000</w:t>
            </w:r>
            <w:r>
              <w:rPr>
                <w:rFonts w:hint="eastAsia"/>
                <w:color w:val="000000" w:themeColor="text1"/>
                <w:lang w:val="en-US"/>
                <w14:textFill>
                  <w14:solidFill>
                    <w14:schemeClr w14:val="tx1"/>
                  </w14:solidFill>
                </w14:textFill>
              </w:rPr>
              <w:t>t每批次）生态修复回填材料进行取样检测，按照《改性磷石膏用于矿山废弃地生态修复回填技术规范》（DB53/T1269-2024）12.2.2</w:t>
            </w:r>
            <w:r>
              <w:rPr>
                <w:rFonts w:hint="eastAsia" w:ascii="宋体" w:hAnsi="宋体" w:cs="宋体"/>
                <w:color w:val="000000" w:themeColor="text1"/>
                <w:kern w:val="0"/>
                <w:lang w:val="en-US" w:bidi="ar"/>
                <w14:textFill>
                  <w14:solidFill>
                    <w14:schemeClr w14:val="tx1"/>
                  </w14:solidFill>
                </w14:textFill>
              </w:rPr>
              <w:t>的相关要求进行取样检测，确保项目生态修复回填材料满足</w:t>
            </w:r>
            <w:r>
              <w:rPr>
                <w:rFonts w:hint="eastAsia"/>
                <w:color w:val="000000" w:themeColor="text1"/>
                <w:lang w:val="en-US"/>
                <w14:textFill>
                  <w14:solidFill>
                    <w14:schemeClr w14:val="tx1"/>
                  </w14:solidFill>
                </w14:textFill>
              </w:rPr>
              <w:t>《改性磷石膏用于矿山废弃地生态修复回填技术规范》（DB53/T1269-2024）、《磷石膏的处理处置规范》（GB/T 32124-2024）中相关要求。</w:t>
            </w:r>
          </w:p>
          <w:p w14:paraId="788D18DA">
            <w:pPr>
              <w:pStyle w:val="71"/>
              <w:adjustRightInd w:val="0"/>
              <w:ind w:firstLine="496"/>
              <w:jc w:val="both"/>
              <w:rPr>
                <w:color w:val="000000" w:themeColor="text1"/>
                <w:lang w:val="en-US"/>
                <w14:textFill>
                  <w14:solidFill>
                    <w14:schemeClr w14:val="tx1"/>
                  </w14:solidFill>
                </w14:textFill>
              </w:rPr>
            </w:pPr>
            <w:r>
              <w:rPr>
                <w:rFonts w:hint="eastAsia"/>
                <w:color w:val="000000" w:themeColor="text1"/>
                <w:lang w:val="en-US"/>
                <w14:textFill>
                  <w14:solidFill>
                    <w14:schemeClr w14:val="tx1"/>
                  </w14:solidFill>
                </w14:textFill>
              </w:rPr>
              <w:t>（2）工程控制措施</w:t>
            </w:r>
          </w:p>
          <w:p w14:paraId="5692B386">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按照生态修复方案，落实修复区防渗工程措施，设置地下水监控井。</w:t>
            </w:r>
          </w:p>
          <w:p w14:paraId="779C87E4">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1）防渗工程</w:t>
            </w:r>
          </w:p>
          <w:p w14:paraId="77A1FE63">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底部防渗</w:t>
            </w:r>
            <w:r>
              <w:rPr>
                <w:rFonts w:hint="eastAsia"/>
                <w:color w:val="000000" w:themeColor="text1"/>
                <w14:textFill>
                  <w14:solidFill>
                    <w14:schemeClr w14:val="tx1"/>
                  </w14:solidFill>
                </w14:textFill>
              </w:rPr>
              <w:t>：</w:t>
            </w:r>
            <w:r>
              <w:rPr>
                <w:rFonts w:hint="eastAsia"/>
                <w:color w:val="000000" w:themeColor="text1"/>
                <w:lang w:bidi="ar"/>
                <w14:textFill>
                  <w14:solidFill>
                    <w14:schemeClr w14:val="tx1"/>
                  </w14:solidFill>
                </w14:textFill>
              </w:rPr>
              <w:t>在修复区场地铺设两横一纵导排盲沟，场地整平至2046m标高后，铺设0.75m厚黏土层，压实好后依次铺设热粘连两布一膜（聚酯长丝土工布（300g/m</w:t>
            </w:r>
            <w:r>
              <w:rPr>
                <w:rFonts w:hint="eastAsia"/>
                <w:color w:val="000000" w:themeColor="text1"/>
                <w:vertAlign w:val="superscript"/>
                <w:lang w:bidi="ar"/>
                <w14:textFill>
                  <w14:solidFill>
                    <w14:schemeClr w14:val="tx1"/>
                  </w14:solidFill>
                </w14:textFill>
              </w:rPr>
              <w:t>2</w:t>
            </w:r>
            <w:r>
              <w:rPr>
                <w:rFonts w:hint="eastAsia"/>
                <w:color w:val="000000" w:themeColor="text1"/>
                <w:lang w:bidi="ar"/>
                <w14:textFill>
                  <w14:solidFill>
                    <w14:schemeClr w14:val="tx1"/>
                  </w14:solidFill>
                </w14:textFill>
              </w:rPr>
              <w:t>）+1.5mmHDPE土工膜+聚酯长丝土工布（300g/m</w:t>
            </w:r>
            <w:r>
              <w:rPr>
                <w:rFonts w:hint="eastAsia"/>
                <w:color w:val="000000" w:themeColor="text1"/>
                <w:vertAlign w:val="superscript"/>
                <w:lang w:bidi="ar"/>
                <w14:textFill>
                  <w14:solidFill>
                    <w14:schemeClr w14:val="tx1"/>
                  </w14:solidFill>
                </w14:textFill>
              </w:rPr>
              <w:t>2</w:t>
            </w:r>
            <w:r>
              <w:rPr>
                <w:rFonts w:hint="eastAsia"/>
                <w:color w:val="000000" w:themeColor="text1"/>
                <w:lang w:bidi="ar"/>
                <w14:textFill>
                  <w14:solidFill>
                    <w14:schemeClr w14:val="tx1"/>
                  </w14:solidFill>
                </w14:textFill>
              </w:rPr>
              <w:t>）</w:t>
            </w:r>
            <w:r>
              <w:rPr>
                <w:rFonts w:hint="eastAsia"/>
                <w:color w:val="000000" w:themeColor="text1"/>
                <w14:textFill>
                  <w14:solidFill>
                    <w14:schemeClr w14:val="tx1"/>
                  </w14:solidFill>
                </w14:textFill>
              </w:rPr>
              <w:t>。</w:t>
            </w:r>
          </w:p>
          <w:p w14:paraId="5BF0FA08">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color w:val="000000" w:themeColor="text1"/>
                <w:lang w:bidi="ar"/>
                <w14:textFill>
                  <w14:solidFill>
                    <w14:schemeClr w14:val="tx1"/>
                  </w14:solidFill>
                </w14:textFill>
              </w:rPr>
              <w:t>修复区防渗膜底部共设置两横一纵导排盲沟，总长405m，盲沟宽上口2.68m，深1.25m，底部先铺设0.1m厚硅石层，安装排渗管后两侧及顶部均采用硅石层充填；导排盲沟管最终汇入到地下水收集井；防渗膜上层土工布顶部再设置一条收集渗滤液的DN280排渗管，总长380.5m，将场内的渗滤液排至渗滤液收集井。</w:t>
            </w:r>
          </w:p>
          <w:p w14:paraId="0E9C88B5">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岸坡防渗</w:t>
            </w:r>
            <w:r>
              <w:rPr>
                <w:rFonts w:hint="eastAsia"/>
                <w:color w:val="000000" w:themeColor="text1"/>
                <w14:textFill>
                  <w14:solidFill>
                    <w14:schemeClr w14:val="tx1"/>
                  </w14:solidFill>
                </w14:textFill>
              </w:rPr>
              <w:t>：南部岸坡坡度较缓地段，坡面平整清理压实好后，为防止不规则边坡划破防渗膜，在基础持力层与防渗层间设一层黏土层厚75cm，再铺设热粘连两布一膜（聚酯长丝土工布（300g/㎡）+1.5mmHDPE土工膜+聚酯长丝土工布（300g/㎡）。</w:t>
            </w:r>
          </w:p>
          <w:p w14:paraId="7C86E5FF">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东岸边坡通过1:1的坡比进行削坡分台，对边坡及平台区设一层黏土层厚750mm，再铺设热粘连两布一膜（聚酯长丝土工布（300g/㎡）+1.5mmHDPE土工膜+聚酯长丝土工布（300g/㎡）。防渗设施在堆排过程中逐步铺设，采取边铺设边堆排的工艺进行。</w:t>
            </w:r>
          </w:p>
          <w:p w14:paraId="5DD2B85D">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拦挡坝内坡防渗</w:t>
            </w:r>
            <w:r>
              <w:rPr>
                <w:rFonts w:hint="eastAsia"/>
                <w:color w:val="000000" w:themeColor="text1"/>
                <w14:textFill>
                  <w14:solidFill>
                    <w14:schemeClr w14:val="tx1"/>
                  </w14:solidFill>
                </w14:textFill>
              </w:rPr>
              <w:t>：为有效保护防渗层的安全，拦挡体内坡面碾压平整完成后，铺设一层0.75m厚的粘土，接着铺设热粘连两布一膜（聚酯长丝土工布（300g/㎡）+1.5mmHDPE土工膜+聚酯长丝土工布（300g/㎡），并与场底防渗膜相连。</w:t>
            </w:r>
          </w:p>
          <w:p w14:paraId="7FBBEDE2">
            <w:pPr>
              <w:ind w:firstLine="482"/>
              <w:rPr>
                <w:color w:val="000000" w:themeColor="text1"/>
                <w14:textFill>
                  <w14:solidFill>
                    <w14:schemeClr w14:val="tx1"/>
                  </w14:solidFill>
                </w14:textFill>
              </w:rPr>
            </w:pPr>
            <w:r>
              <w:rPr>
                <w:rFonts w:hint="eastAsia"/>
                <w:b/>
                <w:bCs/>
                <w:color w:val="000000" w:themeColor="text1"/>
                <w14:textFill>
                  <w14:solidFill>
                    <w14:schemeClr w14:val="tx1"/>
                  </w14:solidFill>
                </w14:textFill>
              </w:rPr>
              <w:t>回填区封场防渗</w:t>
            </w:r>
            <w:r>
              <w:rPr>
                <w:rFonts w:hint="eastAsia"/>
                <w:color w:val="000000" w:themeColor="text1"/>
                <w14:textFill>
                  <w14:solidFill>
                    <w14:schemeClr w14:val="tx1"/>
                  </w14:solidFill>
                </w14:textFill>
              </w:rPr>
              <w:t>：回填区封场防渗结构自下而上为：</w:t>
            </w:r>
          </w:p>
          <w:p w14:paraId="71530194">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防渗层：采用热粘连两布一膜（聚酯长丝土工布（300g/㎡）+1.5mmHDPE土工膜+聚酯长丝土工布（300g/㎡）；</w:t>
            </w:r>
          </w:p>
          <w:p w14:paraId="13A940DC">
            <w:pPr>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植被层：封场覆1m的耕植土，保证滩面整体坡向坝前方向呈2%的坡度。在平台区上设置排水沟，断面b×h=0.3m×0.4m，将汇集的雨水导排至北部回用水池。</w:t>
            </w:r>
          </w:p>
          <w:p w14:paraId="2DDEA6C9">
            <w:pPr>
              <w:ind w:firstLine="482"/>
              <w:rPr>
                <w:b/>
                <w:bCs/>
                <w:color w:val="000000" w:themeColor="text1"/>
                <w14:textFill>
                  <w14:solidFill>
                    <w14:schemeClr w14:val="tx1"/>
                  </w14:solidFill>
                </w14:textFill>
              </w:rPr>
            </w:pPr>
            <w:r>
              <w:rPr>
                <w:rFonts w:hint="eastAsia"/>
                <w:b/>
                <w:bCs/>
                <w:color w:val="000000" w:themeColor="text1"/>
                <w14:textFill>
                  <w14:solidFill>
                    <w14:schemeClr w14:val="tx1"/>
                  </w14:solidFill>
                </w14:textFill>
              </w:rPr>
              <w:t>2）地下水监控井</w:t>
            </w:r>
          </w:p>
          <w:p w14:paraId="6B590B55">
            <w:pPr>
              <w:ind w:firstLine="480"/>
              <w:rPr>
                <w:rFonts w:hint="eastAsia" w:ascii="宋体" w:hAnsi="宋体" w:cs="宋体"/>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项目区</w:t>
            </w:r>
            <w:r>
              <w:rPr>
                <w:rFonts w:hint="eastAsia"/>
                <w:color w:val="000000" w:themeColor="text1"/>
                <w:kern w:val="0"/>
                <w:lang w:val="en-US" w:eastAsia="zh-CN" w:bidi="ar"/>
                <w14:textFill>
                  <w14:solidFill>
                    <w14:schemeClr w14:val="tx1"/>
                  </w14:solidFill>
                </w14:textFill>
              </w:rPr>
              <w:t>共设置</w:t>
            </w:r>
            <w:r>
              <w:rPr>
                <w:rFonts w:hint="eastAsia" w:ascii="宋体" w:hAnsi="宋体"/>
                <w:color w:val="000000" w:themeColor="text1"/>
                <w:kern w:val="0"/>
                <w:sz w:val="24"/>
                <w14:textFill>
                  <w14:solidFill>
                    <w14:schemeClr w14:val="tx1"/>
                  </w14:solidFill>
                </w14:textFill>
              </w:rPr>
              <w:t>7</w:t>
            </w:r>
            <w:r>
              <w:rPr>
                <w:rFonts w:ascii="宋体" w:hAnsi="宋体"/>
                <w:color w:val="000000" w:themeColor="text1"/>
                <w:kern w:val="0"/>
                <w:sz w:val="24"/>
                <w14:textFill>
                  <w14:solidFill>
                    <w14:schemeClr w14:val="tx1"/>
                  </w14:solidFill>
                </w14:textFill>
              </w:rPr>
              <w:t>口地下水监测井</w:t>
            </w:r>
            <w:r>
              <w:rPr>
                <w:rFonts w:hint="eastAsia"/>
                <w:color w:val="000000" w:themeColor="text1"/>
                <w:kern w:val="0"/>
                <w:lang w:bidi="ar"/>
                <w14:textFill>
                  <w14:solidFill>
                    <w14:schemeClr w14:val="tx1"/>
                  </w14:solidFill>
                </w14:textFill>
              </w:rPr>
              <w:t>。</w:t>
            </w:r>
            <w:r>
              <w:rPr>
                <w:rFonts w:hint="eastAsia"/>
                <w:color w:val="000000" w:themeColor="text1"/>
                <w14:textFill>
                  <w14:solidFill>
                    <w14:schemeClr w14:val="tx1"/>
                  </w14:solidFill>
                </w14:textFill>
              </w:rPr>
              <w:t>满足《环境影响评价技术导则  地下水环境》（HJ610-2016）、《改性磷石膏用于矿山废弃地生态修复回填技术规范》（DB53/T1269-2024）现状监测点的布设要求。</w:t>
            </w:r>
          </w:p>
          <w:p w14:paraId="1B3BDF69">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（3）编制应急预案并定期演练</w:t>
            </w:r>
          </w:p>
          <w:p w14:paraId="0E2E87AC">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应编制生态修复区安全生产各项规章制度并组织实施，编制环境风险应急预案并组织演练。</w:t>
            </w:r>
          </w:p>
          <w:p w14:paraId="70FD75AF">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（4）管理控制措施</w:t>
            </w:r>
          </w:p>
          <w:p w14:paraId="3B1E2892">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1</w:t>
            </w:r>
            <w:r>
              <w:rPr>
                <w:rFonts w:hint="eastAsia" w:ascii="宋体" w:hAnsi="宋体" w:cs="宋体"/>
                <w:color w:val="000000" w:themeColor="text1"/>
                <w:kern w:val="0"/>
                <w:lang w:bidi="ar"/>
                <w14:textFill>
                  <w14:solidFill>
                    <w14:schemeClr w14:val="tx1"/>
                  </w14:solidFill>
                </w14:textFill>
              </w:rPr>
              <w:t>）加强工程施工质量管理，对项目工程质量、防渗工程开展施工监理，确保防渗工程满足设计要求。</w:t>
            </w:r>
          </w:p>
          <w:p w14:paraId="61FFE9AB">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2</w:t>
            </w:r>
            <w:r>
              <w:rPr>
                <w:rFonts w:hint="eastAsia" w:ascii="宋体" w:hAnsi="宋体" w:cs="宋体"/>
                <w:color w:val="000000" w:themeColor="text1"/>
                <w:kern w:val="0"/>
                <w:lang w:bidi="ar"/>
                <w14:textFill>
                  <w14:solidFill>
                    <w14:schemeClr w14:val="tx1"/>
                  </w14:solidFill>
                </w14:textFill>
              </w:rPr>
              <w:t>）防渗工程施工结束后，在进行改性磷石膏回填前，对防渗工程实施情况开展评估，具备回填条件后，再开展改性磷石膏回填工作。</w:t>
            </w:r>
          </w:p>
          <w:p w14:paraId="24AC7EBC">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3</w:t>
            </w:r>
            <w:r>
              <w:rPr>
                <w:rFonts w:hint="eastAsia" w:ascii="宋体" w:hAnsi="宋体" w:cs="宋体"/>
                <w:color w:val="000000" w:themeColor="text1"/>
                <w:kern w:val="0"/>
                <w:lang w:bidi="ar"/>
                <w14:textFill>
                  <w14:solidFill>
                    <w14:schemeClr w14:val="tx1"/>
                  </w14:solidFill>
                </w14:textFill>
              </w:rPr>
              <w:t>）在改性磷石膏回填过程中，加强改性磷石膏的运输管理工作，对运输车辆采取篷布覆盖等措施，避免改性磷石膏在运输过程中泼洒。</w:t>
            </w:r>
          </w:p>
          <w:p w14:paraId="54244B82">
            <w:pPr>
              <w:widowControl/>
              <w:ind w:firstLine="480"/>
              <w:jc w:val="left"/>
              <w:rPr>
                <w:color w:val="000000" w:themeColor="text1"/>
                <w14:textFill>
                  <w14:solidFill>
                    <w14:schemeClr w14:val="tx1"/>
                  </w14:solidFill>
                </w14:textFill>
              </w:rPr>
            </w:pPr>
            <w:r>
              <w:rPr>
                <w:color w:val="000000" w:themeColor="text1"/>
                <w:kern w:val="0"/>
                <w:lang w:bidi="ar"/>
                <w14:textFill>
                  <w14:solidFill>
                    <w14:schemeClr w14:val="tx1"/>
                  </w14:solidFill>
                </w14:textFill>
              </w:rPr>
              <w:t>4</w:t>
            </w:r>
            <w:r>
              <w:rPr>
                <w:rFonts w:hint="eastAsia" w:ascii="宋体" w:hAnsi="宋体" w:cs="宋体"/>
                <w:color w:val="000000" w:themeColor="text1"/>
                <w:kern w:val="0"/>
                <w:lang w:bidi="ar"/>
                <w14:textFill>
                  <w14:solidFill>
                    <w14:schemeClr w14:val="tx1"/>
                  </w14:solidFill>
                </w14:textFill>
              </w:rPr>
              <w:t>）回填至设计标高后，及时开展顶部防渗工程和覆土绿化施工工作，以减少进入回填体的雨水量，降低渗滤液产生，恢复修复区生态植被。</w:t>
            </w:r>
          </w:p>
          <w:p w14:paraId="01150E7C">
            <w:pPr>
              <w:widowControl/>
              <w:ind w:firstLine="480"/>
              <w:jc w:val="left"/>
              <w:rPr>
                <w:rFonts w:hint="eastAsia" w:ascii="宋体" w:hAnsi="宋体" w:cs="宋体"/>
                <w:color w:val="000000" w:themeColor="text1"/>
                <w:kern w:val="0"/>
                <w:lang w:bidi="ar"/>
                <w14:textFill>
                  <w14:solidFill>
                    <w14:schemeClr w14:val="tx1"/>
                  </w14:solidFill>
                </w14:textFill>
              </w:rPr>
            </w:pPr>
            <w:r>
              <w:rPr>
                <w:color w:val="000000" w:themeColor="text1"/>
                <w:kern w:val="0"/>
                <w:lang w:bidi="ar"/>
                <w14:textFill>
                  <w14:solidFill>
                    <w14:schemeClr w14:val="tx1"/>
                  </w14:solidFill>
                </w14:textFill>
              </w:rPr>
              <w:t>5</w:t>
            </w:r>
            <w:r>
              <w:rPr>
                <w:rFonts w:hint="eastAsia" w:ascii="宋体" w:hAnsi="宋体" w:cs="宋体"/>
                <w:color w:val="000000" w:themeColor="text1"/>
                <w:kern w:val="0"/>
                <w:lang w:bidi="ar"/>
                <w14:textFill>
                  <w14:solidFill>
                    <w14:schemeClr w14:val="tx1"/>
                  </w14:solidFill>
                </w14:textFill>
              </w:rPr>
              <w:t>）按照要求开展渗滤液和地下水跟踪监测，若发现地下水环境异常，出现超标情况时，应及时上报生态环境主管部门，并开展原因调查，若因本项目导致的地下水超标，对回填改性磷石膏采取异位处置或其他有效措施，开展污染地下水修复工作。</w:t>
            </w:r>
          </w:p>
          <w:p w14:paraId="39545567">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（4）小结</w:t>
            </w:r>
          </w:p>
          <w:p w14:paraId="38F4A303">
            <w:pPr>
              <w:widowControl/>
              <w:adjustRightInd w:val="0"/>
              <w:snapToGrid w:val="0"/>
              <w:ind w:firstLine="480"/>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综上，在严格落实源头控制、防渗工程及管理的情况下，能够有效避免环境风险的发生。</w:t>
            </w:r>
          </w:p>
        </w:tc>
      </w:tr>
      <w:tr w14:paraId="63D5E41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53" w:type="dxa"/>
            <w:tcMar>
              <w:left w:w="28" w:type="dxa"/>
              <w:right w:w="28" w:type="dxa"/>
            </w:tcMar>
            <w:vAlign w:val="center"/>
          </w:tcPr>
          <w:p w14:paraId="413C2480">
            <w:pPr>
              <w:adjustRightInd w:val="0"/>
              <w:snapToGrid w:val="0"/>
              <w:spacing w:line="240" w:lineRule="auto"/>
              <w:ind w:firstLine="0" w:firstLineChars="0"/>
              <w:jc w:val="center"/>
              <w:rPr>
                <w:bCs/>
                <w:color w:val="000000" w:themeColor="text1"/>
                <w:spacing w:val="10"/>
                <w:szCs w:val="21"/>
                <w14:textFill>
                  <w14:solidFill>
                    <w14:schemeClr w14:val="tx1"/>
                  </w14:solidFill>
                </w14:textFill>
              </w:rPr>
            </w:pPr>
            <w:r>
              <w:rPr>
                <w:rFonts w:hint="eastAsia"/>
                <w:bCs/>
                <w:color w:val="000000" w:themeColor="text1"/>
                <w:spacing w:val="10"/>
                <w:szCs w:val="21"/>
                <w14:textFill>
                  <w14:solidFill>
                    <w14:schemeClr w14:val="tx1"/>
                  </w14:solidFill>
                </w14:textFill>
              </w:rPr>
              <w:t>运营期生态环境保护措施</w:t>
            </w:r>
          </w:p>
        </w:tc>
        <w:tc>
          <w:tcPr>
            <w:tcW w:w="8457" w:type="dxa"/>
          </w:tcPr>
          <w:p w14:paraId="22797592">
            <w:pPr>
              <w:widowControl/>
              <w:adjustRightInd w:val="0"/>
              <w:snapToGrid w:val="0"/>
              <w:ind w:firstLine="480"/>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项目为矿坑生态修复项目，运营期无废气、噪声、固体废物产生，运营期环境保护措施如下：</w:t>
            </w:r>
          </w:p>
          <w:p w14:paraId="554FCCD3">
            <w:pPr>
              <w:pStyle w:val="71"/>
              <w:adjustRightInd w:val="0"/>
              <w:ind w:firstLine="498"/>
              <w:jc w:val="both"/>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1、水环境保护措施</w:t>
            </w:r>
          </w:p>
          <w:p w14:paraId="2DE3FCAC">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（1）定期对渗滤液进行监测，记录水质情况。</w:t>
            </w:r>
          </w:p>
          <w:p w14:paraId="613DF548">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（2）为掌握回填体对地下水环境的影响，项目运营期地下水每年在丰、枯水期各监测1次，直到相关指标连续3年内，年均检测指标持续稳定，特征指标不呈上升趋势。</w:t>
            </w:r>
          </w:p>
          <w:p w14:paraId="34417F1E">
            <w:pPr>
              <w:pStyle w:val="71"/>
              <w:adjustRightInd w:val="0"/>
              <w:ind w:firstLine="498"/>
              <w:jc w:val="both"/>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2、土壤环境保护措施</w:t>
            </w:r>
          </w:p>
          <w:p w14:paraId="6DFBAC87">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为掌握项目对土壤环境的影响，项目应按照</w:t>
            </w:r>
            <w:r>
              <w:rPr>
                <w:rFonts w:hint="eastAsia"/>
                <w:color w:val="000000" w:themeColor="text1"/>
                <w14:textFill>
                  <w14:solidFill>
                    <w14:schemeClr w14:val="tx1"/>
                  </w14:solidFill>
                </w14:textFill>
              </w:rPr>
              <w:t>《改性磷石膏用于矿山废弃地生态修复回填技术规范》（DB53/T1269-2024）</w:t>
            </w:r>
            <w:r>
              <w:rPr>
                <w:rFonts w:hint="eastAsia" w:ascii="宋体" w:hAnsi="宋体" w:cs="宋体"/>
                <w:color w:val="000000" w:themeColor="text1"/>
                <w:kern w:val="0"/>
                <w:lang w:bidi="ar"/>
                <w14:textFill>
                  <w14:solidFill>
                    <w14:schemeClr w14:val="tx1"/>
                  </w14:solidFill>
                </w14:textFill>
              </w:rPr>
              <w:t>的相关要求在运营期对土壤进行监测。</w:t>
            </w:r>
          </w:p>
          <w:p w14:paraId="38251308">
            <w:pPr>
              <w:pStyle w:val="71"/>
              <w:adjustRightInd w:val="0"/>
              <w:ind w:firstLine="498"/>
              <w:jc w:val="both"/>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3、生态环境保护措施</w:t>
            </w:r>
          </w:p>
          <w:p w14:paraId="485C5043">
            <w:pPr>
              <w:widowControl/>
              <w:ind w:firstLine="480"/>
              <w:jc w:val="left"/>
              <w:rPr>
                <w:color w:val="000000" w:themeColor="text1"/>
                <w14:textFill>
                  <w14:solidFill>
                    <w14:schemeClr w14:val="tx1"/>
                  </w14:solidFill>
                </w14:textFill>
              </w:rPr>
            </w:pPr>
            <w:r>
              <w:rPr>
                <w:rFonts w:hint="eastAsia"/>
                <w:color w:val="000000" w:themeColor="text1"/>
                <w14:textFill>
                  <w14:solidFill>
                    <w14:schemeClr w14:val="tx1"/>
                  </w14:solidFill>
                </w14:textFill>
              </w:rPr>
              <w:t>（1）</w:t>
            </w:r>
            <w:r>
              <w:rPr>
                <w:rFonts w:hint="eastAsia" w:ascii="宋体" w:hAnsi="宋体" w:cs="宋体"/>
                <w:color w:val="000000" w:themeColor="text1"/>
                <w:kern w:val="0"/>
                <w:lang w:bidi="ar"/>
                <w14:textFill>
                  <w14:solidFill>
                    <w14:schemeClr w14:val="tx1"/>
                  </w14:solidFill>
                </w14:textFill>
              </w:rPr>
              <w:t>后期应制定保护保养管理制度。包括平时浇水，排水、预防人畜危害、风害、病虫害防治、修剪中耕除草等工作内容及计划。</w:t>
            </w:r>
          </w:p>
          <w:p w14:paraId="1BBD9428">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（2）定期查验：树木每月、灌木每旬查验一次，并应做查验记录。</w:t>
            </w:r>
          </w:p>
          <w:p w14:paraId="63BB4434">
            <w:pPr>
              <w:widowControl/>
              <w:ind w:firstLine="480"/>
              <w:jc w:val="left"/>
              <w:rPr>
                <w:color w:val="000000" w:themeColor="text1"/>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（3）完工检验时发现不符规定者，应立即换植。查验时发现稍端枯萎，有严重病虫害、折害等无复原希望者应换植，发现枯死、无养活希望者，应换植。</w:t>
            </w:r>
          </w:p>
          <w:p w14:paraId="79D24120">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（4）绿化工程养护灌溉措施</w:t>
            </w:r>
          </w:p>
          <w:p w14:paraId="79A337F4">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设计在主管道设置接头连接活动的皮管，人工对恢复区内进行灌溉。根据一年植物生长规律及气候特点制定绿化管养全年养护计划。</w:t>
            </w:r>
          </w:p>
          <w:p w14:paraId="3950093C">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（5）为方便灌木的养护，将按当地的气候特点，把一年划分为旱季、雨季、秋冬季等三个季节；在不同季节对不同植物采取不同的管护措施。</w:t>
            </w:r>
          </w:p>
          <w:p w14:paraId="7C3A9F79">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ascii="宋体" w:hAnsi="宋体" w:cs="宋体"/>
                <w:color w:val="000000" w:themeColor="text1"/>
                <w:kern w:val="0"/>
                <w:lang w:bidi="ar"/>
                <w14:textFill>
                  <w14:solidFill>
                    <w14:schemeClr w14:val="tx1"/>
                  </w14:solidFill>
                </w14:textFill>
              </w:rPr>
              <w:t>（6）病虫害防治以预防为主，将根据不同病虫害的发生周期性，将根据病情及害虫类别，采取应对措施。</w:t>
            </w:r>
          </w:p>
          <w:p w14:paraId="0236E42D">
            <w:pPr>
              <w:widowControl/>
              <w:ind w:firstLine="480"/>
              <w:jc w:val="left"/>
              <w:rPr>
                <w:color w:val="000000" w:themeColor="text1"/>
                <w14:textFill>
                  <w14:solidFill>
                    <w14:schemeClr w14:val="tx1"/>
                  </w14:solidFill>
                </w14:textFill>
              </w:rPr>
            </w:pPr>
            <w:r>
              <w:rPr>
                <w:rFonts w:hint="eastAsia"/>
                <w:color w:val="000000" w:themeColor="text1"/>
                <w:kern w:val="0"/>
                <w:lang w:bidi="ar"/>
                <w14:textFill>
                  <w14:solidFill>
                    <w14:schemeClr w14:val="tx1"/>
                  </w14:solidFill>
                </w14:textFill>
              </w:rPr>
              <w:t>（7）</w:t>
            </w:r>
            <w:r>
              <w:rPr>
                <w:rFonts w:hint="eastAsia" w:ascii="宋体" w:hAnsi="宋体" w:cs="宋体"/>
                <w:color w:val="000000" w:themeColor="text1"/>
                <w:kern w:val="0"/>
                <w:lang w:bidi="ar"/>
                <w14:textFill>
                  <w14:solidFill>
                    <w14:schemeClr w14:val="tx1"/>
                  </w14:solidFill>
                </w14:textFill>
              </w:rPr>
              <w:t>根据乔灌木的年龄、品种、生育期及草地的生长状况进行施肥。枝叶生长期以氮为主，磷钾肥为辅，开花结果期以磷钾肥为主，氮肥为辅。肥料切忌肥料裸露。施肥量为乔木</w:t>
            </w:r>
            <w:r>
              <w:rPr>
                <w:color w:val="000000" w:themeColor="text1"/>
                <w:kern w:val="0"/>
                <w:lang w:bidi="ar"/>
                <w14:textFill>
                  <w14:solidFill>
                    <w14:schemeClr w14:val="tx1"/>
                  </w14:solidFill>
                </w14:textFill>
              </w:rPr>
              <w:t>100g/</w:t>
            </w:r>
            <w:r>
              <w:rPr>
                <w:rFonts w:hint="eastAsia" w:ascii="宋体" w:hAnsi="宋体" w:cs="宋体"/>
                <w:color w:val="000000" w:themeColor="text1"/>
                <w:kern w:val="0"/>
                <w:lang w:bidi="ar"/>
                <w14:textFill>
                  <w14:solidFill>
                    <w14:schemeClr w14:val="tx1"/>
                  </w14:solidFill>
                </w14:textFill>
              </w:rPr>
              <w:t>株，保水剂</w:t>
            </w:r>
            <w:r>
              <w:rPr>
                <w:color w:val="000000" w:themeColor="text1"/>
                <w:kern w:val="0"/>
                <w:lang w:bidi="ar"/>
                <w14:textFill>
                  <w14:solidFill>
                    <w14:schemeClr w14:val="tx1"/>
                  </w14:solidFill>
                </w14:textFill>
              </w:rPr>
              <w:t>10g/</w:t>
            </w:r>
            <w:r>
              <w:rPr>
                <w:rFonts w:hint="eastAsia" w:ascii="宋体" w:hAnsi="宋体" w:cs="宋体"/>
                <w:color w:val="000000" w:themeColor="text1"/>
                <w:kern w:val="0"/>
                <w:lang w:bidi="ar"/>
                <w14:textFill>
                  <w14:solidFill>
                    <w14:schemeClr w14:val="tx1"/>
                  </w14:solidFill>
                </w14:textFill>
              </w:rPr>
              <w:t>株。草籽为直接抛洒，不进行施肥和使用保水剂。</w:t>
            </w:r>
          </w:p>
          <w:p w14:paraId="1825E696">
            <w:pPr>
              <w:widowControl/>
              <w:ind w:firstLine="480"/>
              <w:jc w:val="left"/>
              <w:rPr>
                <w:rFonts w:hint="eastAsia" w:ascii="宋体" w:hAnsi="宋体" w:cs="宋体"/>
                <w:color w:val="000000" w:themeColor="text1"/>
                <w:kern w:val="0"/>
                <w:lang w:bidi="ar"/>
                <w14:textFill>
                  <w14:solidFill>
                    <w14:schemeClr w14:val="tx1"/>
                  </w14:solidFill>
                </w14:textFill>
              </w:rPr>
            </w:pPr>
            <w:r>
              <w:rPr>
                <w:rFonts w:hint="eastAsia"/>
                <w:color w:val="000000" w:themeColor="text1"/>
                <w:kern w:val="0"/>
                <w:lang w:bidi="ar"/>
                <w14:textFill>
                  <w14:solidFill>
                    <w14:schemeClr w14:val="tx1"/>
                  </w14:solidFill>
                </w14:textFill>
              </w:rPr>
              <w:t>（8）</w:t>
            </w:r>
            <w:r>
              <w:rPr>
                <w:rFonts w:hint="eastAsia" w:ascii="宋体" w:hAnsi="宋体" w:cs="宋体"/>
                <w:color w:val="000000" w:themeColor="text1"/>
                <w:kern w:val="0"/>
                <w:lang w:bidi="ar"/>
                <w14:textFill>
                  <w14:solidFill>
                    <w14:schemeClr w14:val="tx1"/>
                  </w14:solidFill>
                </w14:textFill>
              </w:rPr>
              <w:t>重视化学防治的同时应综合应用物理、机械、生物等多种方法进行防治，如：利用害虫趋光、趋波特性生产杀虫灯；利用害虫趋味特性制成糖醋液诱杀等等。</w:t>
            </w:r>
          </w:p>
          <w:p w14:paraId="5F73D6C5">
            <w:pPr>
              <w:pStyle w:val="71"/>
              <w:adjustRightInd w:val="0"/>
              <w:ind w:firstLine="498"/>
              <w:jc w:val="both"/>
              <w:rPr>
                <w:b/>
                <w:bCs/>
                <w:color w:val="000000" w:themeColor="text1"/>
                <w:lang w:val="en-US"/>
                <w14:textFill>
                  <w14:solidFill>
                    <w14:schemeClr w14:val="tx1"/>
                  </w14:solidFill>
                </w14:textFill>
              </w:rPr>
            </w:pPr>
            <w:r>
              <w:rPr>
                <w:rFonts w:hint="eastAsia"/>
                <w:b/>
                <w:bCs/>
                <w:color w:val="000000" w:themeColor="text1"/>
                <w:lang w:val="en-US"/>
                <w14:textFill>
                  <w14:solidFill>
                    <w14:schemeClr w14:val="tx1"/>
                  </w14:solidFill>
                </w14:textFill>
              </w:rPr>
              <w:t>4、建设项目环境保护“三同时”验收</w:t>
            </w:r>
          </w:p>
          <w:p w14:paraId="77C6DA41">
            <w:pPr>
              <w:pStyle w:val="71"/>
              <w:adjustRightInd w:val="0"/>
              <w:spacing w:line="240" w:lineRule="auto"/>
              <w:ind w:firstLine="0" w:firstLineChars="0"/>
              <w:jc w:val="center"/>
              <w:rPr>
                <w:b/>
                <w:bCs/>
                <w:color w:val="000000" w:themeColor="text1"/>
                <w:spacing w:val="0"/>
                <w:kern w:val="0"/>
                <w:sz w:val="24"/>
                <w:szCs w:val="24"/>
                <w:lang w:val="en-US" w:bidi="ar"/>
                <w14:textFill>
                  <w14:solidFill>
                    <w14:schemeClr w14:val="tx1"/>
                  </w14:solidFill>
                </w14:textFill>
              </w:rPr>
            </w:pPr>
            <w:r>
              <w:rPr>
                <w:rFonts w:hint="eastAsia"/>
                <w:b/>
                <w:bCs/>
                <w:color w:val="000000" w:themeColor="text1"/>
                <w:spacing w:val="0"/>
                <w:kern w:val="0"/>
                <w:sz w:val="24"/>
                <w:szCs w:val="24"/>
                <w:lang w:val="en-US" w:bidi="ar"/>
                <w14:textFill>
                  <w14:solidFill>
                    <w14:schemeClr w14:val="tx1"/>
                  </w14:solidFill>
                </w14:textFill>
              </w:rPr>
              <w:t>表</w:t>
            </w:r>
            <w:r>
              <w:rPr>
                <w:rFonts w:hint="eastAsia"/>
                <w:b/>
                <w:bCs/>
                <w:color w:val="000000" w:themeColor="text1"/>
                <w:spacing w:val="0"/>
                <w:kern w:val="0"/>
                <w:sz w:val="24"/>
                <w:szCs w:val="24"/>
                <w:lang w:val="en-US" w:eastAsia="zh-CN" w:bidi="ar"/>
                <w14:textFill>
                  <w14:solidFill>
                    <w14:schemeClr w14:val="tx1"/>
                  </w14:solidFill>
                </w14:textFill>
              </w:rPr>
              <w:t xml:space="preserve">5-2  </w:t>
            </w:r>
            <w:r>
              <w:rPr>
                <w:rFonts w:hint="eastAsia"/>
                <w:b/>
                <w:bCs/>
                <w:color w:val="000000" w:themeColor="text1"/>
                <w:spacing w:val="0"/>
                <w:kern w:val="0"/>
                <w:sz w:val="24"/>
                <w:szCs w:val="24"/>
                <w:lang w:val="en-US" w:bidi="ar"/>
                <w14:textFill>
                  <w14:solidFill>
                    <w14:schemeClr w14:val="tx1"/>
                  </w14:solidFill>
                </w14:textFill>
              </w:rPr>
              <w:t>项目“三同时”验收一览表</w:t>
            </w:r>
          </w:p>
          <w:tbl>
            <w:tblPr>
              <w:tblStyle w:val="41"/>
              <w:tblW w:w="491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36"/>
              <w:gridCol w:w="432"/>
              <w:gridCol w:w="454"/>
              <w:gridCol w:w="3479"/>
              <w:gridCol w:w="3282"/>
            </w:tblGrid>
            <w:tr w14:paraId="75E5E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Align w:val="center"/>
                </w:tcPr>
                <w:p w14:paraId="20E200DB">
                  <w:pPr>
                    <w:pStyle w:val="71"/>
                    <w:adjustRightInd w:val="0"/>
                    <w:spacing w:line="240" w:lineRule="auto"/>
                    <w:ind w:firstLine="0" w:firstLineChars="0"/>
                    <w:jc w:val="center"/>
                    <w:rPr>
                      <w:b/>
                      <w:bCs/>
                      <w:color w:val="000000" w:themeColor="text1"/>
                      <w:sz w:val="21"/>
                      <w:szCs w:val="21"/>
                      <w:lang w:val="en-US"/>
                      <w14:textFill>
                        <w14:solidFill>
                          <w14:schemeClr w14:val="tx1"/>
                        </w14:solidFill>
                      </w14:textFill>
                    </w:rPr>
                  </w:pPr>
                  <w:r>
                    <w:rPr>
                      <w:rFonts w:hint="eastAsia"/>
                      <w:b/>
                      <w:bCs/>
                      <w:color w:val="000000" w:themeColor="text1"/>
                      <w:sz w:val="21"/>
                      <w:szCs w:val="21"/>
                      <w:lang w:val="en-US"/>
                      <w14:textFill>
                        <w14:solidFill>
                          <w14:schemeClr w14:val="tx1"/>
                        </w14:solidFill>
                      </w14:textFill>
                    </w:rPr>
                    <w:t>时期</w:t>
                  </w:r>
                </w:p>
              </w:tc>
              <w:tc>
                <w:tcPr>
                  <w:tcW w:w="548" w:type="pct"/>
                  <w:gridSpan w:val="2"/>
                  <w:vAlign w:val="center"/>
                </w:tcPr>
                <w:p w14:paraId="3DAF1B63">
                  <w:pPr>
                    <w:pStyle w:val="71"/>
                    <w:adjustRightInd w:val="0"/>
                    <w:spacing w:line="240" w:lineRule="auto"/>
                    <w:ind w:firstLine="0" w:firstLineChars="0"/>
                    <w:jc w:val="center"/>
                    <w:rPr>
                      <w:b/>
                      <w:bCs/>
                      <w:color w:val="000000" w:themeColor="text1"/>
                      <w:sz w:val="21"/>
                      <w:szCs w:val="21"/>
                      <w:lang w:val="en-US"/>
                      <w14:textFill>
                        <w14:solidFill>
                          <w14:schemeClr w14:val="tx1"/>
                        </w14:solidFill>
                      </w14:textFill>
                    </w:rPr>
                  </w:pPr>
                  <w:r>
                    <w:rPr>
                      <w:rFonts w:hint="eastAsia"/>
                      <w:b/>
                      <w:bCs/>
                      <w:color w:val="000000" w:themeColor="text1"/>
                      <w:sz w:val="21"/>
                      <w:szCs w:val="21"/>
                      <w:lang w:val="en-US"/>
                      <w14:textFill>
                        <w14:solidFill>
                          <w14:schemeClr w14:val="tx1"/>
                        </w14:solidFill>
                      </w14:textFill>
                    </w:rPr>
                    <w:t>项目</w:t>
                  </w:r>
                </w:p>
              </w:tc>
              <w:tc>
                <w:tcPr>
                  <w:tcW w:w="2152" w:type="pct"/>
                  <w:vAlign w:val="center"/>
                </w:tcPr>
                <w:p w14:paraId="7F8A39C7">
                  <w:pPr>
                    <w:pStyle w:val="71"/>
                    <w:adjustRightInd w:val="0"/>
                    <w:spacing w:line="240" w:lineRule="auto"/>
                    <w:ind w:firstLine="0" w:firstLineChars="0"/>
                    <w:jc w:val="center"/>
                    <w:rPr>
                      <w:b/>
                      <w:bCs/>
                      <w:color w:val="000000" w:themeColor="text1"/>
                      <w:sz w:val="21"/>
                      <w:szCs w:val="21"/>
                      <w:lang w:val="en-US"/>
                      <w14:textFill>
                        <w14:solidFill>
                          <w14:schemeClr w14:val="tx1"/>
                        </w14:solidFill>
                      </w14:textFill>
                    </w:rPr>
                  </w:pPr>
                  <w:r>
                    <w:rPr>
                      <w:rFonts w:hint="eastAsia"/>
                      <w:b/>
                      <w:bCs/>
                      <w:color w:val="000000" w:themeColor="text1"/>
                      <w:sz w:val="21"/>
                      <w:szCs w:val="21"/>
                      <w:lang w:val="en-US"/>
                      <w14:textFill>
                        <w14:solidFill>
                          <w14:schemeClr w14:val="tx1"/>
                        </w14:solidFill>
                      </w14:textFill>
                    </w:rPr>
                    <w:t>处理措施</w:t>
                  </w:r>
                </w:p>
              </w:tc>
              <w:tc>
                <w:tcPr>
                  <w:tcW w:w="2030" w:type="pct"/>
                  <w:vAlign w:val="center"/>
                </w:tcPr>
                <w:p w14:paraId="4055947D">
                  <w:pPr>
                    <w:pStyle w:val="71"/>
                    <w:adjustRightInd w:val="0"/>
                    <w:spacing w:line="240" w:lineRule="auto"/>
                    <w:ind w:firstLine="0" w:firstLineChars="0"/>
                    <w:jc w:val="center"/>
                    <w:rPr>
                      <w:b/>
                      <w:bCs/>
                      <w:color w:val="000000" w:themeColor="text1"/>
                      <w:sz w:val="21"/>
                      <w:szCs w:val="21"/>
                      <w:lang w:val="en-US"/>
                      <w14:textFill>
                        <w14:solidFill>
                          <w14:schemeClr w14:val="tx1"/>
                        </w14:solidFill>
                      </w14:textFill>
                    </w:rPr>
                  </w:pPr>
                  <w:r>
                    <w:rPr>
                      <w:rFonts w:hint="eastAsia"/>
                      <w:b/>
                      <w:bCs/>
                      <w:color w:val="000000" w:themeColor="text1"/>
                      <w:sz w:val="21"/>
                      <w:szCs w:val="21"/>
                      <w:lang w:val="en-US"/>
                      <w14:textFill>
                        <w14:solidFill>
                          <w14:schemeClr w14:val="tx1"/>
                        </w14:solidFill>
                      </w14:textFill>
                    </w:rPr>
                    <w:t>验收标准及内容</w:t>
                  </w:r>
                </w:p>
              </w:tc>
            </w:tr>
            <w:tr w14:paraId="43E688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restart"/>
                  <w:vAlign w:val="center"/>
                </w:tcPr>
                <w:p w14:paraId="69FE5F36">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施工期</w:t>
                  </w:r>
                </w:p>
              </w:tc>
              <w:tc>
                <w:tcPr>
                  <w:tcW w:w="548" w:type="pct"/>
                  <w:gridSpan w:val="2"/>
                  <w:vAlign w:val="center"/>
                </w:tcPr>
                <w:p w14:paraId="7AA7D416">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生态修复材料</w:t>
                  </w:r>
                </w:p>
              </w:tc>
              <w:tc>
                <w:tcPr>
                  <w:tcW w:w="2152" w:type="pct"/>
                  <w:vAlign w:val="center"/>
                </w:tcPr>
                <w:p w14:paraId="4C61C782">
                  <w:pPr>
                    <w:pStyle w:val="71"/>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ascii="Times New Roman" w:hAnsi="Times New Roman" w:eastAsia="宋体" w:cstheme="minorBidi"/>
                      <w:bCs/>
                      <w:color w:val="000000" w:themeColor="text1"/>
                      <w:spacing w:val="0"/>
                      <w:kern w:val="2"/>
                      <w:sz w:val="21"/>
                      <w:szCs w:val="21"/>
                      <w:highlight w:val="none"/>
                      <w:lang w:val="en-US" w:eastAsia="zh-CN" w:bidi="ar-SA"/>
                      <w14:textFill>
                        <w14:solidFill>
                          <w14:schemeClr w14:val="tx1"/>
                        </w14:solidFill>
                      </w14:textFill>
                    </w:rPr>
                    <w:t>本项目改性磷石膏回填量约为215.622万吨，2156220T&gt;1000000T，以30000T改性磷石膏为一批次，</w:t>
                  </w:r>
                  <w:r>
                    <w:rPr>
                      <w:rFonts w:hint="eastAsia"/>
                      <w:color w:val="000000" w:themeColor="text1"/>
                      <w:sz w:val="21"/>
                      <w:szCs w:val="21"/>
                      <w:lang w:val="en-US" w:bidi="ar"/>
                      <w14:textFill>
                        <w14:solidFill>
                          <w14:schemeClr w14:val="tx1"/>
                        </w14:solidFill>
                      </w14:textFill>
                    </w:rPr>
                    <w:t>改性磷石膏用于回填区地形重塑后进行采样，结合回填工艺确定采样区域。采样区域使用网格法结合堆积高度确定采样点位数，每批次采样点位不少于3个，每批次份样数不少于6个，将上述份样制成一个混合样，按照HJ/T20中第5章的要求进行制样分析。对改性磷石膏材料浸出液进行检测，按照HJ557规定方法制备改性磷石膏浸出液中任何一种特征污染物浓度均不超过GB 8978最高允许排放浓度（第二类污染物最高允许排放浓度按照一级标准执行）检验合格后方可运入回填区回填，并保留监测记录。</w:t>
                  </w:r>
                </w:p>
              </w:tc>
              <w:tc>
                <w:tcPr>
                  <w:tcW w:w="2030" w:type="pct"/>
                  <w:vAlign w:val="center"/>
                </w:tcPr>
                <w:p w14:paraId="0065E522">
                  <w:pPr>
                    <w:pStyle w:val="71"/>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生态修复材料满足《改性磷石膏用于矿山废弃地生态修复回填技术规范》（DB53/T1269-2024）、《磷石膏的处理处置规范》（GB/T 32124-2024）相关要求</w:t>
                  </w:r>
                </w:p>
              </w:tc>
            </w:tr>
            <w:tr w14:paraId="2FCE48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4FFA5111">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Align w:val="center"/>
                </w:tcPr>
                <w:p w14:paraId="2C500A7C">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耕植土</w:t>
                  </w:r>
                </w:p>
              </w:tc>
              <w:tc>
                <w:tcPr>
                  <w:tcW w:w="2152" w:type="pct"/>
                  <w:vAlign w:val="center"/>
                </w:tcPr>
                <w:p w14:paraId="1E86C78A">
                  <w:pPr>
                    <w:pStyle w:val="71"/>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每批次耕植土进场前进行检测，出具检测报告</w:t>
                  </w:r>
                </w:p>
              </w:tc>
              <w:tc>
                <w:tcPr>
                  <w:tcW w:w="2030" w:type="pct"/>
                  <w:vAlign w:val="center"/>
                </w:tcPr>
                <w:p w14:paraId="55ECB41B">
                  <w:pPr>
                    <w:pStyle w:val="71"/>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满足《土壤环境质量农用地土壤污染风险管控标准（试行）》（</w:t>
                  </w:r>
                  <w:r>
                    <w:rPr>
                      <w:color w:val="000000" w:themeColor="text1"/>
                      <w:sz w:val="21"/>
                      <w:szCs w:val="21"/>
                      <w:lang w:val="en-US"/>
                      <w14:textFill>
                        <w14:solidFill>
                          <w14:schemeClr w14:val="tx1"/>
                        </w14:solidFill>
                      </w14:textFill>
                    </w:rPr>
                    <w:t>GB15618-2018</w:t>
                  </w:r>
                  <w:r>
                    <w:rPr>
                      <w:rFonts w:hint="eastAsia"/>
                      <w:color w:val="000000" w:themeColor="text1"/>
                      <w:sz w:val="21"/>
                      <w:szCs w:val="21"/>
                      <w:lang w:val="en-US"/>
                      <w14:textFill>
                        <w14:solidFill>
                          <w14:schemeClr w14:val="tx1"/>
                        </w14:solidFill>
                      </w14:textFill>
                    </w:rPr>
                    <w:t>）中标准限值。</w:t>
                  </w:r>
                </w:p>
              </w:tc>
            </w:tr>
            <w:tr w14:paraId="219FC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6EBCF4EA">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Merge w:val="restart"/>
                  <w:vAlign w:val="center"/>
                </w:tcPr>
                <w:p w14:paraId="3C30AC8E">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废气</w:t>
                  </w:r>
                </w:p>
              </w:tc>
              <w:tc>
                <w:tcPr>
                  <w:tcW w:w="2152" w:type="pct"/>
                  <w:vAlign w:val="center"/>
                </w:tcPr>
                <w:p w14:paraId="0B43C273">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洒水车对修复区进行洒水降尘</w:t>
                  </w:r>
                </w:p>
              </w:tc>
              <w:tc>
                <w:tcPr>
                  <w:tcW w:w="2030" w:type="pct"/>
                  <w:vMerge w:val="restart"/>
                  <w:vAlign w:val="center"/>
                </w:tcPr>
                <w:p w14:paraId="03D23182">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颗粒物满足《大气污染物综合排放标准》（GB16297-1996）无组织排放监控浓度限制标准</w:t>
                  </w:r>
                </w:p>
              </w:tc>
            </w:tr>
            <w:tr w14:paraId="450EB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0CF22E76">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Merge w:val="continue"/>
                  <w:vAlign w:val="center"/>
                </w:tcPr>
                <w:p w14:paraId="42E92884">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2152" w:type="pct"/>
                  <w:vAlign w:val="center"/>
                </w:tcPr>
                <w:p w14:paraId="5F72BC80">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运输车辆用篷布遮盖、密闭运输，限载限速</w:t>
                  </w:r>
                </w:p>
              </w:tc>
              <w:tc>
                <w:tcPr>
                  <w:tcW w:w="2030" w:type="pct"/>
                  <w:vMerge w:val="continue"/>
                  <w:vAlign w:val="center"/>
                </w:tcPr>
                <w:p w14:paraId="409FCB37">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r>
            <w:tr w14:paraId="3C6923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12B5F25C">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Merge w:val="restart"/>
                  <w:vAlign w:val="center"/>
                </w:tcPr>
                <w:p w14:paraId="0B2761CA">
                  <w:pPr>
                    <w:pStyle w:val="71"/>
                    <w:adjustRightInd w:val="0"/>
                    <w:spacing w:line="240" w:lineRule="auto"/>
                    <w:ind w:firstLine="0" w:firstLineChars="0"/>
                    <w:jc w:val="center"/>
                    <w:rPr>
                      <w:color w:val="000000" w:themeColor="text1"/>
                      <w:sz w:val="21"/>
                      <w:szCs w:val="21"/>
                      <w14:textFill>
                        <w14:solidFill>
                          <w14:schemeClr w14:val="tx1"/>
                        </w14:solidFill>
                      </w14:textFill>
                    </w:rPr>
                  </w:pPr>
                  <w:r>
                    <w:rPr>
                      <w:rFonts w:hint="eastAsia"/>
                      <w:color w:val="000000" w:themeColor="text1"/>
                      <w:sz w:val="21"/>
                      <w:szCs w:val="21"/>
                      <w:lang w:val="en-US"/>
                      <w14:textFill>
                        <w14:solidFill>
                          <w14:schemeClr w14:val="tx1"/>
                        </w14:solidFill>
                      </w14:textFill>
                    </w:rPr>
                    <w:t>废水</w:t>
                  </w:r>
                </w:p>
              </w:tc>
              <w:tc>
                <w:tcPr>
                  <w:tcW w:w="2152" w:type="pct"/>
                  <w:vAlign w:val="center"/>
                </w:tcPr>
                <w:p w14:paraId="7D66A856">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建1座临时沉淀池（3m³），对施工废水和施工人员洗手废水进行收集</w:t>
                  </w:r>
                </w:p>
              </w:tc>
              <w:tc>
                <w:tcPr>
                  <w:tcW w:w="2030" w:type="pct"/>
                  <w:vAlign w:val="center"/>
                </w:tcPr>
                <w:p w14:paraId="03E256AD">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施工废水和施工人员洗手废水经沉淀池沉淀后回用于施工场地洒水降尘</w:t>
                  </w:r>
                </w:p>
              </w:tc>
            </w:tr>
            <w:tr w14:paraId="156B13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1608E4CB">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Merge w:val="continue"/>
                  <w:vAlign w:val="center"/>
                </w:tcPr>
                <w:p w14:paraId="5FE796B3">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2152" w:type="pct"/>
                  <w:vAlign w:val="center"/>
                </w:tcPr>
                <w:p w14:paraId="42CA1289">
                  <w:pPr>
                    <w:pStyle w:val="71"/>
                    <w:adjustRightInd w:val="0"/>
                    <w:spacing w:line="240" w:lineRule="auto"/>
                    <w:ind w:firstLine="0" w:firstLineChars="0"/>
                    <w:jc w:val="center"/>
                    <w:rPr>
                      <w:rFonts w:hint="eastAsia" w:eastAsia="宋体"/>
                      <w:color w:val="000000" w:themeColor="text1"/>
                      <w:sz w:val="21"/>
                      <w:szCs w:val="21"/>
                      <w:lang w:val="en-US" w:eastAsia="zh-CN"/>
                      <w14:textFill>
                        <w14:solidFill>
                          <w14:schemeClr w14:val="tx1"/>
                        </w14:solidFill>
                      </w14:textFill>
                    </w:rPr>
                  </w:pPr>
                  <w:r>
                    <w:rPr>
                      <w:rFonts w:hint="eastAsia"/>
                      <w:color w:val="000000" w:themeColor="text1"/>
                      <w:sz w:val="21"/>
                      <w:szCs w:val="21"/>
                      <w:lang w:val="en-US"/>
                      <w14:textFill>
                        <w14:solidFill>
                          <w14:schemeClr w14:val="tx1"/>
                        </w14:solidFill>
                      </w14:textFill>
                    </w:rPr>
                    <w:t>在南部回填区设置一个425m</w:t>
                  </w:r>
                  <w:r>
                    <w:rPr>
                      <w:rFonts w:hint="eastAsia"/>
                      <w:color w:val="000000" w:themeColor="text1"/>
                      <w:sz w:val="21"/>
                      <w:szCs w:val="21"/>
                      <w:vertAlign w:val="superscript"/>
                      <w:lang w:val="en-US"/>
                      <w14:textFill>
                        <w14:solidFill>
                          <w14:schemeClr w14:val="tx1"/>
                        </w14:solidFill>
                      </w14:textFill>
                    </w:rPr>
                    <w:t>3</w:t>
                  </w:r>
                  <w:r>
                    <w:rPr>
                      <w:rFonts w:hint="eastAsia"/>
                      <w:color w:val="000000" w:themeColor="text1"/>
                      <w:sz w:val="21"/>
                      <w:szCs w:val="21"/>
                      <w:lang w:val="en-US"/>
                      <w14:textFill>
                        <w14:solidFill>
                          <w14:schemeClr w14:val="tx1"/>
                        </w14:solidFill>
                      </w14:textFill>
                    </w:rPr>
                    <w:t>的渗滤液收集池，2个50m</w:t>
                  </w:r>
                  <w:r>
                    <w:rPr>
                      <w:rFonts w:hint="eastAsia"/>
                      <w:color w:val="000000" w:themeColor="text1"/>
                      <w:sz w:val="21"/>
                      <w:szCs w:val="21"/>
                      <w:vertAlign w:val="superscript"/>
                      <w:lang w:val="en-US"/>
                      <w14:textFill>
                        <w14:solidFill>
                          <w14:schemeClr w14:val="tx1"/>
                        </w14:solidFill>
                      </w14:textFill>
                    </w:rPr>
                    <w:t>3</w:t>
                  </w:r>
                  <w:r>
                    <w:rPr>
                      <w:rFonts w:hint="eastAsia"/>
                      <w:color w:val="000000" w:themeColor="text1"/>
                      <w:sz w:val="21"/>
                      <w:szCs w:val="21"/>
                      <w:lang w:val="en-US"/>
                      <w14:textFill>
                        <w14:solidFill>
                          <w14:schemeClr w14:val="tx1"/>
                        </w14:solidFill>
                      </w14:textFill>
                    </w:rPr>
                    <w:t>雨水收集池，在北部回填区设置一个410m</w:t>
                  </w:r>
                  <w:r>
                    <w:rPr>
                      <w:rFonts w:hint="eastAsia"/>
                      <w:color w:val="000000" w:themeColor="text1"/>
                      <w:sz w:val="21"/>
                      <w:szCs w:val="21"/>
                      <w:vertAlign w:val="superscript"/>
                      <w:lang w:val="en-US"/>
                      <w14:textFill>
                        <w14:solidFill>
                          <w14:schemeClr w14:val="tx1"/>
                        </w14:solidFill>
                      </w14:textFill>
                    </w:rPr>
                    <w:t>3</w:t>
                  </w:r>
                  <w:r>
                    <w:rPr>
                      <w:rFonts w:hint="eastAsia"/>
                      <w:color w:val="000000" w:themeColor="text1"/>
                      <w:sz w:val="21"/>
                      <w:szCs w:val="21"/>
                      <w:lang w:val="en-US"/>
                      <w14:textFill>
                        <w14:solidFill>
                          <w14:schemeClr w14:val="tx1"/>
                        </w14:solidFill>
                      </w14:textFill>
                    </w:rPr>
                    <w:t>的回用水池，2个50m</w:t>
                  </w:r>
                  <w:r>
                    <w:rPr>
                      <w:rFonts w:hint="eastAsia"/>
                      <w:color w:val="000000" w:themeColor="text1"/>
                      <w:sz w:val="21"/>
                      <w:szCs w:val="21"/>
                      <w:vertAlign w:val="superscript"/>
                      <w:lang w:val="en-US"/>
                      <w14:textFill>
                        <w14:solidFill>
                          <w14:schemeClr w14:val="tx1"/>
                        </w14:solidFill>
                      </w14:textFill>
                    </w:rPr>
                    <w:t>3</w:t>
                  </w:r>
                  <w:r>
                    <w:rPr>
                      <w:rFonts w:hint="eastAsia"/>
                      <w:color w:val="000000" w:themeColor="text1"/>
                      <w:sz w:val="21"/>
                      <w:szCs w:val="21"/>
                      <w:lang w:val="en-US"/>
                      <w14:textFill>
                        <w14:solidFill>
                          <w14:schemeClr w14:val="tx1"/>
                        </w14:solidFill>
                      </w14:textFill>
                    </w:rPr>
                    <w:t>雨水收集池</w:t>
                  </w:r>
                  <w:r>
                    <w:rPr>
                      <w:rFonts w:hint="eastAsia"/>
                      <w:color w:val="000000" w:themeColor="text1"/>
                      <w:sz w:val="21"/>
                      <w:szCs w:val="21"/>
                      <w:lang w:val="en-US" w:eastAsia="zh-CN"/>
                      <w14:textFill>
                        <w14:solidFill>
                          <w14:schemeClr w14:val="tx1"/>
                        </w14:solidFill>
                      </w14:textFill>
                    </w:rPr>
                    <w:t>。</w:t>
                  </w:r>
                </w:p>
              </w:tc>
              <w:tc>
                <w:tcPr>
                  <w:tcW w:w="2030" w:type="pct"/>
                  <w:vAlign w:val="center"/>
                </w:tcPr>
                <w:p w14:paraId="4401D7ED">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渗滤液收集</w:t>
                  </w:r>
                  <w:r>
                    <w:rPr>
                      <w:rFonts w:hint="eastAsia"/>
                      <w:color w:val="000000" w:themeColor="text1"/>
                      <w:sz w:val="21"/>
                      <w:szCs w:val="21"/>
                      <w:lang w:val="en-US" w:eastAsia="zh-CN"/>
                      <w14:textFill>
                        <w14:solidFill>
                          <w14:schemeClr w14:val="tx1"/>
                        </w14:solidFill>
                      </w14:textFill>
                    </w:rPr>
                    <w:t>池</w:t>
                  </w:r>
                  <w:r>
                    <w:rPr>
                      <w:rFonts w:hint="eastAsia"/>
                      <w:color w:val="000000" w:themeColor="text1"/>
                      <w:sz w:val="21"/>
                      <w:szCs w:val="21"/>
                      <w:lang w:val="en-US"/>
                      <w14:textFill>
                        <w14:solidFill>
                          <w14:schemeClr w14:val="tx1"/>
                        </w14:solidFill>
                      </w14:textFill>
                    </w:rPr>
                    <w:t>防渗按照规范要求设置，渗滤液收集后回用于场地洒水降尘</w:t>
                  </w:r>
                </w:p>
              </w:tc>
            </w:tr>
            <w:tr w14:paraId="2CAC0E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30C78CBD">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Merge w:val="continue"/>
                  <w:vAlign w:val="center"/>
                </w:tcPr>
                <w:p w14:paraId="15720DA0">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2152" w:type="pct"/>
                  <w:vAlign w:val="center"/>
                </w:tcPr>
                <w:p w14:paraId="1E0723EB">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每季度对渗滤液进行监测</w:t>
                  </w:r>
                </w:p>
              </w:tc>
              <w:tc>
                <w:tcPr>
                  <w:tcW w:w="2030" w:type="pct"/>
                  <w:vAlign w:val="center"/>
                </w:tcPr>
                <w:p w14:paraId="31646835">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按照监测计划、监测周期要求，开展检测。提交监测报告</w:t>
                  </w:r>
                </w:p>
              </w:tc>
            </w:tr>
            <w:tr w14:paraId="620EA8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50E4241B">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Align w:val="center"/>
                </w:tcPr>
                <w:p w14:paraId="0772D076">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噪声</w:t>
                  </w:r>
                </w:p>
              </w:tc>
              <w:tc>
                <w:tcPr>
                  <w:tcW w:w="2152" w:type="pct"/>
                  <w:vAlign w:val="center"/>
                </w:tcPr>
                <w:p w14:paraId="0866069D">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选取低噪声设备，对设备进行维护</w:t>
                  </w:r>
                </w:p>
              </w:tc>
              <w:tc>
                <w:tcPr>
                  <w:tcW w:w="2030" w:type="pct"/>
                  <w:vAlign w:val="center"/>
                </w:tcPr>
                <w:p w14:paraId="2705E467">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执行《建筑施工场界环境噪声排放标准》（GB12523-2011）</w:t>
                  </w:r>
                </w:p>
              </w:tc>
            </w:tr>
            <w:tr w14:paraId="6B2CA4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56E5436E">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Merge w:val="restart"/>
                  <w:vAlign w:val="center"/>
                </w:tcPr>
                <w:p w14:paraId="63170322">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固体废物</w:t>
                  </w:r>
                </w:p>
              </w:tc>
              <w:tc>
                <w:tcPr>
                  <w:tcW w:w="2152" w:type="pct"/>
                  <w:vAlign w:val="center"/>
                </w:tcPr>
                <w:p w14:paraId="59140B70">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土石方回用于场地平整</w:t>
                  </w:r>
                </w:p>
              </w:tc>
              <w:tc>
                <w:tcPr>
                  <w:tcW w:w="2030" w:type="pct"/>
                  <w:vAlign w:val="center"/>
                </w:tcPr>
                <w:p w14:paraId="62E71047">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处置率100%</w:t>
                  </w:r>
                </w:p>
              </w:tc>
            </w:tr>
            <w:tr w14:paraId="0D2B87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146E05DD">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Merge w:val="continue"/>
                  <w:vAlign w:val="center"/>
                </w:tcPr>
                <w:p w14:paraId="0159BE09">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2152" w:type="pct"/>
                  <w:vAlign w:val="center"/>
                </w:tcPr>
                <w:p w14:paraId="5D1DE5EE">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施工人员生活垃圾集中收集后运至附近村庄垃圾收集点由环卫部门清运处置</w:t>
                  </w:r>
                </w:p>
              </w:tc>
              <w:tc>
                <w:tcPr>
                  <w:tcW w:w="2030" w:type="pct"/>
                  <w:vAlign w:val="center"/>
                </w:tcPr>
                <w:p w14:paraId="0EEF3C83">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处置率100%</w:t>
                  </w:r>
                </w:p>
              </w:tc>
            </w:tr>
            <w:tr w14:paraId="66280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3B98F81D">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267" w:type="pct"/>
                  <w:vMerge w:val="restart"/>
                  <w:vAlign w:val="center"/>
                </w:tcPr>
                <w:p w14:paraId="30D54AD5">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生态修复区</w:t>
                  </w:r>
                </w:p>
              </w:tc>
              <w:tc>
                <w:tcPr>
                  <w:tcW w:w="280" w:type="pct"/>
                  <w:vMerge w:val="restart"/>
                  <w:vAlign w:val="center"/>
                </w:tcPr>
                <w:p w14:paraId="7EC89215">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回填区</w:t>
                  </w:r>
                </w:p>
              </w:tc>
              <w:tc>
                <w:tcPr>
                  <w:tcW w:w="2152" w:type="pct"/>
                  <w:vAlign w:val="center"/>
                </w:tcPr>
                <w:p w14:paraId="35325274">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在回填区域设置截排水沟。</w:t>
                  </w:r>
                </w:p>
              </w:tc>
              <w:tc>
                <w:tcPr>
                  <w:tcW w:w="2030" w:type="pct"/>
                  <w:vAlign w:val="center"/>
                </w:tcPr>
                <w:p w14:paraId="082B9F2C">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截排水沟的建设情况、设计及施工监理报告</w:t>
                  </w:r>
                </w:p>
              </w:tc>
            </w:tr>
            <w:tr w14:paraId="3554C8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4E0FCC34">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267" w:type="pct"/>
                  <w:vMerge w:val="continue"/>
                  <w:vAlign w:val="center"/>
                </w:tcPr>
                <w:p w14:paraId="5D7B7DFE">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280" w:type="pct"/>
                  <w:vMerge w:val="continue"/>
                  <w:vAlign w:val="center"/>
                </w:tcPr>
                <w:p w14:paraId="7E0F4F76">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2152" w:type="pct"/>
                  <w:vAlign w:val="center"/>
                </w:tcPr>
                <w:p w14:paraId="73216608">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渗滤液导排系统</w:t>
                  </w:r>
                </w:p>
              </w:tc>
              <w:tc>
                <w:tcPr>
                  <w:tcW w:w="2030" w:type="pct"/>
                  <w:vAlign w:val="center"/>
                </w:tcPr>
                <w:p w14:paraId="156D1783">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渗滤液导排系统建设情况、设计及施工监理报告</w:t>
                  </w:r>
                </w:p>
              </w:tc>
            </w:tr>
            <w:tr w14:paraId="5007B1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603FFA29">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267" w:type="pct"/>
                  <w:vMerge w:val="continue"/>
                  <w:vAlign w:val="center"/>
                </w:tcPr>
                <w:p w14:paraId="0D416AA4">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280" w:type="pct"/>
                  <w:vMerge w:val="continue"/>
                  <w:vAlign w:val="center"/>
                </w:tcPr>
                <w:p w14:paraId="5BFEB29D">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2152" w:type="pct"/>
                  <w:vAlign w:val="center"/>
                </w:tcPr>
                <w:p w14:paraId="26567ABF">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对修复区场地先进行清理、压实、找平，清除修复区底尖锐石块和碎屑杂物，铺设0.75m厚黏土层，经压实措施处理后的饱和渗透系数不应大于1.0×10</w:t>
                  </w:r>
                  <w:r>
                    <w:rPr>
                      <w:rFonts w:hint="eastAsia"/>
                      <w:color w:val="000000" w:themeColor="text1"/>
                      <w:kern w:val="0"/>
                      <w:vertAlign w:val="superscript"/>
                      <w:lang w:val="en-US" w:bidi="ar"/>
                      <w14:textFill>
                        <w14:solidFill>
                          <w14:schemeClr w14:val="tx1"/>
                        </w14:solidFill>
                      </w14:textFill>
                    </w:rPr>
                    <w:t>-</w:t>
                  </w:r>
                  <w:r>
                    <w:rPr>
                      <w:rFonts w:hint="eastAsia"/>
                      <w:color w:val="000000" w:themeColor="text1"/>
                      <w:sz w:val="21"/>
                      <w:szCs w:val="21"/>
                      <w:vertAlign w:val="superscript"/>
                      <w:lang w:val="en-US"/>
                      <w14:textFill>
                        <w14:solidFill>
                          <w14:schemeClr w14:val="tx1"/>
                        </w14:solidFill>
                      </w14:textFill>
                    </w:rPr>
                    <w:t>5</w:t>
                  </w:r>
                  <w:r>
                    <w:rPr>
                      <w:rFonts w:hint="eastAsia"/>
                      <w:color w:val="000000" w:themeColor="text1"/>
                      <w:sz w:val="21"/>
                      <w:szCs w:val="21"/>
                      <w:lang w:val="en-US"/>
                      <w14:textFill>
                        <w14:solidFill>
                          <w14:schemeClr w14:val="tx1"/>
                        </w14:solidFill>
                      </w14:textFill>
                    </w:rPr>
                    <w:t>cm/s。</w:t>
                  </w:r>
                </w:p>
              </w:tc>
              <w:tc>
                <w:tcPr>
                  <w:tcW w:w="2030" w:type="pct"/>
                  <w:vAlign w:val="center"/>
                </w:tcPr>
                <w:p w14:paraId="5F430AD1">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底部垫层进行渗透实验报告，渗透系数不应大于1.0×10</w:t>
                  </w:r>
                  <w:r>
                    <w:rPr>
                      <w:rFonts w:hint="eastAsia"/>
                      <w:color w:val="000000" w:themeColor="text1"/>
                      <w:kern w:val="0"/>
                      <w:vertAlign w:val="superscript"/>
                      <w:lang w:val="en-US" w:bidi="ar"/>
                      <w14:textFill>
                        <w14:solidFill>
                          <w14:schemeClr w14:val="tx1"/>
                        </w14:solidFill>
                      </w14:textFill>
                    </w:rPr>
                    <w:t>-</w:t>
                  </w:r>
                  <w:r>
                    <w:rPr>
                      <w:rFonts w:hint="eastAsia"/>
                      <w:color w:val="000000" w:themeColor="text1"/>
                      <w:sz w:val="21"/>
                      <w:szCs w:val="21"/>
                      <w:vertAlign w:val="superscript"/>
                      <w:lang w:val="en-US"/>
                      <w14:textFill>
                        <w14:solidFill>
                          <w14:schemeClr w14:val="tx1"/>
                        </w14:solidFill>
                      </w14:textFill>
                    </w:rPr>
                    <w:t>5</w:t>
                  </w:r>
                  <w:r>
                    <w:rPr>
                      <w:rFonts w:hint="eastAsia"/>
                      <w:color w:val="000000" w:themeColor="text1"/>
                      <w:sz w:val="21"/>
                      <w:szCs w:val="21"/>
                      <w:lang w:val="en-US"/>
                      <w14:textFill>
                        <w14:solidFill>
                          <w14:schemeClr w14:val="tx1"/>
                        </w14:solidFill>
                      </w14:textFill>
                    </w:rPr>
                    <w:t>cm/s。</w:t>
                  </w:r>
                </w:p>
              </w:tc>
            </w:tr>
            <w:tr w14:paraId="2FD2A4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07962247">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267" w:type="pct"/>
                  <w:vMerge w:val="continue"/>
                  <w:vAlign w:val="center"/>
                </w:tcPr>
                <w:p w14:paraId="17CE24A9">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280" w:type="pct"/>
                  <w:vMerge w:val="continue"/>
                  <w:vAlign w:val="center"/>
                </w:tcPr>
                <w:p w14:paraId="75E61E7C">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2152" w:type="pct"/>
                  <w:vAlign w:val="center"/>
                </w:tcPr>
                <w:p w14:paraId="1B6CC409">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回填料回填结束压实后，回填区顶部平台、堆积分台及坡面依次铺设300g/㎡土工布、1.5mm的HDPE防渗膜、300g/㎡土工布防渗层。</w:t>
                  </w:r>
                </w:p>
              </w:tc>
              <w:tc>
                <w:tcPr>
                  <w:tcW w:w="2030" w:type="pct"/>
                  <w:vAlign w:val="center"/>
                </w:tcPr>
                <w:p w14:paraId="21E65F90">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防渗施工影像资料，施工记录，防渗膜购买合同，每批次的检验合格证，防渗膜完整性检测报告。</w:t>
                  </w:r>
                </w:p>
              </w:tc>
            </w:tr>
            <w:tr w14:paraId="66A9B0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21303491">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267" w:type="pct"/>
                  <w:vMerge w:val="continue"/>
                  <w:vAlign w:val="center"/>
                </w:tcPr>
                <w:p w14:paraId="16C0C607">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280" w:type="pct"/>
                  <w:vMerge w:val="continue"/>
                  <w:vAlign w:val="center"/>
                </w:tcPr>
                <w:p w14:paraId="3C2BA500">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2152" w:type="pct"/>
                  <w:vAlign w:val="center"/>
                </w:tcPr>
                <w:p w14:paraId="70ADB62A">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施工方案包括施工质量保证和施</w:t>
                  </w:r>
                </w:p>
                <w:p w14:paraId="25CC27BC">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工质量控制内容，明确环保条款和责任，施工完毕后保存施工报告、全套竣工图、所有材料的现场及实验室检测报告，提供人工防渗衬层完整性检测报告。上述材料连同施工质量保证书作为竣工环境保护验收的依据。</w:t>
                  </w:r>
                </w:p>
              </w:tc>
              <w:tc>
                <w:tcPr>
                  <w:tcW w:w="2030" w:type="pct"/>
                  <w:vAlign w:val="center"/>
                </w:tcPr>
                <w:p w14:paraId="3841413D">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相应资料齐全，防渗衬层是否完整。隐蔽工程竣工验收报告，环境监理总结报告</w:t>
                  </w:r>
                </w:p>
              </w:tc>
            </w:tr>
            <w:tr w14:paraId="125B8F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27F2C9E6">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267" w:type="pct"/>
                  <w:vMerge w:val="continue"/>
                  <w:vAlign w:val="center"/>
                </w:tcPr>
                <w:p w14:paraId="5FCCAD41">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280" w:type="pct"/>
                  <w:vMerge w:val="continue"/>
                  <w:vAlign w:val="center"/>
                </w:tcPr>
                <w:p w14:paraId="4E1C29F8">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2152" w:type="pct"/>
                  <w:vAlign w:val="center"/>
                </w:tcPr>
                <w:p w14:paraId="0770EA7D">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color w:val="000000" w:themeColor="text1"/>
                      <w:sz w:val="21"/>
                      <w:szCs w:val="21"/>
                      <w:lang w:val="en-US"/>
                      <w14:textFill>
                        <w14:solidFill>
                          <w14:schemeClr w14:val="tx1"/>
                        </w14:solidFill>
                      </w14:textFill>
                    </w:rPr>
                    <w:t>植被恢复：冬樱花、三角梅等</w:t>
                  </w:r>
                </w:p>
              </w:tc>
              <w:tc>
                <w:tcPr>
                  <w:tcW w:w="2030" w:type="pct"/>
                  <w:vMerge w:val="restart"/>
                  <w:vAlign w:val="center"/>
                </w:tcPr>
                <w:p w14:paraId="6B86B5A4">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管理、维护：定期浇灌、基肥及追肥；连续抚育3年，每年一次，适时补植，种植后人工巡护。提供植被购买合同，养护记录报告。</w:t>
                  </w:r>
                </w:p>
              </w:tc>
            </w:tr>
            <w:tr w14:paraId="75D9A2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1A1236DB">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267" w:type="pct"/>
                  <w:vMerge w:val="continue"/>
                  <w:vAlign w:val="center"/>
                </w:tcPr>
                <w:p w14:paraId="464ECE14">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280" w:type="pct"/>
                  <w:vAlign w:val="center"/>
                </w:tcPr>
                <w:p w14:paraId="36315239">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非回填区域</w:t>
                  </w:r>
                </w:p>
              </w:tc>
              <w:tc>
                <w:tcPr>
                  <w:tcW w:w="2152" w:type="pct"/>
                  <w:vAlign w:val="center"/>
                </w:tcPr>
                <w:p w14:paraId="5C99B5FD">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冬樱花、三角梅、狗牙根等常见植被</w:t>
                  </w:r>
                </w:p>
              </w:tc>
              <w:tc>
                <w:tcPr>
                  <w:tcW w:w="2030" w:type="pct"/>
                  <w:vMerge w:val="continue"/>
                  <w:vAlign w:val="center"/>
                </w:tcPr>
                <w:p w14:paraId="1AEEEB3A">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p>
              </w:tc>
            </w:tr>
            <w:tr w14:paraId="7C227B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5" w:hRule="atLeast"/>
              </w:trPr>
              <w:tc>
                <w:tcPr>
                  <w:tcW w:w="269" w:type="pct"/>
                  <w:vMerge w:val="restart"/>
                  <w:vAlign w:val="center"/>
                </w:tcPr>
                <w:p w14:paraId="33CEBE9D">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运营期</w:t>
                  </w:r>
                </w:p>
              </w:tc>
              <w:tc>
                <w:tcPr>
                  <w:tcW w:w="548" w:type="pct"/>
                  <w:gridSpan w:val="2"/>
                  <w:vAlign w:val="center"/>
                </w:tcPr>
                <w:p w14:paraId="45FF2395">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地下水</w:t>
                  </w:r>
                </w:p>
              </w:tc>
              <w:tc>
                <w:tcPr>
                  <w:tcW w:w="2152" w:type="pct"/>
                  <w:vAlign w:val="center"/>
                </w:tcPr>
                <w:p w14:paraId="23DD135E">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default" w:ascii="Times New Roman" w:hAnsi="Times New Roman" w:cs="Times New Roman"/>
                      <w:color w:val="000000" w:themeColor="text1"/>
                      <w:kern w:val="0"/>
                      <w:sz w:val="21"/>
                      <w:szCs w:val="21"/>
                      <w:lang w:bidi="ar"/>
                      <w14:textFill>
                        <w14:solidFill>
                          <w14:schemeClr w14:val="tx1"/>
                        </w14:solidFill>
                      </w14:textFill>
                    </w:rPr>
                    <w:t>项目区</w:t>
                  </w:r>
                  <w:r>
                    <w:rPr>
                      <w:rFonts w:hint="default" w:ascii="Times New Roman" w:hAnsi="Times New Roman" w:cs="Times New Roman"/>
                      <w:color w:val="000000" w:themeColor="text1"/>
                      <w:kern w:val="0"/>
                      <w:sz w:val="21"/>
                      <w:szCs w:val="21"/>
                      <w:lang w:val="en-US" w:eastAsia="zh-CN" w:bidi="ar"/>
                      <w14:textFill>
                        <w14:solidFill>
                          <w14:schemeClr w14:val="tx1"/>
                        </w14:solidFill>
                      </w14:textFill>
                    </w:rPr>
                    <w:t>共设置</w:t>
                  </w:r>
                  <w:r>
                    <w:rPr>
                      <w:rFonts w:hint="default" w:ascii="Times New Roman" w:hAnsi="Times New Roman" w:cs="Times New Roman"/>
                      <w:color w:val="000000" w:themeColor="text1"/>
                      <w:kern w:val="0"/>
                      <w:sz w:val="21"/>
                      <w:szCs w:val="21"/>
                      <w14:textFill>
                        <w14:solidFill>
                          <w14:schemeClr w14:val="tx1"/>
                        </w14:solidFill>
                      </w14:textFill>
                    </w:rPr>
                    <w:t>7口地下水监测井</w:t>
                  </w:r>
                  <w:r>
                    <w:rPr>
                      <w:rFonts w:hint="default" w:ascii="Times New Roman" w:hAnsi="Times New Roman" w:cs="Times New Roman"/>
                      <w:color w:val="000000" w:themeColor="text1"/>
                      <w:kern w:val="0"/>
                      <w:sz w:val="21"/>
                      <w:szCs w:val="21"/>
                      <w:lang w:bidi="ar"/>
                      <w14:textFill>
                        <w14:solidFill>
                          <w14:schemeClr w14:val="tx1"/>
                        </w14:solidFill>
                      </w14:textFill>
                    </w:rPr>
                    <w:t>。</w:t>
                  </w:r>
                  <w:r>
                    <w:rPr>
                      <w:rFonts w:hint="default" w:ascii="Times New Roman" w:hAnsi="Times New Roman" w:cs="Times New Roman"/>
                      <w:color w:val="000000" w:themeColor="text1"/>
                      <w:sz w:val="21"/>
                      <w:szCs w:val="21"/>
                      <w:lang w:val="en-US"/>
                      <w14:textFill>
                        <w14:solidFill>
                          <w14:schemeClr w14:val="tx1"/>
                        </w14:solidFill>
                      </w14:textFill>
                    </w:rPr>
                    <w:t>进行地下水水质检测，出具检测报告</w:t>
                  </w:r>
                </w:p>
              </w:tc>
              <w:tc>
                <w:tcPr>
                  <w:tcW w:w="2030" w:type="pct"/>
                  <w:vAlign w:val="center"/>
                </w:tcPr>
                <w:p w14:paraId="1225C61E">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满足《地下水质量标准》（GB/T14848-2017）</w:t>
                  </w:r>
                  <w:r>
                    <w:rPr>
                      <w:rFonts w:hint="eastAsia" w:ascii="宋体" w:hAnsi="宋体" w:cs="宋体"/>
                      <w:color w:val="000000" w:themeColor="text1"/>
                      <w:sz w:val="21"/>
                      <w:szCs w:val="21"/>
                      <w:lang w:val="en-US"/>
                      <w14:textFill>
                        <w14:solidFill>
                          <w14:schemeClr w14:val="tx1"/>
                        </w14:solidFill>
                      </w14:textFill>
                    </w:rPr>
                    <w:t>Ⅲ</w:t>
                  </w:r>
                  <w:r>
                    <w:rPr>
                      <w:rFonts w:hint="eastAsia"/>
                      <w:color w:val="000000" w:themeColor="text1"/>
                      <w:sz w:val="21"/>
                      <w:szCs w:val="21"/>
                      <w:lang w:val="en-US"/>
                      <w14:textFill>
                        <w14:solidFill>
                          <w14:schemeClr w14:val="tx1"/>
                        </w14:solidFill>
                      </w14:textFill>
                    </w:rPr>
                    <w:t>类标准</w:t>
                  </w:r>
                </w:p>
              </w:tc>
            </w:tr>
            <w:tr w14:paraId="5A2C3F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69" w:type="pct"/>
                  <w:vMerge w:val="continue"/>
                  <w:vAlign w:val="center"/>
                </w:tcPr>
                <w:p w14:paraId="04E778DA">
                  <w:pPr>
                    <w:pStyle w:val="71"/>
                    <w:adjustRightInd w:val="0"/>
                    <w:spacing w:line="240" w:lineRule="auto"/>
                    <w:ind w:firstLine="0" w:firstLineChars="0"/>
                    <w:jc w:val="center"/>
                    <w:rPr>
                      <w:color w:val="000000" w:themeColor="text1"/>
                      <w:sz w:val="21"/>
                      <w:szCs w:val="21"/>
                      <w14:textFill>
                        <w14:solidFill>
                          <w14:schemeClr w14:val="tx1"/>
                        </w14:solidFill>
                      </w14:textFill>
                    </w:rPr>
                  </w:pPr>
                </w:p>
              </w:tc>
              <w:tc>
                <w:tcPr>
                  <w:tcW w:w="548" w:type="pct"/>
                  <w:gridSpan w:val="2"/>
                  <w:vAlign w:val="center"/>
                </w:tcPr>
                <w:p w14:paraId="38BD3303">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土壤</w:t>
                  </w:r>
                </w:p>
              </w:tc>
              <w:tc>
                <w:tcPr>
                  <w:tcW w:w="2152" w:type="pct"/>
                  <w:vAlign w:val="center"/>
                </w:tcPr>
                <w:p w14:paraId="743556FB">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开展土壤跟踪监测（每年1次），监测指标</w:t>
                  </w:r>
                  <w:r>
                    <w:rPr>
                      <w:rFonts w:hint="eastAsia" w:ascii="宋体" w:hAnsi="宋体" w:cs="宋体"/>
                      <w:color w:val="000000" w:themeColor="text1"/>
                      <w:kern w:val="0"/>
                      <w:sz w:val="21"/>
                      <w:szCs w:val="21"/>
                      <w:lang w:val="en-US" w:bidi="ar"/>
                      <w14:textFill>
                        <w14:solidFill>
                          <w14:schemeClr w14:val="tx1"/>
                        </w14:solidFill>
                      </w14:textFill>
                    </w:rPr>
                    <w:t>pH、氟化物、镉、汞、砷、硒、铅、铬、铜、镍、锌</w:t>
                  </w:r>
                </w:p>
              </w:tc>
              <w:tc>
                <w:tcPr>
                  <w:tcW w:w="2030" w:type="pct"/>
                  <w:vAlign w:val="center"/>
                </w:tcPr>
                <w:p w14:paraId="652911B4">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满足《土壤环境质量建设用地土壤污染风险管控标准（试行）》（</w:t>
                  </w:r>
                  <w:r>
                    <w:rPr>
                      <w:color w:val="000000" w:themeColor="text1"/>
                      <w:sz w:val="21"/>
                      <w:szCs w:val="21"/>
                      <w:lang w:val="en-US"/>
                      <w14:textFill>
                        <w14:solidFill>
                          <w14:schemeClr w14:val="tx1"/>
                        </w14:solidFill>
                      </w14:textFill>
                    </w:rPr>
                    <w:t>GB36600-2018</w:t>
                  </w:r>
                  <w:r>
                    <w:rPr>
                      <w:rFonts w:hint="eastAsia"/>
                      <w:color w:val="000000" w:themeColor="text1"/>
                      <w:sz w:val="21"/>
                      <w:szCs w:val="21"/>
                      <w:lang w:val="en-US"/>
                      <w14:textFill>
                        <w14:solidFill>
                          <w14:schemeClr w14:val="tx1"/>
                        </w14:solidFill>
                      </w14:textFill>
                    </w:rPr>
                    <w:t>）和《土壤环境质量农用地土壤污染风险管控标准（试行）》（</w:t>
                  </w:r>
                  <w:r>
                    <w:rPr>
                      <w:color w:val="000000" w:themeColor="text1"/>
                      <w:sz w:val="21"/>
                      <w:szCs w:val="21"/>
                      <w:lang w:val="en-US"/>
                      <w14:textFill>
                        <w14:solidFill>
                          <w14:schemeClr w14:val="tx1"/>
                        </w14:solidFill>
                      </w14:textFill>
                    </w:rPr>
                    <w:t>GB15618-2018</w:t>
                  </w:r>
                  <w:r>
                    <w:rPr>
                      <w:rFonts w:hint="eastAsia"/>
                      <w:color w:val="000000" w:themeColor="text1"/>
                      <w:sz w:val="21"/>
                      <w:szCs w:val="21"/>
                      <w:lang w:val="en-US"/>
                      <w14:textFill>
                        <w14:solidFill>
                          <w14:schemeClr w14:val="tx1"/>
                        </w14:solidFill>
                      </w14:textFill>
                    </w:rPr>
                    <w:t>）中标准限值</w:t>
                  </w:r>
                </w:p>
              </w:tc>
            </w:tr>
            <w:tr w14:paraId="4B371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pct"/>
                  <w:gridSpan w:val="3"/>
                  <w:vMerge w:val="restart"/>
                  <w:vAlign w:val="center"/>
                </w:tcPr>
                <w:p w14:paraId="60120ACD">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其他</w:t>
                  </w:r>
                </w:p>
              </w:tc>
              <w:tc>
                <w:tcPr>
                  <w:tcW w:w="2152" w:type="pct"/>
                  <w:vAlign w:val="center"/>
                </w:tcPr>
                <w:p w14:paraId="2144A251">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监理报告详细内容</w:t>
                  </w:r>
                </w:p>
              </w:tc>
              <w:tc>
                <w:tcPr>
                  <w:tcW w:w="2030" w:type="pct"/>
                  <w:vAlign w:val="center"/>
                </w:tcPr>
                <w:p w14:paraId="22E757A3">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提供月报、季报、总结报告</w:t>
                  </w:r>
                </w:p>
              </w:tc>
            </w:tr>
            <w:tr w14:paraId="730D1D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pct"/>
                  <w:gridSpan w:val="3"/>
                  <w:vMerge w:val="continue"/>
                  <w:vAlign w:val="center"/>
                </w:tcPr>
                <w:p w14:paraId="12DF256F">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2152" w:type="pct"/>
                  <w:vAlign w:val="center"/>
                </w:tcPr>
                <w:p w14:paraId="75ADE9CA">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编制突发环境事件应急预案</w:t>
                  </w:r>
                </w:p>
              </w:tc>
              <w:tc>
                <w:tcPr>
                  <w:tcW w:w="2030" w:type="pct"/>
                  <w:vAlign w:val="center"/>
                </w:tcPr>
                <w:p w14:paraId="3070FA4C">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进行备案</w:t>
                  </w:r>
                </w:p>
              </w:tc>
            </w:tr>
            <w:tr w14:paraId="7A3F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17" w:type="pct"/>
                  <w:gridSpan w:val="3"/>
                  <w:vMerge w:val="continue"/>
                  <w:vAlign w:val="center"/>
                </w:tcPr>
                <w:p w14:paraId="7178ED01">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p>
              </w:tc>
              <w:tc>
                <w:tcPr>
                  <w:tcW w:w="2152" w:type="pct"/>
                  <w:vAlign w:val="center"/>
                </w:tcPr>
                <w:p w14:paraId="40D9D8C1">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制定档案管理制度，并按照国家档案等法律法规进行整理与归档，永久保存</w:t>
                  </w:r>
                </w:p>
              </w:tc>
              <w:tc>
                <w:tcPr>
                  <w:tcW w:w="2030" w:type="pct"/>
                  <w:vAlign w:val="center"/>
                </w:tcPr>
                <w:p w14:paraId="0F9F8952">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制定档案并永久保持</w:t>
                  </w:r>
                </w:p>
              </w:tc>
            </w:tr>
          </w:tbl>
          <w:p w14:paraId="03D08970">
            <w:pPr>
              <w:pStyle w:val="71"/>
              <w:adjustRightInd w:val="0"/>
              <w:ind w:firstLine="496"/>
              <w:jc w:val="both"/>
              <w:rPr>
                <w:color w:val="000000" w:themeColor="text1"/>
                <w14:textFill>
                  <w14:solidFill>
                    <w14:schemeClr w14:val="tx1"/>
                  </w14:solidFill>
                </w14:textFill>
              </w:rPr>
            </w:pPr>
          </w:p>
        </w:tc>
      </w:tr>
      <w:tr w14:paraId="65FD1BF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53" w:type="dxa"/>
            <w:vAlign w:val="center"/>
          </w:tcPr>
          <w:p w14:paraId="5B4EE02C">
            <w:pPr>
              <w:adjustRightInd w:val="0"/>
              <w:snapToGrid w:val="0"/>
              <w:spacing w:line="240" w:lineRule="auto"/>
              <w:ind w:firstLine="0" w:firstLineChars="0"/>
              <w:jc w:val="center"/>
              <w:rPr>
                <w:bCs/>
                <w:spacing w:val="10"/>
                <w:szCs w:val="21"/>
              </w:rPr>
            </w:pPr>
            <w:r>
              <w:rPr>
                <w:rFonts w:hint="eastAsia"/>
                <w:bCs/>
                <w:szCs w:val="21"/>
              </w:rPr>
              <w:t>其他</w:t>
            </w:r>
          </w:p>
        </w:tc>
        <w:tc>
          <w:tcPr>
            <w:tcW w:w="8457" w:type="dxa"/>
            <w:vAlign w:val="center"/>
          </w:tcPr>
          <w:p w14:paraId="764BAA80">
            <w:pPr>
              <w:widowControl/>
              <w:adjustRightInd w:val="0"/>
              <w:snapToGrid w:val="0"/>
              <w:ind w:firstLine="482"/>
              <w:rPr>
                <w:b/>
                <w:bCs/>
                <w:kern w:val="0"/>
                <w:lang w:bidi="ar"/>
              </w:rPr>
            </w:pPr>
            <w:r>
              <w:rPr>
                <w:rFonts w:hint="eastAsia"/>
                <w:b/>
                <w:bCs/>
                <w:kern w:val="0"/>
                <w:lang w:bidi="ar"/>
              </w:rPr>
              <w:t>1、施工期监理计划</w:t>
            </w:r>
          </w:p>
          <w:p w14:paraId="678FCC5E">
            <w:pPr>
              <w:widowControl/>
              <w:adjustRightInd w:val="0"/>
              <w:snapToGrid w:val="0"/>
              <w:ind w:firstLine="480"/>
              <w:rPr>
                <w:kern w:val="0"/>
                <w:lang w:bidi="ar"/>
              </w:rPr>
            </w:pPr>
            <w:r>
              <w:rPr>
                <w:rFonts w:hint="eastAsia"/>
                <w:kern w:val="0"/>
                <w:lang w:bidi="ar"/>
              </w:rPr>
              <w:t>按照工程建设管理的要求，建设单位必须对每个建设工程委托有资质的施工监理机构实施监理工作，施工监理机构必须配备相应的环境监理工程师，其主要负责监理施工过程中的环保措施执行情况，本项目施工期间环境监理计划详见下表。</w:t>
            </w:r>
          </w:p>
          <w:p w14:paraId="3F07317E">
            <w:pPr>
              <w:keepNext/>
              <w:keepLines/>
              <w:tabs>
                <w:tab w:val="left" w:pos="420"/>
              </w:tabs>
              <w:adjustRightInd w:val="0"/>
              <w:snapToGrid w:val="0"/>
              <w:spacing w:line="240" w:lineRule="auto"/>
              <w:ind w:firstLine="0" w:firstLineChars="0"/>
              <w:jc w:val="center"/>
              <w:textAlignment w:val="baseline"/>
              <w:rPr>
                <w:b/>
                <w:bCs/>
                <w:kern w:val="0"/>
                <w:sz w:val="24"/>
                <w:szCs w:val="24"/>
                <w:lang w:bidi="ar"/>
              </w:rPr>
            </w:pPr>
            <w:r>
              <w:rPr>
                <w:rFonts w:hint="eastAsia"/>
                <w:b/>
                <w:bCs/>
                <w:kern w:val="0"/>
                <w:sz w:val="24"/>
                <w:szCs w:val="24"/>
                <w:lang w:bidi="ar"/>
              </w:rPr>
              <w:t>表5-</w:t>
            </w:r>
            <w:r>
              <w:rPr>
                <w:rFonts w:hint="eastAsia"/>
                <w:b/>
                <w:bCs/>
                <w:kern w:val="0"/>
                <w:sz w:val="24"/>
                <w:szCs w:val="24"/>
                <w:lang w:val="en-US" w:eastAsia="zh-CN" w:bidi="ar"/>
              </w:rPr>
              <w:t xml:space="preserve">3  </w:t>
            </w:r>
            <w:r>
              <w:rPr>
                <w:rFonts w:hint="eastAsia"/>
                <w:b/>
                <w:bCs/>
                <w:kern w:val="0"/>
                <w:sz w:val="24"/>
                <w:szCs w:val="24"/>
                <w:lang w:bidi="ar"/>
              </w:rPr>
              <w:t>施工期环境监理计划一览表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7"/>
              <w:gridCol w:w="2730"/>
              <w:gridCol w:w="4139"/>
              <w:gridCol w:w="391"/>
              <w:gridCol w:w="504"/>
            </w:tblGrid>
            <w:tr w14:paraId="30754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Align w:val="center"/>
                </w:tcPr>
                <w:p w14:paraId="60EB0699">
                  <w:pPr>
                    <w:keepNext/>
                    <w:keepLines/>
                    <w:spacing w:line="240" w:lineRule="auto"/>
                    <w:ind w:firstLine="0" w:firstLineChars="0"/>
                    <w:jc w:val="center"/>
                    <w:rPr>
                      <w:b/>
                      <w:bCs/>
                      <w:sz w:val="21"/>
                      <w:szCs w:val="21"/>
                    </w:rPr>
                  </w:pPr>
                  <w:r>
                    <w:rPr>
                      <w:rFonts w:hint="eastAsia"/>
                      <w:b/>
                      <w:bCs/>
                      <w:sz w:val="21"/>
                      <w:szCs w:val="21"/>
                    </w:rPr>
                    <w:t>监理项目</w:t>
                  </w:r>
                </w:p>
              </w:tc>
              <w:tc>
                <w:tcPr>
                  <w:tcW w:w="2730" w:type="dxa"/>
                  <w:vAlign w:val="center"/>
                </w:tcPr>
                <w:p w14:paraId="1EF5F756">
                  <w:pPr>
                    <w:keepNext/>
                    <w:keepLines/>
                    <w:spacing w:line="240" w:lineRule="auto"/>
                    <w:ind w:firstLine="0" w:firstLineChars="0"/>
                    <w:jc w:val="center"/>
                    <w:rPr>
                      <w:b/>
                      <w:bCs/>
                      <w:sz w:val="21"/>
                      <w:szCs w:val="21"/>
                    </w:rPr>
                  </w:pPr>
                  <w:r>
                    <w:rPr>
                      <w:rFonts w:hint="eastAsia"/>
                      <w:b/>
                      <w:bCs/>
                      <w:sz w:val="21"/>
                      <w:szCs w:val="21"/>
                    </w:rPr>
                    <w:t>处理措施</w:t>
                  </w:r>
                </w:p>
              </w:tc>
              <w:tc>
                <w:tcPr>
                  <w:tcW w:w="4139" w:type="dxa"/>
                  <w:vAlign w:val="center"/>
                </w:tcPr>
                <w:p w14:paraId="7A2AB238">
                  <w:pPr>
                    <w:keepNext/>
                    <w:keepLines/>
                    <w:spacing w:line="240" w:lineRule="auto"/>
                    <w:ind w:firstLine="0" w:firstLineChars="0"/>
                    <w:jc w:val="center"/>
                    <w:rPr>
                      <w:b/>
                      <w:bCs/>
                      <w:sz w:val="21"/>
                      <w:szCs w:val="21"/>
                    </w:rPr>
                  </w:pPr>
                  <w:r>
                    <w:rPr>
                      <w:rFonts w:hint="eastAsia"/>
                      <w:b/>
                      <w:bCs/>
                      <w:sz w:val="21"/>
                      <w:szCs w:val="21"/>
                    </w:rPr>
                    <w:t>监理标准</w:t>
                  </w:r>
                </w:p>
              </w:tc>
              <w:tc>
                <w:tcPr>
                  <w:tcW w:w="391" w:type="dxa"/>
                  <w:vAlign w:val="center"/>
                </w:tcPr>
                <w:p w14:paraId="1C86EB77">
                  <w:pPr>
                    <w:keepNext/>
                    <w:keepLines/>
                    <w:spacing w:line="240" w:lineRule="auto"/>
                    <w:ind w:firstLine="0" w:firstLineChars="0"/>
                    <w:jc w:val="center"/>
                    <w:rPr>
                      <w:b/>
                      <w:bCs/>
                      <w:sz w:val="21"/>
                      <w:szCs w:val="21"/>
                    </w:rPr>
                  </w:pPr>
                  <w:r>
                    <w:rPr>
                      <w:rFonts w:hint="eastAsia"/>
                      <w:b/>
                      <w:bCs/>
                      <w:sz w:val="21"/>
                      <w:szCs w:val="21"/>
                    </w:rPr>
                    <w:t>执行单位</w:t>
                  </w:r>
                </w:p>
              </w:tc>
              <w:tc>
                <w:tcPr>
                  <w:tcW w:w="504" w:type="dxa"/>
                  <w:vAlign w:val="center"/>
                </w:tcPr>
                <w:p w14:paraId="0119712B">
                  <w:pPr>
                    <w:keepNext/>
                    <w:keepLines/>
                    <w:spacing w:line="240" w:lineRule="auto"/>
                    <w:ind w:firstLine="0" w:firstLineChars="0"/>
                    <w:jc w:val="center"/>
                    <w:rPr>
                      <w:b/>
                      <w:bCs/>
                      <w:sz w:val="21"/>
                      <w:szCs w:val="21"/>
                    </w:rPr>
                  </w:pPr>
                  <w:r>
                    <w:rPr>
                      <w:rFonts w:hint="eastAsia"/>
                      <w:b/>
                      <w:bCs/>
                      <w:sz w:val="21"/>
                      <w:szCs w:val="21"/>
                    </w:rPr>
                    <w:t>监管部门</w:t>
                  </w:r>
                </w:p>
              </w:tc>
            </w:tr>
            <w:tr w14:paraId="161517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Align w:val="center"/>
                </w:tcPr>
                <w:p w14:paraId="72BC7C78">
                  <w:pPr>
                    <w:keepNext/>
                    <w:keepLines/>
                    <w:spacing w:line="240" w:lineRule="auto"/>
                    <w:ind w:firstLine="0" w:firstLineChars="0"/>
                    <w:jc w:val="center"/>
                    <w:rPr>
                      <w:sz w:val="21"/>
                      <w:szCs w:val="21"/>
                    </w:rPr>
                  </w:pPr>
                  <w:r>
                    <w:rPr>
                      <w:rFonts w:hint="eastAsia"/>
                      <w:sz w:val="21"/>
                      <w:szCs w:val="21"/>
                    </w:rPr>
                    <w:t>废气</w:t>
                  </w:r>
                </w:p>
              </w:tc>
              <w:tc>
                <w:tcPr>
                  <w:tcW w:w="2730" w:type="dxa"/>
                  <w:vAlign w:val="center"/>
                </w:tcPr>
                <w:p w14:paraId="15F89949">
                  <w:pPr>
                    <w:widowControl/>
                    <w:spacing w:line="240" w:lineRule="auto"/>
                    <w:ind w:firstLine="0" w:firstLineChars="0"/>
                    <w:jc w:val="left"/>
                    <w:rPr>
                      <w:sz w:val="21"/>
                      <w:szCs w:val="21"/>
                    </w:rPr>
                  </w:pPr>
                  <w:r>
                    <w:rPr>
                      <w:rFonts w:hint="eastAsia" w:ascii="宋体" w:hAnsi="宋体" w:cs="宋体"/>
                      <w:kern w:val="0"/>
                      <w:sz w:val="21"/>
                      <w:szCs w:val="21"/>
                      <w:lang w:bidi="ar"/>
                    </w:rPr>
                    <w:t>1、项目拟配置洒水车1辆，对修复区施工面进行洒水降尘，在大风天、干燥天气，适当增加洒水频次；</w:t>
                  </w:r>
                </w:p>
                <w:p w14:paraId="53B59592">
                  <w:pPr>
                    <w:widowControl/>
                    <w:spacing w:line="240" w:lineRule="auto"/>
                    <w:ind w:firstLine="0" w:firstLineChars="0"/>
                    <w:jc w:val="left"/>
                    <w:rPr>
                      <w:sz w:val="21"/>
                      <w:szCs w:val="21"/>
                    </w:rPr>
                  </w:pPr>
                  <w:r>
                    <w:rPr>
                      <w:rFonts w:hint="eastAsia" w:ascii="宋体" w:hAnsi="宋体" w:cs="宋体"/>
                      <w:kern w:val="0"/>
                      <w:sz w:val="21"/>
                      <w:szCs w:val="21"/>
                      <w:lang w:bidi="ar"/>
                    </w:rPr>
                    <w:t>2、运输车辆须以篷布遮盖，密闭运输，并注意控制车速；</w:t>
                  </w:r>
                </w:p>
              </w:tc>
              <w:tc>
                <w:tcPr>
                  <w:tcW w:w="4139" w:type="dxa"/>
                  <w:vAlign w:val="center"/>
                </w:tcPr>
                <w:p w14:paraId="79B60B87">
                  <w:pPr>
                    <w:widowControl/>
                    <w:spacing w:line="240" w:lineRule="auto"/>
                    <w:ind w:firstLine="0" w:firstLineChars="0"/>
                    <w:jc w:val="left"/>
                    <w:rPr>
                      <w:sz w:val="21"/>
                      <w:szCs w:val="21"/>
                    </w:rPr>
                  </w:pPr>
                  <w:r>
                    <w:rPr>
                      <w:rFonts w:hint="eastAsia" w:ascii="宋体" w:hAnsi="宋体" w:cs="宋体"/>
                      <w:kern w:val="0"/>
                      <w:sz w:val="21"/>
                      <w:szCs w:val="21"/>
                      <w:lang w:bidi="ar"/>
                    </w:rPr>
                    <w:t>每季度对区域大气环境质量进行监测，监测指标颗粒物，监测结果满足《大气污染物综合排放标准》（</w:t>
                  </w:r>
                  <w:r>
                    <w:rPr>
                      <w:rFonts w:ascii="宋体" w:hAnsi="宋体" w:cs="宋体"/>
                      <w:kern w:val="0"/>
                      <w:sz w:val="21"/>
                      <w:szCs w:val="21"/>
                      <w:lang w:bidi="ar"/>
                    </w:rPr>
                    <w:t>GB16297-1996</w:t>
                  </w:r>
                  <w:r>
                    <w:rPr>
                      <w:rFonts w:hint="eastAsia" w:ascii="宋体" w:hAnsi="宋体" w:cs="宋体"/>
                      <w:kern w:val="0"/>
                      <w:sz w:val="21"/>
                      <w:szCs w:val="21"/>
                      <w:lang w:bidi="ar"/>
                    </w:rPr>
                    <w:t>）无组织排放监控浓度限值</w:t>
                  </w:r>
                </w:p>
              </w:tc>
              <w:tc>
                <w:tcPr>
                  <w:tcW w:w="391" w:type="dxa"/>
                  <w:vMerge w:val="restart"/>
                  <w:vAlign w:val="center"/>
                </w:tcPr>
                <w:p w14:paraId="332D480F">
                  <w:pPr>
                    <w:keepNext/>
                    <w:keepLines/>
                    <w:spacing w:line="240" w:lineRule="auto"/>
                    <w:ind w:firstLine="0" w:firstLineChars="0"/>
                    <w:jc w:val="center"/>
                    <w:rPr>
                      <w:sz w:val="21"/>
                      <w:szCs w:val="21"/>
                    </w:rPr>
                  </w:pPr>
                  <w:r>
                    <w:rPr>
                      <w:rFonts w:hint="eastAsia"/>
                      <w:sz w:val="21"/>
                      <w:szCs w:val="21"/>
                    </w:rPr>
                    <w:t>建设单位</w:t>
                  </w:r>
                </w:p>
              </w:tc>
              <w:tc>
                <w:tcPr>
                  <w:tcW w:w="504" w:type="dxa"/>
                  <w:vMerge w:val="restart"/>
                  <w:vAlign w:val="center"/>
                </w:tcPr>
                <w:p w14:paraId="1952FB08">
                  <w:pPr>
                    <w:keepNext/>
                    <w:keepLines/>
                    <w:spacing w:line="240" w:lineRule="auto"/>
                    <w:ind w:firstLine="0" w:firstLineChars="0"/>
                    <w:jc w:val="center"/>
                    <w:rPr>
                      <w:sz w:val="21"/>
                      <w:szCs w:val="21"/>
                    </w:rPr>
                  </w:pPr>
                  <w:r>
                    <w:rPr>
                      <w:rFonts w:hint="eastAsia"/>
                      <w:sz w:val="21"/>
                      <w:szCs w:val="21"/>
                    </w:rPr>
                    <w:t>环境监察部门</w:t>
                  </w:r>
                </w:p>
              </w:tc>
            </w:tr>
            <w:tr w14:paraId="630C80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restart"/>
                  <w:vAlign w:val="center"/>
                </w:tcPr>
                <w:p w14:paraId="6F889405">
                  <w:pPr>
                    <w:keepNext/>
                    <w:keepLines/>
                    <w:spacing w:line="240" w:lineRule="auto"/>
                    <w:ind w:firstLine="0" w:firstLineChars="0"/>
                    <w:jc w:val="center"/>
                    <w:rPr>
                      <w:sz w:val="21"/>
                      <w:szCs w:val="21"/>
                    </w:rPr>
                  </w:pPr>
                  <w:r>
                    <w:rPr>
                      <w:rFonts w:hint="eastAsia"/>
                      <w:sz w:val="21"/>
                      <w:szCs w:val="21"/>
                    </w:rPr>
                    <w:t>废水</w:t>
                  </w:r>
                </w:p>
              </w:tc>
              <w:tc>
                <w:tcPr>
                  <w:tcW w:w="2730" w:type="dxa"/>
                  <w:vAlign w:val="center"/>
                </w:tcPr>
                <w:p w14:paraId="064390C5">
                  <w:pPr>
                    <w:widowControl/>
                    <w:spacing w:line="240" w:lineRule="auto"/>
                    <w:ind w:firstLine="0" w:firstLineChars="0"/>
                    <w:jc w:val="left"/>
                    <w:rPr>
                      <w:rFonts w:hint="eastAsia" w:ascii="宋体" w:hAnsi="宋体" w:cs="宋体"/>
                      <w:kern w:val="0"/>
                      <w:sz w:val="21"/>
                      <w:szCs w:val="21"/>
                      <w:lang w:bidi="ar"/>
                    </w:rPr>
                  </w:pPr>
                  <w:r>
                    <w:rPr>
                      <w:rFonts w:hint="eastAsia" w:ascii="宋体" w:hAnsi="宋体" w:cs="宋体"/>
                      <w:kern w:val="0"/>
                      <w:sz w:val="21"/>
                      <w:szCs w:val="21"/>
                      <w:lang w:bidi="ar"/>
                    </w:rPr>
                    <w:t>回填修复区各级分台区内侧设置截排水沟。</w:t>
                  </w:r>
                </w:p>
              </w:tc>
              <w:tc>
                <w:tcPr>
                  <w:tcW w:w="4139" w:type="dxa"/>
                  <w:vAlign w:val="center"/>
                </w:tcPr>
                <w:p w14:paraId="4635A916">
                  <w:pPr>
                    <w:widowControl/>
                    <w:spacing w:line="240" w:lineRule="auto"/>
                    <w:ind w:firstLine="0" w:firstLineChars="0"/>
                    <w:jc w:val="left"/>
                    <w:rPr>
                      <w:rFonts w:hint="eastAsia" w:ascii="宋体" w:hAnsi="宋体" w:cs="宋体"/>
                      <w:kern w:val="0"/>
                      <w:sz w:val="21"/>
                      <w:szCs w:val="21"/>
                      <w:lang w:bidi="ar"/>
                    </w:rPr>
                  </w:pPr>
                  <w:r>
                    <w:rPr>
                      <w:rFonts w:hint="eastAsia" w:ascii="宋体" w:hAnsi="宋体" w:cs="宋体"/>
                      <w:kern w:val="0"/>
                      <w:sz w:val="21"/>
                      <w:szCs w:val="21"/>
                      <w:lang w:bidi="ar"/>
                    </w:rPr>
                    <w:t>回填修复区各级分台区内侧设置截排水沟。</w:t>
                  </w:r>
                </w:p>
              </w:tc>
              <w:tc>
                <w:tcPr>
                  <w:tcW w:w="391" w:type="dxa"/>
                  <w:vMerge w:val="continue"/>
                  <w:vAlign w:val="center"/>
                </w:tcPr>
                <w:p w14:paraId="5060F6F3">
                  <w:pPr>
                    <w:keepNext/>
                    <w:keepLines/>
                    <w:spacing w:line="240" w:lineRule="auto"/>
                    <w:ind w:firstLine="0" w:firstLineChars="0"/>
                    <w:jc w:val="center"/>
                    <w:rPr>
                      <w:sz w:val="21"/>
                      <w:szCs w:val="21"/>
                    </w:rPr>
                  </w:pPr>
                </w:p>
              </w:tc>
              <w:tc>
                <w:tcPr>
                  <w:tcW w:w="504" w:type="dxa"/>
                  <w:vMerge w:val="continue"/>
                  <w:vAlign w:val="center"/>
                </w:tcPr>
                <w:p w14:paraId="57A7F765">
                  <w:pPr>
                    <w:keepNext/>
                    <w:keepLines/>
                    <w:spacing w:line="240" w:lineRule="auto"/>
                    <w:ind w:firstLine="0" w:firstLineChars="0"/>
                    <w:jc w:val="center"/>
                    <w:rPr>
                      <w:sz w:val="21"/>
                      <w:szCs w:val="21"/>
                    </w:rPr>
                  </w:pPr>
                </w:p>
              </w:tc>
            </w:tr>
            <w:tr w14:paraId="60BDD1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vAlign w:val="center"/>
                </w:tcPr>
                <w:p w14:paraId="43EF005E">
                  <w:pPr>
                    <w:keepNext/>
                    <w:keepLines/>
                    <w:spacing w:line="240" w:lineRule="auto"/>
                    <w:ind w:firstLine="0" w:firstLineChars="0"/>
                    <w:jc w:val="center"/>
                    <w:rPr>
                      <w:sz w:val="21"/>
                      <w:szCs w:val="21"/>
                    </w:rPr>
                  </w:pPr>
                </w:p>
              </w:tc>
              <w:tc>
                <w:tcPr>
                  <w:tcW w:w="2730" w:type="dxa"/>
                  <w:vAlign w:val="center"/>
                </w:tcPr>
                <w:p w14:paraId="0B7D2E4A">
                  <w:pPr>
                    <w:widowControl/>
                    <w:spacing w:line="240" w:lineRule="auto"/>
                    <w:ind w:firstLine="0" w:firstLineChars="0"/>
                    <w:jc w:val="left"/>
                    <w:rPr>
                      <w:rFonts w:hint="eastAsia" w:ascii="宋体" w:hAnsi="宋体" w:cs="宋体"/>
                      <w:kern w:val="0"/>
                      <w:sz w:val="21"/>
                      <w:szCs w:val="21"/>
                      <w:lang w:bidi="ar"/>
                    </w:rPr>
                  </w:pPr>
                  <w:r>
                    <w:rPr>
                      <w:rFonts w:hint="eastAsia" w:ascii="宋体" w:hAnsi="宋体" w:cs="宋体"/>
                      <w:kern w:val="0"/>
                      <w:sz w:val="21"/>
                      <w:szCs w:val="21"/>
                      <w:lang w:bidi="ar"/>
                    </w:rPr>
                    <w:t>回填修复区排水沟，收集回填修复区渗滤液后排向下游渗滤液收集井。</w:t>
                  </w:r>
                </w:p>
              </w:tc>
              <w:tc>
                <w:tcPr>
                  <w:tcW w:w="4139" w:type="dxa"/>
                  <w:vAlign w:val="center"/>
                </w:tcPr>
                <w:p w14:paraId="3E2CF66B">
                  <w:pPr>
                    <w:widowControl/>
                    <w:spacing w:line="240" w:lineRule="auto"/>
                    <w:ind w:firstLine="0" w:firstLineChars="0"/>
                    <w:jc w:val="left"/>
                    <w:rPr>
                      <w:rFonts w:hint="eastAsia" w:ascii="宋体" w:hAnsi="宋体" w:cs="宋体"/>
                      <w:kern w:val="0"/>
                      <w:sz w:val="21"/>
                      <w:szCs w:val="21"/>
                      <w:lang w:bidi="ar"/>
                    </w:rPr>
                  </w:pPr>
                  <w:r>
                    <w:rPr>
                      <w:rFonts w:hint="eastAsia" w:ascii="宋体" w:hAnsi="宋体" w:cs="宋体"/>
                      <w:kern w:val="0"/>
                      <w:sz w:val="21"/>
                      <w:szCs w:val="21"/>
                      <w:lang w:bidi="ar"/>
                    </w:rPr>
                    <w:t>渗滤液收集后回用于洒水降尘。每季度对渗滤液进行检测。</w:t>
                  </w:r>
                </w:p>
              </w:tc>
              <w:tc>
                <w:tcPr>
                  <w:tcW w:w="391" w:type="dxa"/>
                  <w:vMerge w:val="continue"/>
                  <w:vAlign w:val="center"/>
                </w:tcPr>
                <w:p w14:paraId="7D8A02CF">
                  <w:pPr>
                    <w:keepNext/>
                    <w:keepLines/>
                    <w:spacing w:line="240" w:lineRule="auto"/>
                    <w:ind w:firstLine="0" w:firstLineChars="0"/>
                    <w:jc w:val="center"/>
                    <w:rPr>
                      <w:sz w:val="21"/>
                      <w:szCs w:val="21"/>
                    </w:rPr>
                  </w:pPr>
                </w:p>
              </w:tc>
              <w:tc>
                <w:tcPr>
                  <w:tcW w:w="504" w:type="dxa"/>
                  <w:vMerge w:val="continue"/>
                  <w:vAlign w:val="center"/>
                </w:tcPr>
                <w:p w14:paraId="58CA101A">
                  <w:pPr>
                    <w:keepNext/>
                    <w:keepLines/>
                    <w:spacing w:line="240" w:lineRule="auto"/>
                    <w:ind w:firstLine="0" w:firstLineChars="0"/>
                    <w:jc w:val="center"/>
                    <w:rPr>
                      <w:sz w:val="21"/>
                      <w:szCs w:val="21"/>
                    </w:rPr>
                  </w:pPr>
                </w:p>
              </w:tc>
            </w:tr>
            <w:tr w14:paraId="30C6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vAlign w:val="center"/>
                </w:tcPr>
                <w:p w14:paraId="6F85601C">
                  <w:pPr>
                    <w:keepNext/>
                    <w:keepLines/>
                    <w:spacing w:line="240" w:lineRule="auto"/>
                    <w:ind w:firstLine="0" w:firstLineChars="0"/>
                    <w:jc w:val="center"/>
                    <w:rPr>
                      <w:sz w:val="21"/>
                      <w:szCs w:val="21"/>
                    </w:rPr>
                  </w:pPr>
                </w:p>
              </w:tc>
              <w:tc>
                <w:tcPr>
                  <w:tcW w:w="2730" w:type="dxa"/>
                  <w:vAlign w:val="center"/>
                </w:tcPr>
                <w:p w14:paraId="50D02CD0">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防渗工程</w:t>
                  </w:r>
                </w:p>
              </w:tc>
              <w:tc>
                <w:tcPr>
                  <w:tcW w:w="4139" w:type="dxa"/>
                  <w:vAlign w:val="center"/>
                </w:tcPr>
                <w:p w14:paraId="1F4B1F4C">
                  <w:pPr>
                    <w:widowControl/>
                    <w:spacing w:line="240" w:lineRule="auto"/>
                    <w:ind w:firstLine="0" w:firstLineChars="0"/>
                    <w:jc w:val="left"/>
                    <w:rPr>
                      <w:rFonts w:hint="eastAsia" w:ascii="宋体" w:hAnsi="宋体" w:cs="宋体"/>
                      <w:kern w:val="0"/>
                      <w:sz w:val="21"/>
                      <w:szCs w:val="21"/>
                      <w:lang w:bidi="ar"/>
                    </w:rPr>
                  </w:pPr>
                  <w:r>
                    <w:rPr>
                      <w:rFonts w:hint="eastAsia" w:ascii="宋体" w:hAnsi="宋体" w:cs="宋体"/>
                      <w:kern w:val="0"/>
                      <w:sz w:val="21"/>
                      <w:szCs w:val="21"/>
                      <w:lang w:bidi="ar"/>
                    </w:rPr>
                    <w:t>1、防渗膜购买原生膜，防渗施工影像资料，施工记录，防渗膜购买合同，每批次的检验合格证。符合</w:t>
                  </w:r>
                  <w:r>
                    <w:rPr>
                      <w:rFonts w:hint="eastAsia"/>
                      <w:sz w:val="21"/>
                      <w:szCs w:val="21"/>
                    </w:rPr>
                    <w:t>《改性磷石膏用于矿山废弃地生态修复回填技术规范》（DB53/T1269-2024）</w:t>
                  </w:r>
                  <w:r>
                    <w:rPr>
                      <w:rFonts w:hint="eastAsia" w:ascii="宋体" w:hAnsi="宋体" w:cs="宋体"/>
                      <w:kern w:val="0"/>
                      <w:sz w:val="21"/>
                      <w:szCs w:val="21"/>
                      <w:lang w:bidi="ar"/>
                    </w:rPr>
                    <w:t>的要求，保存相关资料，作为竣工环保验收的依据。</w:t>
                  </w:r>
                </w:p>
                <w:p w14:paraId="712CED81">
                  <w:pPr>
                    <w:widowControl/>
                    <w:spacing w:line="240" w:lineRule="auto"/>
                    <w:ind w:firstLine="0" w:firstLineChars="0"/>
                    <w:jc w:val="left"/>
                    <w:rPr>
                      <w:rFonts w:hint="eastAsia" w:ascii="宋体" w:hAnsi="宋体" w:cs="宋体"/>
                      <w:kern w:val="0"/>
                      <w:sz w:val="21"/>
                      <w:szCs w:val="21"/>
                      <w:lang w:bidi="ar"/>
                    </w:rPr>
                  </w:pPr>
                  <w:r>
                    <w:rPr>
                      <w:rFonts w:hint="eastAsia" w:ascii="宋体" w:hAnsi="宋体" w:cs="宋体"/>
                      <w:kern w:val="0"/>
                      <w:sz w:val="21"/>
                      <w:szCs w:val="21"/>
                      <w:lang w:bidi="ar"/>
                    </w:rPr>
                    <w:t>2、对防渗工程质量、防渗漏监控系统设置情况、渗滤液导排、收集井建设情况等进行监理，并形成监理报告，作为项目验收的依据。</w:t>
                  </w:r>
                </w:p>
                <w:p w14:paraId="134B018E">
                  <w:pPr>
                    <w:widowControl/>
                    <w:spacing w:line="240" w:lineRule="auto"/>
                    <w:ind w:firstLine="0" w:firstLineChars="0"/>
                    <w:jc w:val="left"/>
                  </w:pPr>
                  <w:r>
                    <w:rPr>
                      <w:rFonts w:hint="eastAsia" w:ascii="宋体" w:hAnsi="宋体" w:cs="宋体"/>
                      <w:kern w:val="0"/>
                      <w:sz w:val="21"/>
                      <w:szCs w:val="21"/>
                      <w:lang w:bidi="ar"/>
                    </w:rPr>
                    <w:t>3、如工程场地发现岩溶裂隙、孔洞等不稳定基层或其他影响工程安全稳定性的问题，应及时采用回填、加固等相关措施进行处理，达到相关要求后方可进一步施工。</w:t>
                  </w:r>
                </w:p>
              </w:tc>
              <w:tc>
                <w:tcPr>
                  <w:tcW w:w="391" w:type="dxa"/>
                  <w:vMerge w:val="continue"/>
                  <w:vAlign w:val="center"/>
                </w:tcPr>
                <w:p w14:paraId="00EA2C00">
                  <w:pPr>
                    <w:keepNext/>
                    <w:keepLines/>
                    <w:spacing w:line="240" w:lineRule="auto"/>
                    <w:ind w:firstLine="0" w:firstLineChars="0"/>
                    <w:jc w:val="center"/>
                    <w:rPr>
                      <w:sz w:val="21"/>
                      <w:szCs w:val="21"/>
                    </w:rPr>
                  </w:pPr>
                </w:p>
              </w:tc>
              <w:tc>
                <w:tcPr>
                  <w:tcW w:w="504" w:type="dxa"/>
                  <w:vMerge w:val="continue"/>
                  <w:vAlign w:val="center"/>
                </w:tcPr>
                <w:p w14:paraId="58101E10">
                  <w:pPr>
                    <w:keepNext/>
                    <w:keepLines/>
                    <w:spacing w:line="240" w:lineRule="auto"/>
                    <w:ind w:firstLine="0" w:firstLineChars="0"/>
                    <w:jc w:val="center"/>
                    <w:rPr>
                      <w:sz w:val="21"/>
                      <w:szCs w:val="21"/>
                    </w:rPr>
                  </w:pPr>
                </w:p>
              </w:tc>
            </w:tr>
            <w:tr w14:paraId="70E665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vAlign w:val="center"/>
                </w:tcPr>
                <w:p w14:paraId="04E6029B">
                  <w:pPr>
                    <w:keepNext/>
                    <w:keepLines/>
                    <w:spacing w:line="240" w:lineRule="auto"/>
                    <w:ind w:firstLine="0" w:firstLineChars="0"/>
                    <w:jc w:val="center"/>
                    <w:rPr>
                      <w:sz w:val="21"/>
                      <w:szCs w:val="21"/>
                    </w:rPr>
                  </w:pPr>
                </w:p>
              </w:tc>
              <w:tc>
                <w:tcPr>
                  <w:tcW w:w="2730" w:type="dxa"/>
                  <w:vAlign w:val="center"/>
                </w:tcPr>
                <w:p w14:paraId="23DCD82D">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临时沉淀池（容积不小于3m³）</w:t>
                  </w:r>
                </w:p>
              </w:tc>
              <w:tc>
                <w:tcPr>
                  <w:tcW w:w="4139" w:type="dxa"/>
                  <w:vAlign w:val="center"/>
                </w:tcPr>
                <w:p w14:paraId="24A047A1">
                  <w:pPr>
                    <w:widowControl/>
                    <w:spacing w:line="240" w:lineRule="auto"/>
                    <w:ind w:firstLine="0" w:firstLineChars="0"/>
                    <w:jc w:val="left"/>
                    <w:rPr>
                      <w:rFonts w:hint="eastAsia" w:ascii="宋体" w:hAnsi="宋体" w:cs="宋体"/>
                      <w:kern w:val="0"/>
                      <w:sz w:val="21"/>
                      <w:szCs w:val="21"/>
                      <w:lang w:bidi="ar"/>
                    </w:rPr>
                  </w:pPr>
                  <w:r>
                    <w:rPr>
                      <w:rFonts w:hint="eastAsia" w:ascii="宋体" w:hAnsi="宋体" w:cs="宋体"/>
                      <w:kern w:val="0"/>
                      <w:sz w:val="21"/>
                      <w:szCs w:val="21"/>
                      <w:lang w:bidi="ar"/>
                    </w:rPr>
                    <w:t>施工期废水经临时沉淀池沉淀后回用于施工场地洒水降尘。</w:t>
                  </w:r>
                </w:p>
              </w:tc>
              <w:tc>
                <w:tcPr>
                  <w:tcW w:w="391" w:type="dxa"/>
                  <w:vMerge w:val="continue"/>
                  <w:vAlign w:val="center"/>
                </w:tcPr>
                <w:p w14:paraId="4532064E">
                  <w:pPr>
                    <w:keepNext/>
                    <w:keepLines/>
                    <w:spacing w:line="240" w:lineRule="auto"/>
                    <w:ind w:firstLine="0" w:firstLineChars="0"/>
                    <w:jc w:val="center"/>
                    <w:rPr>
                      <w:sz w:val="21"/>
                      <w:szCs w:val="21"/>
                    </w:rPr>
                  </w:pPr>
                </w:p>
              </w:tc>
              <w:tc>
                <w:tcPr>
                  <w:tcW w:w="504" w:type="dxa"/>
                  <w:vMerge w:val="continue"/>
                  <w:vAlign w:val="center"/>
                </w:tcPr>
                <w:p w14:paraId="2EDABD2C">
                  <w:pPr>
                    <w:keepNext/>
                    <w:keepLines/>
                    <w:spacing w:line="240" w:lineRule="auto"/>
                    <w:ind w:firstLine="0" w:firstLineChars="0"/>
                    <w:jc w:val="center"/>
                    <w:rPr>
                      <w:sz w:val="21"/>
                      <w:szCs w:val="21"/>
                    </w:rPr>
                  </w:pPr>
                </w:p>
              </w:tc>
            </w:tr>
            <w:tr w14:paraId="78371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Align w:val="center"/>
                </w:tcPr>
                <w:p w14:paraId="65798FF2">
                  <w:pPr>
                    <w:keepNext/>
                    <w:keepLines/>
                    <w:spacing w:line="240" w:lineRule="auto"/>
                    <w:ind w:firstLine="0" w:firstLineChars="0"/>
                    <w:jc w:val="center"/>
                    <w:rPr>
                      <w:sz w:val="21"/>
                      <w:szCs w:val="21"/>
                    </w:rPr>
                  </w:pPr>
                  <w:r>
                    <w:rPr>
                      <w:rFonts w:hint="eastAsia"/>
                      <w:sz w:val="21"/>
                      <w:szCs w:val="21"/>
                    </w:rPr>
                    <w:t>改性磷石膏</w:t>
                  </w:r>
                </w:p>
              </w:tc>
              <w:tc>
                <w:tcPr>
                  <w:tcW w:w="2730" w:type="dxa"/>
                  <w:vAlign w:val="center"/>
                </w:tcPr>
                <w:p w14:paraId="3CBD1E91">
                  <w:pPr>
                    <w:widowControl/>
                    <w:spacing w:line="240" w:lineRule="auto"/>
                    <w:ind w:firstLine="0" w:firstLineChars="0"/>
                    <w:jc w:val="left"/>
                    <w:rPr>
                      <w:rFonts w:hint="eastAsia" w:ascii="宋体" w:hAnsi="宋体" w:cs="宋体"/>
                      <w:kern w:val="0"/>
                      <w:sz w:val="21"/>
                      <w:szCs w:val="21"/>
                      <w:lang w:bidi="ar"/>
                    </w:rPr>
                  </w:pPr>
                  <w:r>
                    <w:rPr>
                      <w:rFonts w:hint="eastAsia" w:ascii="宋体" w:hAnsi="宋体" w:cs="宋体"/>
                      <w:kern w:val="0"/>
                      <w:sz w:val="21"/>
                      <w:szCs w:val="21"/>
                      <w:lang w:bidi="ar"/>
                    </w:rPr>
                    <w:t>设专人管理改性磷石膏生态修复材料，收集检测报告，确保生态修复材料满足回填要求，禁止回填不合格材料。</w:t>
                  </w:r>
                </w:p>
              </w:tc>
              <w:tc>
                <w:tcPr>
                  <w:tcW w:w="4139" w:type="dxa"/>
                  <w:vAlign w:val="center"/>
                </w:tcPr>
                <w:p w14:paraId="25402169">
                  <w:pPr>
                    <w:widowControl/>
                    <w:spacing w:line="240" w:lineRule="auto"/>
                    <w:ind w:firstLine="0" w:firstLineChars="0"/>
                    <w:jc w:val="left"/>
                    <w:rPr>
                      <w:rFonts w:hint="eastAsia" w:ascii="宋体" w:hAnsi="宋体" w:cs="宋体"/>
                      <w:kern w:val="0"/>
                      <w:sz w:val="21"/>
                      <w:szCs w:val="21"/>
                      <w:lang w:bidi="ar"/>
                    </w:rPr>
                  </w:pPr>
                  <w:r>
                    <w:rPr>
                      <w:rFonts w:hint="eastAsia" w:ascii="宋体" w:hAnsi="宋体" w:cs="宋体"/>
                      <w:kern w:val="0"/>
                      <w:sz w:val="21"/>
                      <w:szCs w:val="21"/>
                      <w:lang w:bidi="ar"/>
                    </w:rPr>
                    <w:t>对每一批次改性磷石膏进行检测，检测要求、检测结果</w:t>
                  </w:r>
                  <w:r>
                    <w:rPr>
                      <w:rFonts w:hint="eastAsia"/>
                      <w:sz w:val="21"/>
                      <w:szCs w:val="21"/>
                    </w:rPr>
                    <w:t>满足《改性磷石膏用于矿山废弃地生态修复回填技术规范》（DB53/T1269-2024）、《磷石膏的处理处置规范》（GB/T 32124-2024）相关要求。</w:t>
                  </w:r>
                </w:p>
              </w:tc>
              <w:tc>
                <w:tcPr>
                  <w:tcW w:w="391" w:type="dxa"/>
                  <w:vMerge w:val="continue"/>
                  <w:vAlign w:val="center"/>
                </w:tcPr>
                <w:p w14:paraId="595ACDBE">
                  <w:pPr>
                    <w:keepNext/>
                    <w:keepLines/>
                    <w:spacing w:line="240" w:lineRule="auto"/>
                    <w:ind w:firstLine="0" w:firstLineChars="0"/>
                    <w:jc w:val="center"/>
                    <w:rPr>
                      <w:sz w:val="21"/>
                      <w:szCs w:val="21"/>
                    </w:rPr>
                  </w:pPr>
                </w:p>
              </w:tc>
              <w:tc>
                <w:tcPr>
                  <w:tcW w:w="504" w:type="dxa"/>
                  <w:vMerge w:val="continue"/>
                  <w:vAlign w:val="center"/>
                </w:tcPr>
                <w:p w14:paraId="5807062F">
                  <w:pPr>
                    <w:keepNext/>
                    <w:keepLines/>
                    <w:spacing w:line="240" w:lineRule="auto"/>
                    <w:ind w:firstLine="0" w:firstLineChars="0"/>
                    <w:jc w:val="center"/>
                    <w:rPr>
                      <w:sz w:val="21"/>
                      <w:szCs w:val="21"/>
                    </w:rPr>
                  </w:pPr>
                </w:p>
              </w:tc>
            </w:tr>
            <w:tr w14:paraId="495B1A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Align w:val="center"/>
                </w:tcPr>
                <w:p w14:paraId="448BCB5E">
                  <w:pPr>
                    <w:keepNext/>
                    <w:keepLines/>
                    <w:spacing w:line="240" w:lineRule="auto"/>
                    <w:ind w:firstLine="0" w:firstLineChars="0"/>
                    <w:jc w:val="center"/>
                    <w:rPr>
                      <w:sz w:val="21"/>
                      <w:szCs w:val="21"/>
                    </w:rPr>
                  </w:pPr>
                  <w:r>
                    <w:rPr>
                      <w:rFonts w:hint="eastAsia"/>
                      <w:sz w:val="21"/>
                      <w:szCs w:val="21"/>
                    </w:rPr>
                    <w:t>噪声</w:t>
                  </w:r>
                </w:p>
              </w:tc>
              <w:tc>
                <w:tcPr>
                  <w:tcW w:w="2730" w:type="dxa"/>
                  <w:vAlign w:val="center"/>
                </w:tcPr>
                <w:p w14:paraId="2315AD40">
                  <w:pPr>
                    <w:widowControl/>
                    <w:spacing w:line="240" w:lineRule="auto"/>
                    <w:ind w:firstLine="0" w:firstLineChars="0"/>
                    <w:jc w:val="left"/>
                    <w:rPr>
                      <w:rFonts w:hint="eastAsia" w:ascii="宋体" w:hAnsi="宋体" w:cs="宋体"/>
                      <w:kern w:val="0"/>
                      <w:sz w:val="21"/>
                      <w:szCs w:val="21"/>
                      <w:lang w:bidi="ar"/>
                    </w:rPr>
                  </w:pPr>
                  <w:r>
                    <w:rPr>
                      <w:rFonts w:hint="eastAsia" w:ascii="宋体" w:hAnsi="宋体" w:cs="宋体"/>
                      <w:kern w:val="0"/>
                      <w:sz w:val="21"/>
                      <w:szCs w:val="21"/>
                      <w:lang w:bidi="ar"/>
                    </w:rPr>
                    <w:t>使用低噪声设备、分时段、夜间禁止施工、施工现场周围加围护、距离衰减等。</w:t>
                  </w:r>
                </w:p>
              </w:tc>
              <w:tc>
                <w:tcPr>
                  <w:tcW w:w="4139" w:type="dxa"/>
                  <w:vAlign w:val="center"/>
                </w:tcPr>
                <w:p w14:paraId="2E0A4110">
                  <w:pPr>
                    <w:widowControl/>
                    <w:spacing w:line="240" w:lineRule="auto"/>
                    <w:ind w:firstLine="0" w:firstLineChars="0"/>
                    <w:jc w:val="left"/>
                    <w:rPr>
                      <w:rFonts w:hint="eastAsia" w:ascii="宋体" w:hAnsi="宋体" w:cs="宋体"/>
                      <w:kern w:val="0"/>
                      <w:sz w:val="21"/>
                      <w:szCs w:val="21"/>
                      <w:lang w:bidi="ar"/>
                    </w:rPr>
                  </w:pPr>
                  <w:r>
                    <w:rPr>
                      <w:rFonts w:hint="eastAsia" w:ascii="宋体" w:hAnsi="宋体" w:cs="宋体"/>
                      <w:kern w:val="0"/>
                      <w:sz w:val="21"/>
                      <w:szCs w:val="21"/>
                      <w:lang w:bidi="ar"/>
                    </w:rPr>
                    <w:t>每月对施工场界周边进行监测，监测结果满足《建筑施工场界环境噪声排放标准》（</w:t>
                  </w:r>
                  <w:r>
                    <w:rPr>
                      <w:rFonts w:ascii="宋体" w:hAnsi="宋体" w:cs="宋体"/>
                      <w:kern w:val="0"/>
                      <w:sz w:val="21"/>
                      <w:szCs w:val="21"/>
                      <w:lang w:bidi="ar"/>
                    </w:rPr>
                    <w:t>GB12523-2011</w:t>
                  </w:r>
                  <w:r>
                    <w:rPr>
                      <w:rFonts w:hint="eastAsia" w:ascii="宋体" w:hAnsi="宋体" w:cs="宋体"/>
                      <w:kern w:val="0"/>
                      <w:sz w:val="21"/>
                      <w:szCs w:val="21"/>
                      <w:lang w:bidi="ar"/>
                    </w:rPr>
                    <w:t>）要求</w:t>
                  </w:r>
                </w:p>
              </w:tc>
              <w:tc>
                <w:tcPr>
                  <w:tcW w:w="391" w:type="dxa"/>
                  <w:vMerge w:val="continue"/>
                  <w:vAlign w:val="center"/>
                </w:tcPr>
                <w:p w14:paraId="32844524">
                  <w:pPr>
                    <w:keepNext/>
                    <w:keepLines/>
                    <w:spacing w:line="240" w:lineRule="auto"/>
                    <w:ind w:firstLine="0" w:firstLineChars="0"/>
                    <w:jc w:val="center"/>
                    <w:rPr>
                      <w:sz w:val="21"/>
                      <w:szCs w:val="21"/>
                    </w:rPr>
                  </w:pPr>
                </w:p>
              </w:tc>
              <w:tc>
                <w:tcPr>
                  <w:tcW w:w="504" w:type="dxa"/>
                  <w:vMerge w:val="continue"/>
                  <w:vAlign w:val="center"/>
                </w:tcPr>
                <w:p w14:paraId="4701D6D7">
                  <w:pPr>
                    <w:keepNext/>
                    <w:keepLines/>
                    <w:spacing w:line="240" w:lineRule="auto"/>
                    <w:ind w:firstLine="0" w:firstLineChars="0"/>
                    <w:jc w:val="center"/>
                    <w:rPr>
                      <w:sz w:val="21"/>
                      <w:szCs w:val="21"/>
                    </w:rPr>
                  </w:pPr>
                </w:p>
              </w:tc>
            </w:tr>
            <w:tr w14:paraId="7E0E3D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restart"/>
                  <w:vAlign w:val="center"/>
                </w:tcPr>
                <w:p w14:paraId="5A4AF48F">
                  <w:pPr>
                    <w:keepNext/>
                    <w:keepLines/>
                    <w:spacing w:line="240" w:lineRule="auto"/>
                    <w:ind w:firstLine="0" w:firstLineChars="0"/>
                    <w:jc w:val="center"/>
                    <w:rPr>
                      <w:sz w:val="21"/>
                      <w:szCs w:val="21"/>
                    </w:rPr>
                  </w:pPr>
                  <w:r>
                    <w:rPr>
                      <w:rFonts w:hint="eastAsia"/>
                      <w:sz w:val="21"/>
                      <w:szCs w:val="21"/>
                    </w:rPr>
                    <w:t>固体废物</w:t>
                  </w:r>
                </w:p>
              </w:tc>
              <w:tc>
                <w:tcPr>
                  <w:tcW w:w="2730" w:type="dxa"/>
                  <w:vAlign w:val="center"/>
                </w:tcPr>
                <w:p w14:paraId="2EA78EBD">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土石方</w:t>
                  </w:r>
                </w:p>
              </w:tc>
              <w:tc>
                <w:tcPr>
                  <w:tcW w:w="4139" w:type="dxa"/>
                  <w:vAlign w:val="center"/>
                </w:tcPr>
                <w:p w14:paraId="69AC948E">
                  <w:pPr>
                    <w:widowControl/>
                    <w:spacing w:line="240" w:lineRule="auto"/>
                    <w:ind w:firstLine="0" w:firstLineChars="0"/>
                    <w:jc w:val="left"/>
                    <w:rPr>
                      <w:rFonts w:hint="eastAsia" w:ascii="宋体" w:hAnsi="宋体" w:cs="宋体"/>
                      <w:kern w:val="0"/>
                      <w:sz w:val="21"/>
                      <w:szCs w:val="21"/>
                      <w:lang w:bidi="ar"/>
                    </w:rPr>
                  </w:pPr>
                  <w:r>
                    <w:rPr>
                      <w:rFonts w:hint="eastAsia" w:ascii="宋体" w:hAnsi="宋体" w:cs="宋体"/>
                      <w:kern w:val="0"/>
                      <w:sz w:val="21"/>
                      <w:szCs w:val="21"/>
                      <w:lang w:bidi="ar"/>
                    </w:rPr>
                    <w:t>弃土回用于场地平整，做好弃土回填记录，回填量。</w:t>
                  </w:r>
                </w:p>
              </w:tc>
              <w:tc>
                <w:tcPr>
                  <w:tcW w:w="391" w:type="dxa"/>
                  <w:vMerge w:val="continue"/>
                  <w:vAlign w:val="center"/>
                </w:tcPr>
                <w:p w14:paraId="34D8274B">
                  <w:pPr>
                    <w:keepNext/>
                    <w:keepLines/>
                    <w:spacing w:line="240" w:lineRule="auto"/>
                    <w:ind w:firstLine="0" w:firstLineChars="0"/>
                    <w:jc w:val="center"/>
                    <w:rPr>
                      <w:sz w:val="21"/>
                      <w:szCs w:val="21"/>
                    </w:rPr>
                  </w:pPr>
                </w:p>
              </w:tc>
              <w:tc>
                <w:tcPr>
                  <w:tcW w:w="504" w:type="dxa"/>
                  <w:vMerge w:val="continue"/>
                  <w:vAlign w:val="center"/>
                </w:tcPr>
                <w:p w14:paraId="47CB4CDB">
                  <w:pPr>
                    <w:keepNext/>
                    <w:keepLines/>
                    <w:spacing w:line="240" w:lineRule="auto"/>
                    <w:ind w:firstLine="0" w:firstLineChars="0"/>
                    <w:jc w:val="center"/>
                    <w:rPr>
                      <w:sz w:val="21"/>
                      <w:szCs w:val="21"/>
                    </w:rPr>
                  </w:pPr>
                </w:p>
              </w:tc>
            </w:tr>
            <w:tr w14:paraId="13129D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vAlign w:val="center"/>
                </w:tcPr>
                <w:p w14:paraId="1DDF0EB7">
                  <w:pPr>
                    <w:keepNext/>
                    <w:keepLines/>
                    <w:spacing w:line="240" w:lineRule="auto"/>
                    <w:ind w:firstLine="0" w:firstLineChars="0"/>
                    <w:jc w:val="center"/>
                    <w:rPr>
                      <w:sz w:val="21"/>
                      <w:szCs w:val="21"/>
                    </w:rPr>
                  </w:pPr>
                </w:p>
              </w:tc>
              <w:tc>
                <w:tcPr>
                  <w:tcW w:w="2730" w:type="dxa"/>
                  <w:vAlign w:val="center"/>
                </w:tcPr>
                <w:p w14:paraId="4046686B">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施工人员生活垃圾</w:t>
                  </w:r>
                </w:p>
              </w:tc>
              <w:tc>
                <w:tcPr>
                  <w:tcW w:w="4139" w:type="dxa"/>
                  <w:vAlign w:val="center"/>
                </w:tcPr>
                <w:p w14:paraId="592C4FAD">
                  <w:pPr>
                    <w:widowControl/>
                    <w:spacing w:line="240" w:lineRule="auto"/>
                    <w:ind w:firstLine="0" w:firstLineChars="0"/>
                    <w:jc w:val="left"/>
                    <w:rPr>
                      <w:rFonts w:hint="eastAsia" w:ascii="宋体" w:hAnsi="宋体" w:cs="宋体"/>
                      <w:kern w:val="0"/>
                      <w:sz w:val="21"/>
                      <w:szCs w:val="21"/>
                      <w:lang w:bidi="ar"/>
                    </w:rPr>
                  </w:pPr>
                  <w:r>
                    <w:rPr>
                      <w:rFonts w:hint="eastAsia" w:ascii="宋体" w:hAnsi="宋体" w:cs="宋体"/>
                      <w:kern w:val="0"/>
                      <w:sz w:val="21"/>
                      <w:szCs w:val="21"/>
                      <w:lang w:bidi="ar"/>
                    </w:rPr>
                    <w:t>施工期生活垃圾集中收集后送生活垃圾收集点堆存，定期清运至环卫部门指定地点，交由环卫部门处置。</w:t>
                  </w:r>
                </w:p>
              </w:tc>
              <w:tc>
                <w:tcPr>
                  <w:tcW w:w="391" w:type="dxa"/>
                  <w:vMerge w:val="continue"/>
                  <w:vAlign w:val="center"/>
                </w:tcPr>
                <w:p w14:paraId="2EE1BD27">
                  <w:pPr>
                    <w:keepNext/>
                    <w:keepLines/>
                    <w:spacing w:line="240" w:lineRule="auto"/>
                    <w:ind w:firstLine="0" w:firstLineChars="0"/>
                    <w:jc w:val="center"/>
                    <w:rPr>
                      <w:sz w:val="21"/>
                      <w:szCs w:val="21"/>
                    </w:rPr>
                  </w:pPr>
                </w:p>
              </w:tc>
              <w:tc>
                <w:tcPr>
                  <w:tcW w:w="504" w:type="dxa"/>
                  <w:vMerge w:val="continue"/>
                  <w:vAlign w:val="center"/>
                </w:tcPr>
                <w:p w14:paraId="702F1D81">
                  <w:pPr>
                    <w:keepNext/>
                    <w:keepLines/>
                    <w:spacing w:line="240" w:lineRule="auto"/>
                    <w:ind w:firstLine="0" w:firstLineChars="0"/>
                    <w:jc w:val="center"/>
                    <w:rPr>
                      <w:sz w:val="21"/>
                      <w:szCs w:val="21"/>
                    </w:rPr>
                  </w:pPr>
                </w:p>
              </w:tc>
            </w:tr>
            <w:tr w14:paraId="54F046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restart"/>
                  <w:vAlign w:val="center"/>
                </w:tcPr>
                <w:p w14:paraId="7CAAC3EF">
                  <w:pPr>
                    <w:keepNext/>
                    <w:keepLines/>
                    <w:spacing w:line="240" w:lineRule="auto"/>
                    <w:ind w:firstLine="0" w:firstLineChars="0"/>
                    <w:jc w:val="center"/>
                    <w:rPr>
                      <w:sz w:val="21"/>
                      <w:szCs w:val="21"/>
                    </w:rPr>
                  </w:pPr>
                  <w:r>
                    <w:rPr>
                      <w:rFonts w:hint="eastAsia"/>
                      <w:sz w:val="21"/>
                      <w:szCs w:val="21"/>
                    </w:rPr>
                    <w:t>生态</w:t>
                  </w:r>
                </w:p>
              </w:tc>
              <w:tc>
                <w:tcPr>
                  <w:tcW w:w="2730" w:type="dxa"/>
                  <w:vAlign w:val="center"/>
                </w:tcPr>
                <w:p w14:paraId="75ED1054">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回填区</w:t>
                  </w:r>
                </w:p>
              </w:tc>
              <w:tc>
                <w:tcPr>
                  <w:tcW w:w="4139" w:type="dxa"/>
                  <w:vMerge w:val="restart"/>
                  <w:vAlign w:val="center"/>
                </w:tcPr>
                <w:p w14:paraId="2A6C78BF">
                  <w:pPr>
                    <w:widowControl/>
                    <w:spacing w:line="240" w:lineRule="auto"/>
                    <w:ind w:firstLine="0" w:firstLineChars="0"/>
                    <w:jc w:val="left"/>
                    <w:rPr>
                      <w:rFonts w:hint="eastAsia" w:ascii="宋体" w:hAnsi="宋体" w:cs="宋体"/>
                      <w:kern w:val="0"/>
                      <w:sz w:val="21"/>
                      <w:szCs w:val="21"/>
                      <w:lang w:bidi="ar"/>
                    </w:rPr>
                  </w:pPr>
                  <w:r>
                    <w:rPr>
                      <w:rFonts w:hint="eastAsia" w:ascii="宋体" w:hAnsi="宋体" w:cs="宋体"/>
                      <w:kern w:val="0"/>
                      <w:sz w:val="21"/>
                      <w:szCs w:val="21"/>
                      <w:lang w:bidi="ar"/>
                    </w:rPr>
                    <w:t>耕植土、粘土购买记录，入场检测记录，确保耕植土满足《土壤环境质量建设用地土壤污染风险管控标准（试行）》（</w:t>
                  </w:r>
                  <w:r>
                    <w:rPr>
                      <w:rFonts w:ascii="宋体" w:hAnsi="宋体" w:cs="宋体"/>
                      <w:kern w:val="0"/>
                      <w:sz w:val="21"/>
                      <w:szCs w:val="21"/>
                      <w:lang w:bidi="ar"/>
                    </w:rPr>
                    <w:t>GB36600-2018</w:t>
                  </w:r>
                  <w:r>
                    <w:rPr>
                      <w:rFonts w:hint="eastAsia" w:ascii="宋体" w:hAnsi="宋体" w:cs="宋体"/>
                      <w:kern w:val="0"/>
                      <w:sz w:val="21"/>
                      <w:szCs w:val="21"/>
                      <w:lang w:bidi="ar"/>
                    </w:rPr>
                    <w:t>）和《土壤环境质量农用地土壤污染风险管控标准（试行）》（</w:t>
                  </w:r>
                  <w:r>
                    <w:rPr>
                      <w:rFonts w:ascii="宋体" w:hAnsi="宋体" w:cs="宋体"/>
                      <w:kern w:val="0"/>
                      <w:sz w:val="21"/>
                      <w:szCs w:val="21"/>
                      <w:lang w:bidi="ar"/>
                    </w:rPr>
                    <w:t>GB15618-2018</w:t>
                  </w:r>
                  <w:r>
                    <w:rPr>
                      <w:rFonts w:hint="eastAsia" w:ascii="宋体" w:hAnsi="宋体" w:cs="宋体"/>
                      <w:kern w:val="0"/>
                      <w:sz w:val="21"/>
                      <w:szCs w:val="21"/>
                      <w:lang w:bidi="ar"/>
                    </w:rPr>
                    <w:t>）中标准限值要求。</w:t>
                  </w:r>
                </w:p>
                <w:p w14:paraId="7E6EE21C">
                  <w:pPr>
                    <w:widowControl/>
                    <w:spacing w:line="240" w:lineRule="auto"/>
                    <w:ind w:firstLine="0" w:firstLineChars="0"/>
                    <w:jc w:val="left"/>
                    <w:rPr>
                      <w:rFonts w:hint="eastAsia" w:ascii="宋体" w:hAnsi="宋体" w:cs="宋体"/>
                      <w:kern w:val="0"/>
                      <w:sz w:val="21"/>
                      <w:szCs w:val="21"/>
                      <w:lang w:bidi="ar"/>
                    </w:rPr>
                  </w:pPr>
                  <w:r>
                    <w:rPr>
                      <w:rFonts w:hint="eastAsia" w:ascii="宋体" w:hAnsi="宋体" w:cs="宋体"/>
                      <w:kern w:val="0"/>
                      <w:sz w:val="21"/>
                      <w:szCs w:val="21"/>
                      <w:lang w:bidi="ar"/>
                    </w:rPr>
                    <w:t>定期养护、扶植，确保存活率。修复完成后开展生态调查及土壤跟踪监测</w:t>
                  </w:r>
                </w:p>
              </w:tc>
              <w:tc>
                <w:tcPr>
                  <w:tcW w:w="391" w:type="dxa"/>
                  <w:vMerge w:val="continue"/>
                  <w:vAlign w:val="center"/>
                </w:tcPr>
                <w:p w14:paraId="744AB231">
                  <w:pPr>
                    <w:keepNext/>
                    <w:keepLines/>
                    <w:spacing w:line="240" w:lineRule="auto"/>
                    <w:ind w:firstLine="0" w:firstLineChars="0"/>
                    <w:jc w:val="center"/>
                    <w:rPr>
                      <w:sz w:val="21"/>
                      <w:szCs w:val="21"/>
                    </w:rPr>
                  </w:pPr>
                </w:p>
              </w:tc>
              <w:tc>
                <w:tcPr>
                  <w:tcW w:w="504" w:type="dxa"/>
                  <w:vMerge w:val="continue"/>
                  <w:vAlign w:val="center"/>
                </w:tcPr>
                <w:p w14:paraId="7DD1CEA9">
                  <w:pPr>
                    <w:keepNext/>
                    <w:keepLines/>
                    <w:spacing w:line="240" w:lineRule="auto"/>
                    <w:ind w:firstLine="0" w:firstLineChars="0"/>
                    <w:jc w:val="center"/>
                    <w:rPr>
                      <w:sz w:val="21"/>
                      <w:szCs w:val="21"/>
                    </w:rPr>
                  </w:pPr>
                </w:p>
              </w:tc>
            </w:tr>
            <w:tr w14:paraId="315F78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67" w:type="dxa"/>
                  <w:vMerge w:val="continue"/>
                  <w:vAlign w:val="center"/>
                </w:tcPr>
                <w:p w14:paraId="4CDFB348">
                  <w:pPr>
                    <w:keepNext/>
                    <w:keepLines/>
                    <w:spacing w:line="240" w:lineRule="auto"/>
                    <w:ind w:firstLine="0" w:firstLineChars="0"/>
                    <w:jc w:val="center"/>
                    <w:rPr>
                      <w:sz w:val="21"/>
                      <w:szCs w:val="21"/>
                    </w:rPr>
                  </w:pPr>
                </w:p>
              </w:tc>
              <w:tc>
                <w:tcPr>
                  <w:tcW w:w="2730" w:type="dxa"/>
                  <w:vAlign w:val="center"/>
                </w:tcPr>
                <w:p w14:paraId="42B4BB24">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非回填区</w:t>
                  </w:r>
                </w:p>
              </w:tc>
              <w:tc>
                <w:tcPr>
                  <w:tcW w:w="4139" w:type="dxa"/>
                  <w:vMerge w:val="continue"/>
                  <w:vAlign w:val="center"/>
                </w:tcPr>
                <w:p w14:paraId="3E2123AE">
                  <w:pPr>
                    <w:keepNext/>
                    <w:keepLines/>
                    <w:spacing w:line="240" w:lineRule="auto"/>
                    <w:ind w:firstLine="0" w:firstLineChars="0"/>
                    <w:jc w:val="center"/>
                    <w:rPr>
                      <w:sz w:val="21"/>
                      <w:szCs w:val="21"/>
                    </w:rPr>
                  </w:pPr>
                </w:p>
              </w:tc>
              <w:tc>
                <w:tcPr>
                  <w:tcW w:w="391" w:type="dxa"/>
                  <w:vMerge w:val="continue"/>
                  <w:vAlign w:val="center"/>
                </w:tcPr>
                <w:p w14:paraId="63315878">
                  <w:pPr>
                    <w:keepNext/>
                    <w:keepLines/>
                    <w:spacing w:line="240" w:lineRule="auto"/>
                    <w:ind w:firstLine="0" w:firstLineChars="0"/>
                    <w:jc w:val="center"/>
                    <w:rPr>
                      <w:sz w:val="21"/>
                      <w:szCs w:val="21"/>
                    </w:rPr>
                  </w:pPr>
                </w:p>
              </w:tc>
              <w:tc>
                <w:tcPr>
                  <w:tcW w:w="504" w:type="dxa"/>
                  <w:vMerge w:val="continue"/>
                  <w:vAlign w:val="center"/>
                </w:tcPr>
                <w:p w14:paraId="699DDB63">
                  <w:pPr>
                    <w:keepNext/>
                    <w:keepLines/>
                    <w:spacing w:line="240" w:lineRule="auto"/>
                    <w:ind w:firstLine="0" w:firstLineChars="0"/>
                    <w:jc w:val="center"/>
                    <w:rPr>
                      <w:sz w:val="21"/>
                      <w:szCs w:val="21"/>
                    </w:rPr>
                  </w:pPr>
                </w:p>
              </w:tc>
            </w:tr>
          </w:tbl>
          <w:p w14:paraId="43294786">
            <w:pPr>
              <w:widowControl/>
              <w:adjustRightInd w:val="0"/>
              <w:snapToGrid w:val="0"/>
              <w:ind w:firstLine="482"/>
              <w:rPr>
                <w:b/>
                <w:bCs/>
                <w:kern w:val="0"/>
                <w:lang w:bidi="ar"/>
              </w:rPr>
            </w:pPr>
            <w:r>
              <w:rPr>
                <w:rFonts w:hint="eastAsia"/>
                <w:b/>
                <w:bCs/>
                <w:kern w:val="0"/>
                <w:lang w:bidi="ar"/>
              </w:rPr>
              <w:t>2、环境监测计划</w:t>
            </w:r>
          </w:p>
          <w:p w14:paraId="7A5AE276">
            <w:pPr>
              <w:spacing w:line="240" w:lineRule="auto"/>
              <w:ind w:firstLine="0" w:firstLineChars="0"/>
              <w:jc w:val="center"/>
              <w:rPr>
                <w:rFonts w:hint="eastAsia" w:ascii="宋体" w:hAnsi="宋体" w:cs="宋体"/>
                <w:b/>
                <w:sz w:val="24"/>
                <w:szCs w:val="24"/>
              </w:rPr>
            </w:pPr>
            <w:r>
              <w:rPr>
                <w:rFonts w:hint="eastAsia"/>
                <w:b/>
                <w:bCs/>
                <w:kern w:val="0"/>
                <w:sz w:val="24"/>
                <w:szCs w:val="24"/>
                <w:lang w:bidi="ar"/>
              </w:rPr>
              <w:t>表5-</w:t>
            </w:r>
            <w:r>
              <w:rPr>
                <w:rFonts w:hint="eastAsia"/>
                <w:b/>
                <w:bCs/>
                <w:kern w:val="0"/>
                <w:sz w:val="24"/>
                <w:szCs w:val="24"/>
                <w:lang w:val="en-US" w:eastAsia="zh-CN" w:bidi="ar"/>
              </w:rPr>
              <w:t xml:space="preserve">4  </w:t>
            </w:r>
            <w:r>
              <w:rPr>
                <w:rFonts w:hint="eastAsia"/>
                <w:b/>
                <w:bCs/>
                <w:kern w:val="0"/>
                <w:sz w:val="24"/>
                <w:szCs w:val="24"/>
                <w:lang w:bidi="ar"/>
              </w:rPr>
              <w:t>环境监测计划一览表</w:t>
            </w:r>
          </w:p>
          <w:tbl>
            <w:tblPr>
              <w:tblStyle w:val="41"/>
              <w:tblW w:w="8241"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7"/>
              <w:gridCol w:w="900"/>
              <w:gridCol w:w="945"/>
              <w:gridCol w:w="1890"/>
              <w:gridCol w:w="1215"/>
              <w:gridCol w:w="2544"/>
            </w:tblGrid>
            <w:tr w14:paraId="796EAC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47" w:type="dxa"/>
                  <w:vAlign w:val="center"/>
                </w:tcPr>
                <w:p w14:paraId="7EE7D956">
                  <w:pPr>
                    <w:widowControl/>
                    <w:spacing w:line="240" w:lineRule="auto"/>
                    <w:ind w:firstLine="0" w:firstLineChars="0"/>
                    <w:jc w:val="center"/>
                    <w:rPr>
                      <w:rFonts w:hint="eastAsia" w:ascii="宋体" w:hAnsi="宋体" w:cs="宋体"/>
                      <w:b/>
                      <w:bCs/>
                      <w:kern w:val="0"/>
                      <w:sz w:val="21"/>
                      <w:szCs w:val="21"/>
                      <w:lang w:bidi="ar"/>
                    </w:rPr>
                  </w:pPr>
                  <w:r>
                    <w:rPr>
                      <w:rFonts w:hint="eastAsia" w:ascii="宋体" w:hAnsi="宋体" w:cs="宋体"/>
                      <w:b/>
                      <w:bCs/>
                      <w:kern w:val="0"/>
                      <w:sz w:val="21"/>
                      <w:szCs w:val="21"/>
                      <w:lang w:bidi="ar"/>
                    </w:rPr>
                    <w:t>监测期</w:t>
                  </w:r>
                </w:p>
              </w:tc>
              <w:tc>
                <w:tcPr>
                  <w:tcW w:w="900" w:type="dxa"/>
                  <w:vAlign w:val="center"/>
                </w:tcPr>
                <w:p w14:paraId="785A9DAD">
                  <w:pPr>
                    <w:widowControl/>
                    <w:spacing w:line="240" w:lineRule="auto"/>
                    <w:ind w:firstLine="0" w:firstLineChars="0"/>
                    <w:jc w:val="center"/>
                    <w:rPr>
                      <w:rFonts w:hint="eastAsia" w:ascii="宋体" w:hAnsi="宋体" w:cs="宋体"/>
                      <w:b/>
                      <w:bCs/>
                      <w:kern w:val="0"/>
                      <w:sz w:val="21"/>
                      <w:szCs w:val="21"/>
                      <w:lang w:bidi="ar"/>
                    </w:rPr>
                  </w:pPr>
                  <w:r>
                    <w:rPr>
                      <w:rFonts w:hint="eastAsia" w:ascii="宋体" w:hAnsi="宋体" w:cs="宋体"/>
                      <w:b/>
                      <w:bCs/>
                      <w:kern w:val="0"/>
                      <w:sz w:val="21"/>
                      <w:szCs w:val="21"/>
                      <w:lang w:bidi="ar"/>
                    </w:rPr>
                    <w:t>监测对象</w:t>
                  </w:r>
                </w:p>
              </w:tc>
              <w:tc>
                <w:tcPr>
                  <w:tcW w:w="945" w:type="dxa"/>
                  <w:vAlign w:val="center"/>
                </w:tcPr>
                <w:p w14:paraId="1378372E">
                  <w:pPr>
                    <w:widowControl/>
                    <w:spacing w:line="240" w:lineRule="auto"/>
                    <w:ind w:firstLine="0" w:firstLineChars="0"/>
                    <w:jc w:val="center"/>
                    <w:rPr>
                      <w:rFonts w:hint="eastAsia" w:ascii="宋体" w:hAnsi="宋体" w:cs="宋体"/>
                      <w:b/>
                      <w:bCs/>
                      <w:kern w:val="0"/>
                      <w:sz w:val="21"/>
                      <w:szCs w:val="21"/>
                      <w:lang w:bidi="ar"/>
                    </w:rPr>
                  </w:pPr>
                  <w:r>
                    <w:rPr>
                      <w:rFonts w:hint="eastAsia" w:ascii="宋体" w:hAnsi="宋体" w:cs="宋体"/>
                      <w:b/>
                      <w:bCs/>
                      <w:kern w:val="0"/>
                      <w:sz w:val="21"/>
                      <w:szCs w:val="21"/>
                      <w:lang w:bidi="ar"/>
                    </w:rPr>
                    <w:t>监测点</w:t>
                  </w:r>
                </w:p>
              </w:tc>
              <w:tc>
                <w:tcPr>
                  <w:tcW w:w="1890" w:type="dxa"/>
                  <w:vAlign w:val="center"/>
                </w:tcPr>
                <w:p w14:paraId="7BA2211A">
                  <w:pPr>
                    <w:widowControl/>
                    <w:spacing w:line="240" w:lineRule="auto"/>
                    <w:ind w:firstLine="0" w:firstLineChars="0"/>
                    <w:jc w:val="center"/>
                    <w:rPr>
                      <w:rFonts w:hint="eastAsia" w:ascii="宋体" w:hAnsi="宋体" w:cs="宋体"/>
                      <w:b/>
                      <w:bCs/>
                      <w:kern w:val="0"/>
                      <w:sz w:val="21"/>
                      <w:szCs w:val="21"/>
                      <w:lang w:bidi="ar"/>
                    </w:rPr>
                  </w:pPr>
                  <w:r>
                    <w:rPr>
                      <w:rFonts w:hint="eastAsia" w:ascii="宋体" w:hAnsi="宋体" w:cs="宋体"/>
                      <w:b/>
                      <w:bCs/>
                      <w:kern w:val="0"/>
                      <w:sz w:val="21"/>
                      <w:szCs w:val="21"/>
                      <w:lang w:bidi="ar"/>
                    </w:rPr>
                    <w:t>监测内容</w:t>
                  </w:r>
                </w:p>
              </w:tc>
              <w:tc>
                <w:tcPr>
                  <w:tcW w:w="1215" w:type="dxa"/>
                  <w:vAlign w:val="center"/>
                </w:tcPr>
                <w:p w14:paraId="39AC540D">
                  <w:pPr>
                    <w:widowControl/>
                    <w:spacing w:line="240" w:lineRule="auto"/>
                    <w:ind w:firstLine="0" w:firstLineChars="0"/>
                    <w:jc w:val="center"/>
                    <w:rPr>
                      <w:rFonts w:hint="eastAsia" w:ascii="宋体" w:hAnsi="宋体" w:cs="宋体"/>
                      <w:b/>
                      <w:bCs/>
                      <w:kern w:val="0"/>
                      <w:sz w:val="21"/>
                      <w:szCs w:val="21"/>
                      <w:lang w:bidi="ar"/>
                    </w:rPr>
                  </w:pPr>
                  <w:r>
                    <w:rPr>
                      <w:rFonts w:hint="eastAsia" w:ascii="宋体" w:hAnsi="宋体" w:cs="宋体"/>
                      <w:b/>
                      <w:bCs/>
                      <w:kern w:val="0"/>
                      <w:sz w:val="21"/>
                      <w:szCs w:val="21"/>
                      <w:lang w:bidi="ar"/>
                    </w:rPr>
                    <w:t>监测频率</w:t>
                  </w:r>
                </w:p>
              </w:tc>
              <w:tc>
                <w:tcPr>
                  <w:tcW w:w="2544" w:type="dxa"/>
                  <w:vAlign w:val="center"/>
                </w:tcPr>
                <w:p w14:paraId="29F4CBC3">
                  <w:pPr>
                    <w:widowControl/>
                    <w:spacing w:line="240" w:lineRule="auto"/>
                    <w:ind w:firstLine="0" w:firstLineChars="0"/>
                    <w:jc w:val="center"/>
                    <w:rPr>
                      <w:rFonts w:hint="eastAsia" w:ascii="宋体" w:hAnsi="宋体" w:cs="宋体"/>
                      <w:b/>
                      <w:bCs/>
                      <w:kern w:val="0"/>
                      <w:sz w:val="21"/>
                      <w:szCs w:val="21"/>
                      <w:lang w:bidi="ar"/>
                    </w:rPr>
                  </w:pPr>
                  <w:r>
                    <w:rPr>
                      <w:rFonts w:hint="eastAsia" w:ascii="宋体" w:hAnsi="宋体" w:cs="宋体"/>
                      <w:b/>
                      <w:bCs/>
                      <w:kern w:val="0"/>
                      <w:sz w:val="21"/>
                      <w:szCs w:val="21"/>
                      <w:lang w:bidi="ar"/>
                    </w:rPr>
                    <w:t>执行标准</w:t>
                  </w:r>
                </w:p>
              </w:tc>
            </w:tr>
            <w:tr w14:paraId="308ED9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restart"/>
                  <w:vAlign w:val="center"/>
                </w:tcPr>
                <w:p w14:paraId="032C2F3F">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施工期</w:t>
                  </w:r>
                </w:p>
              </w:tc>
              <w:tc>
                <w:tcPr>
                  <w:tcW w:w="900" w:type="dxa"/>
                  <w:vAlign w:val="center"/>
                </w:tcPr>
                <w:p w14:paraId="316C64CD">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大气</w:t>
                  </w:r>
                </w:p>
              </w:tc>
              <w:tc>
                <w:tcPr>
                  <w:tcW w:w="945" w:type="dxa"/>
                  <w:vAlign w:val="center"/>
                </w:tcPr>
                <w:p w14:paraId="6E5E8427">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项目生态修复区下风向</w:t>
                  </w:r>
                </w:p>
              </w:tc>
              <w:tc>
                <w:tcPr>
                  <w:tcW w:w="1890" w:type="dxa"/>
                  <w:vAlign w:val="center"/>
                </w:tcPr>
                <w:p w14:paraId="60FA21DB">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颗粒物</w:t>
                  </w:r>
                </w:p>
              </w:tc>
              <w:tc>
                <w:tcPr>
                  <w:tcW w:w="1215" w:type="dxa"/>
                  <w:vAlign w:val="center"/>
                </w:tcPr>
                <w:p w14:paraId="07B71ECB">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每季度1次</w:t>
                  </w:r>
                </w:p>
              </w:tc>
              <w:tc>
                <w:tcPr>
                  <w:tcW w:w="2544" w:type="dxa"/>
                  <w:vAlign w:val="center"/>
                </w:tcPr>
                <w:p w14:paraId="71D75FDD">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《大气污染物综合排放标准》（GB16297-1996）表2无组织排放标准限值</w:t>
                  </w:r>
                </w:p>
              </w:tc>
            </w:tr>
            <w:tr w14:paraId="61FA6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continue"/>
                  <w:vAlign w:val="center"/>
                </w:tcPr>
                <w:p w14:paraId="69B7D19C">
                  <w:pPr>
                    <w:widowControl/>
                    <w:spacing w:line="240" w:lineRule="auto"/>
                    <w:ind w:firstLine="0" w:firstLineChars="0"/>
                    <w:jc w:val="center"/>
                    <w:rPr>
                      <w:rFonts w:hint="eastAsia" w:ascii="宋体" w:hAnsi="宋体" w:cs="宋体"/>
                      <w:kern w:val="0"/>
                      <w:sz w:val="21"/>
                      <w:szCs w:val="21"/>
                      <w:lang w:bidi="ar"/>
                    </w:rPr>
                  </w:pPr>
                </w:p>
              </w:tc>
              <w:tc>
                <w:tcPr>
                  <w:tcW w:w="900" w:type="dxa"/>
                  <w:vAlign w:val="center"/>
                </w:tcPr>
                <w:p w14:paraId="5713BF2D">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噪声</w:t>
                  </w:r>
                </w:p>
              </w:tc>
              <w:tc>
                <w:tcPr>
                  <w:tcW w:w="945" w:type="dxa"/>
                  <w:vAlign w:val="center"/>
                </w:tcPr>
                <w:p w14:paraId="53620148">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修复区场界外1m</w:t>
                  </w:r>
                </w:p>
              </w:tc>
              <w:tc>
                <w:tcPr>
                  <w:tcW w:w="1890" w:type="dxa"/>
                  <w:vAlign w:val="center"/>
                </w:tcPr>
                <w:p w14:paraId="2FA7C2B8">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等效</w:t>
                  </w:r>
                  <w:r>
                    <w:rPr>
                      <w:rFonts w:ascii="宋体" w:hAnsi="宋体" w:cs="宋体"/>
                      <w:kern w:val="0"/>
                      <w:sz w:val="21"/>
                      <w:szCs w:val="21"/>
                      <w:lang w:bidi="ar"/>
                    </w:rPr>
                    <w:t>A</w:t>
                  </w:r>
                  <w:r>
                    <w:rPr>
                      <w:rFonts w:hint="eastAsia" w:ascii="宋体" w:hAnsi="宋体" w:cs="宋体"/>
                      <w:kern w:val="0"/>
                      <w:sz w:val="21"/>
                      <w:szCs w:val="21"/>
                      <w:lang w:bidi="ar"/>
                    </w:rPr>
                    <w:t>声级</w:t>
                  </w:r>
                </w:p>
              </w:tc>
              <w:tc>
                <w:tcPr>
                  <w:tcW w:w="1215" w:type="dxa"/>
                  <w:vAlign w:val="center"/>
                </w:tcPr>
                <w:p w14:paraId="7B3075CF">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每季度1次</w:t>
                  </w:r>
                </w:p>
              </w:tc>
              <w:tc>
                <w:tcPr>
                  <w:tcW w:w="2544" w:type="dxa"/>
                  <w:vAlign w:val="center"/>
                </w:tcPr>
                <w:p w14:paraId="0AB418C0">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《建筑施工场界环境噪声排放标准》（GB12523-2011）</w:t>
                  </w:r>
                </w:p>
              </w:tc>
            </w:tr>
            <w:tr w14:paraId="17658D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continue"/>
                  <w:vAlign w:val="center"/>
                </w:tcPr>
                <w:p w14:paraId="708F6E92">
                  <w:pPr>
                    <w:widowControl/>
                    <w:spacing w:line="240" w:lineRule="auto"/>
                    <w:ind w:firstLine="0" w:firstLineChars="0"/>
                    <w:jc w:val="center"/>
                    <w:rPr>
                      <w:rFonts w:hint="eastAsia" w:ascii="宋体" w:hAnsi="宋体" w:cs="宋体"/>
                      <w:kern w:val="0"/>
                      <w:sz w:val="21"/>
                      <w:szCs w:val="21"/>
                      <w:lang w:bidi="ar"/>
                    </w:rPr>
                  </w:pPr>
                </w:p>
              </w:tc>
              <w:tc>
                <w:tcPr>
                  <w:tcW w:w="900" w:type="dxa"/>
                  <w:vAlign w:val="center"/>
                </w:tcPr>
                <w:p w14:paraId="4065D096">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声环境</w:t>
                  </w:r>
                </w:p>
              </w:tc>
              <w:tc>
                <w:tcPr>
                  <w:tcW w:w="945" w:type="dxa"/>
                  <w:vAlign w:val="center"/>
                </w:tcPr>
                <w:p w14:paraId="5729AFC6">
                  <w:pPr>
                    <w:widowControl/>
                    <w:spacing w:line="240" w:lineRule="auto"/>
                    <w:ind w:firstLine="0" w:firstLineChars="0"/>
                    <w:jc w:val="center"/>
                    <w:rPr>
                      <w:rFonts w:hint="eastAsia" w:ascii="宋体" w:hAnsi="宋体" w:eastAsia="宋体" w:cs="宋体"/>
                      <w:kern w:val="0"/>
                      <w:sz w:val="21"/>
                      <w:szCs w:val="21"/>
                      <w:lang w:eastAsia="zh-CN" w:bidi="ar"/>
                    </w:rPr>
                  </w:pPr>
                  <w:r>
                    <w:rPr>
                      <w:rFonts w:hint="eastAsia" w:ascii="宋体" w:hAnsi="宋体" w:cs="宋体"/>
                      <w:kern w:val="0"/>
                      <w:sz w:val="21"/>
                      <w:szCs w:val="21"/>
                      <w:lang w:val="en-US" w:eastAsia="zh-CN" w:bidi="ar"/>
                    </w:rPr>
                    <w:t>厂界</w:t>
                  </w:r>
                </w:p>
              </w:tc>
              <w:tc>
                <w:tcPr>
                  <w:tcW w:w="1890" w:type="dxa"/>
                  <w:vAlign w:val="center"/>
                </w:tcPr>
                <w:p w14:paraId="795F7365">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昼、夜等效</w:t>
                  </w:r>
                  <w:r>
                    <w:rPr>
                      <w:rFonts w:ascii="宋体" w:hAnsi="宋体" w:cs="宋体"/>
                      <w:kern w:val="0"/>
                      <w:sz w:val="21"/>
                      <w:szCs w:val="21"/>
                      <w:lang w:bidi="ar"/>
                    </w:rPr>
                    <w:t>A</w:t>
                  </w:r>
                  <w:r>
                    <w:rPr>
                      <w:rFonts w:hint="eastAsia" w:ascii="宋体" w:hAnsi="宋体" w:cs="宋体"/>
                      <w:kern w:val="0"/>
                      <w:sz w:val="21"/>
                      <w:szCs w:val="21"/>
                      <w:lang w:bidi="ar"/>
                    </w:rPr>
                    <w:t>声级</w:t>
                  </w:r>
                </w:p>
              </w:tc>
              <w:tc>
                <w:tcPr>
                  <w:tcW w:w="1215" w:type="dxa"/>
                  <w:vAlign w:val="center"/>
                </w:tcPr>
                <w:p w14:paraId="5BDBD9CE">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每季度1天</w:t>
                  </w:r>
                </w:p>
              </w:tc>
              <w:tc>
                <w:tcPr>
                  <w:tcW w:w="2544" w:type="dxa"/>
                  <w:vAlign w:val="center"/>
                </w:tcPr>
                <w:p w14:paraId="634EF2CB">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《声环境质量标准》GB 3096-2008 2类 标准</w:t>
                  </w:r>
                </w:p>
              </w:tc>
            </w:tr>
            <w:tr w14:paraId="1281C5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continue"/>
                  <w:vAlign w:val="center"/>
                </w:tcPr>
                <w:p w14:paraId="5D6BEB6F">
                  <w:pPr>
                    <w:widowControl/>
                    <w:spacing w:line="240" w:lineRule="auto"/>
                    <w:ind w:firstLine="0" w:firstLineChars="0"/>
                    <w:jc w:val="center"/>
                    <w:rPr>
                      <w:rFonts w:hint="eastAsia" w:ascii="宋体" w:hAnsi="宋体" w:cs="宋体"/>
                      <w:kern w:val="0"/>
                      <w:sz w:val="21"/>
                      <w:szCs w:val="21"/>
                      <w:lang w:bidi="ar"/>
                    </w:rPr>
                  </w:pPr>
                </w:p>
              </w:tc>
              <w:tc>
                <w:tcPr>
                  <w:tcW w:w="900" w:type="dxa"/>
                  <w:vAlign w:val="center"/>
                </w:tcPr>
                <w:p w14:paraId="29D0E5CC">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渗滤液</w:t>
                  </w:r>
                </w:p>
              </w:tc>
              <w:tc>
                <w:tcPr>
                  <w:tcW w:w="945" w:type="dxa"/>
                  <w:vAlign w:val="center"/>
                </w:tcPr>
                <w:p w14:paraId="2E24F6AF">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渗滤液收集井</w:t>
                  </w:r>
                </w:p>
              </w:tc>
              <w:tc>
                <w:tcPr>
                  <w:tcW w:w="1890" w:type="dxa"/>
                  <w:vAlign w:val="center"/>
                </w:tcPr>
                <w:p w14:paraId="54AB49FD">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pH、磷酸盐、氟化物等</w:t>
                  </w:r>
                </w:p>
              </w:tc>
              <w:tc>
                <w:tcPr>
                  <w:tcW w:w="1215" w:type="dxa"/>
                  <w:vAlign w:val="center"/>
                </w:tcPr>
                <w:p w14:paraId="1F01CD86">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每季度1次</w:t>
                  </w:r>
                </w:p>
              </w:tc>
              <w:tc>
                <w:tcPr>
                  <w:tcW w:w="2544" w:type="dxa"/>
                  <w:vMerge w:val="restart"/>
                  <w:vAlign w:val="center"/>
                </w:tcPr>
                <w:p w14:paraId="6F3CD7A4">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《城市污水再生利用城市杂用水水质》（GB/T 18920-2020）中城市绿化、道路清扫、消防、建筑施工标准限值要求</w:t>
                  </w:r>
                </w:p>
              </w:tc>
            </w:tr>
            <w:tr w14:paraId="5C7724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92" w:hRule="atLeast"/>
              </w:trPr>
              <w:tc>
                <w:tcPr>
                  <w:tcW w:w="747" w:type="dxa"/>
                  <w:vMerge w:val="continue"/>
                  <w:vAlign w:val="center"/>
                </w:tcPr>
                <w:p w14:paraId="0395FC94">
                  <w:pPr>
                    <w:widowControl/>
                    <w:spacing w:line="240" w:lineRule="auto"/>
                    <w:ind w:firstLine="0" w:firstLineChars="0"/>
                    <w:jc w:val="center"/>
                    <w:rPr>
                      <w:rFonts w:hint="eastAsia" w:ascii="宋体" w:hAnsi="宋体" w:cs="宋体"/>
                      <w:kern w:val="0"/>
                      <w:sz w:val="21"/>
                      <w:szCs w:val="21"/>
                      <w:lang w:bidi="ar"/>
                    </w:rPr>
                  </w:pPr>
                </w:p>
              </w:tc>
              <w:tc>
                <w:tcPr>
                  <w:tcW w:w="900" w:type="dxa"/>
                  <w:vAlign w:val="center"/>
                </w:tcPr>
                <w:p w14:paraId="25B5F6AA">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回用水</w:t>
                  </w:r>
                </w:p>
              </w:tc>
              <w:tc>
                <w:tcPr>
                  <w:tcW w:w="945" w:type="dxa"/>
                  <w:vAlign w:val="center"/>
                </w:tcPr>
                <w:p w14:paraId="3FD481F4">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回用水池</w:t>
                  </w:r>
                </w:p>
              </w:tc>
              <w:tc>
                <w:tcPr>
                  <w:tcW w:w="1890" w:type="dxa"/>
                  <w:vAlign w:val="center"/>
                </w:tcPr>
                <w:p w14:paraId="2DFF99E9">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pH、BOD</w:t>
                  </w:r>
                  <w:r>
                    <w:rPr>
                      <w:rFonts w:hint="eastAsia" w:ascii="宋体" w:hAnsi="宋体" w:cs="宋体"/>
                      <w:kern w:val="0"/>
                      <w:sz w:val="21"/>
                      <w:szCs w:val="21"/>
                      <w:vertAlign w:val="subscript"/>
                      <w:lang w:bidi="ar"/>
                    </w:rPr>
                    <w:t>5</w:t>
                  </w:r>
                  <w:r>
                    <w:rPr>
                      <w:rFonts w:hint="eastAsia" w:ascii="宋体" w:hAnsi="宋体" w:cs="宋体"/>
                      <w:kern w:val="0"/>
                      <w:sz w:val="21"/>
                      <w:szCs w:val="21"/>
                      <w:lang w:bidi="ar"/>
                    </w:rPr>
                    <w:t>、氨氮等</w:t>
                  </w:r>
                </w:p>
              </w:tc>
              <w:tc>
                <w:tcPr>
                  <w:tcW w:w="1215" w:type="dxa"/>
                  <w:vAlign w:val="center"/>
                </w:tcPr>
                <w:p w14:paraId="735D231B">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每季度1次</w:t>
                  </w:r>
                </w:p>
              </w:tc>
              <w:tc>
                <w:tcPr>
                  <w:tcW w:w="2544" w:type="dxa"/>
                  <w:vMerge w:val="continue"/>
                  <w:vAlign w:val="center"/>
                </w:tcPr>
                <w:p w14:paraId="23C19A6F">
                  <w:pPr>
                    <w:widowControl/>
                    <w:spacing w:line="240" w:lineRule="auto"/>
                    <w:ind w:firstLine="0" w:firstLineChars="0"/>
                    <w:jc w:val="center"/>
                    <w:rPr>
                      <w:rFonts w:hint="eastAsia" w:ascii="宋体" w:hAnsi="宋体" w:cs="宋体"/>
                      <w:kern w:val="0"/>
                      <w:sz w:val="21"/>
                      <w:szCs w:val="21"/>
                      <w:lang w:bidi="ar"/>
                    </w:rPr>
                  </w:pPr>
                </w:p>
              </w:tc>
            </w:tr>
            <w:tr w14:paraId="1F0EF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continue"/>
                  <w:vAlign w:val="center"/>
                </w:tcPr>
                <w:p w14:paraId="16492F79">
                  <w:pPr>
                    <w:widowControl/>
                    <w:spacing w:line="240" w:lineRule="auto"/>
                    <w:ind w:firstLine="0" w:firstLineChars="0"/>
                    <w:jc w:val="center"/>
                    <w:rPr>
                      <w:rFonts w:hint="eastAsia" w:ascii="宋体" w:hAnsi="宋体" w:cs="宋体"/>
                      <w:kern w:val="0"/>
                      <w:sz w:val="21"/>
                      <w:szCs w:val="21"/>
                      <w:lang w:bidi="ar"/>
                    </w:rPr>
                  </w:pPr>
                </w:p>
              </w:tc>
              <w:tc>
                <w:tcPr>
                  <w:tcW w:w="900" w:type="dxa"/>
                  <w:vAlign w:val="center"/>
                </w:tcPr>
                <w:p w14:paraId="50B246CE">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地表水</w:t>
                  </w:r>
                </w:p>
              </w:tc>
              <w:tc>
                <w:tcPr>
                  <w:tcW w:w="945" w:type="dxa"/>
                  <w:vAlign w:val="center"/>
                </w:tcPr>
                <w:p w14:paraId="660DC586">
                  <w:pPr>
                    <w:widowControl/>
                    <w:spacing w:line="240" w:lineRule="auto"/>
                    <w:ind w:firstLine="0" w:firstLineChars="0"/>
                    <w:jc w:val="center"/>
                    <w:rPr>
                      <w:rFonts w:hint="default" w:ascii="宋体" w:hAnsi="宋体" w:eastAsia="宋体" w:cs="宋体"/>
                      <w:kern w:val="0"/>
                      <w:sz w:val="21"/>
                      <w:szCs w:val="21"/>
                      <w:lang w:val="en-US" w:eastAsia="zh-CN" w:bidi="ar"/>
                    </w:rPr>
                  </w:pPr>
                  <w:r>
                    <w:rPr>
                      <w:rFonts w:hint="eastAsia" w:ascii="宋体" w:hAnsi="宋体" w:cs="宋体"/>
                      <w:kern w:val="0"/>
                      <w:sz w:val="21"/>
                      <w:szCs w:val="21"/>
                      <w:lang w:bidi="ar"/>
                    </w:rPr>
                    <w:t>鸡街河</w:t>
                  </w:r>
                  <w:r>
                    <w:rPr>
                      <w:rFonts w:hint="eastAsia" w:ascii="宋体" w:hAnsi="宋体" w:cs="宋体"/>
                      <w:kern w:val="0"/>
                      <w:sz w:val="21"/>
                      <w:szCs w:val="21"/>
                      <w:lang w:eastAsia="zh-CN" w:bidi="ar"/>
                    </w:rPr>
                    <w:t>、</w:t>
                  </w:r>
                  <w:r>
                    <w:rPr>
                      <w:rFonts w:hint="eastAsia" w:ascii="宋体" w:hAnsi="宋体" w:cs="宋体"/>
                      <w:kern w:val="0"/>
                      <w:sz w:val="21"/>
                      <w:szCs w:val="21"/>
                      <w:lang w:val="en-US" w:eastAsia="zh-CN" w:bidi="ar"/>
                    </w:rPr>
                    <w:t>卡巴拉河</w:t>
                  </w:r>
                </w:p>
              </w:tc>
              <w:tc>
                <w:tcPr>
                  <w:tcW w:w="1890" w:type="dxa"/>
                  <w:vAlign w:val="center"/>
                </w:tcPr>
                <w:p w14:paraId="1E015CC9">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总磷、氟化物、pH、化学需氧量、氨氮、铜、锌、砷、汞、镉、铬、铅</w:t>
                  </w:r>
                </w:p>
              </w:tc>
              <w:tc>
                <w:tcPr>
                  <w:tcW w:w="1215" w:type="dxa"/>
                  <w:vAlign w:val="center"/>
                </w:tcPr>
                <w:p w14:paraId="362A7201">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每季度1次</w:t>
                  </w:r>
                </w:p>
              </w:tc>
              <w:tc>
                <w:tcPr>
                  <w:tcW w:w="2544" w:type="dxa"/>
                  <w:vAlign w:val="center"/>
                </w:tcPr>
                <w:p w14:paraId="3CF14B92">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《地表水环境质量标准》（GB3838-2002）</w:t>
                  </w:r>
                  <w:r>
                    <w:rPr>
                      <w:rFonts w:hint="eastAsia" w:ascii="方正仿宋_GB2312" w:hAnsi="方正仿宋_GB2312" w:eastAsia="方正仿宋_GB2312" w:cs="方正仿宋_GB2312"/>
                    </w:rPr>
                    <w:t>Ⅲ</w:t>
                  </w:r>
                  <w:r>
                    <w:rPr>
                      <w:rFonts w:hint="eastAsia" w:ascii="宋体" w:hAnsi="宋体" w:cs="宋体"/>
                      <w:kern w:val="0"/>
                      <w:sz w:val="21"/>
                      <w:szCs w:val="21"/>
                      <w:lang w:bidi="ar"/>
                    </w:rPr>
                    <w:t>类标准</w:t>
                  </w:r>
                </w:p>
              </w:tc>
            </w:tr>
            <w:tr w14:paraId="7CDA00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continue"/>
                  <w:vAlign w:val="center"/>
                </w:tcPr>
                <w:p w14:paraId="26442BE8">
                  <w:pPr>
                    <w:widowControl/>
                    <w:spacing w:line="240" w:lineRule="auto"/>
                    <w:ind w:firstLine="0" w:firstLineChars="0"/>
                    <w:jc w:val="center"/>
                    <w:rPr>
                      <w:rFonts w:hint="eastAsia" w:ascii="宋体" w:hAnsi="宋体" w:cs="宋体"/>
                      <w:kern w:val="0"/>
                      <w:sz w:val="21"/>
                      <w:szCs w:val="21"/>
                      <w:lang w:bidi="ar"/>
                    </w:rPr>
                  </w:pPr>
                </w:p>
              </w:tc>
              <w:tc>
                <w:tcPr>
                  <w:tcW w:w="900" w:type="dxa"/>
                  <w:vAlign w:val="center"/>
                </w:tcPr>
                <w:p w14:paraId="692AC427">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地下水</w:t>
                  </w:r>
                </w:p>
              </w:tc>
              <w:tc>
                <w:tcPr>
                  <w:tcW w:w="945" w:type="dxa"/>
                  <w:vAlign w:val="center"/>
                </w:tcPr>
                <w:p w14:paraId="4F1E86D6">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项目区地下水监控井</w:t>
                  </w:r>
                </w:p>
              </w:tc>
              <w:tc>
                <w:tcPr>
                  <w:tcW w:w="1890" w:type="dxa"/>
                  <w:vAlign w:val="center"/>
                </w:tcPr>
                <w:p w14:paraId="4D0BF849">
                  <w:pPr>
                    <w:widowControl/>
                    <w:spacing w:line="240" w:lineRule="auto"/>
                    <w:ind w:firstLine="0" w:firstLineChars="0"/>
                    <w:jc w:val="center"/>
                    <w:rPr>
                      <w:rFonts w:hint="eastAsia" w:ascii="宋体" w:hAnsi="宋体" w:cs="宋体"/>
                      <w:kern w:val="0"/>
                      <w:sz w:val="21"/>
                      <w:szCs w:val="21"/>
                      <w:lang w:bidi="ar"/>
                    </w:rPr>
                  </w:pPr>
                  <w:r>
                    <w:rPr>
                      <w:rFonts w:hint="eastAsia"/>
                      <w:sz w:val="21"/>
                      <w:szCs w:val="21"/>
                    </w:rPr>
                    <w:t>pH、氟化物、氯化物、硫酸盐、硝酸盐、亚硝酸盐、铜、锌、汞、砷、硒、镉、铬、铅</w:t>
                  </w:r>
                </w:p>
              </w:tc>
              <w:tc>
                <w:tcPr>
                  <w:tcW w:w="1215" w:type="dxa"/>
                  <w:vAlign w:val="center"/>
                </w:tcPr>
                <w:p w14:paraId="7F294912">
                  <w:pPr>
                    <w:widowControl/>
                    <w:spacing w:line="240" w:lineRule="auto"/>
                    <w:ind w:firstLine="0" w:firstLineChars="0"/>
                    <w:jc w:val="center"/>
                    <w:rPr>
                      <w:sz w:val="21"/>
                      <w:szCs w:val="21"/>
                    </w:rPr>
                  </w:pPr>
                  <w:r>
                    <w:rPr>
                      <w:rFonts w:hint="eastAsia"/>
                      <w:sz w:val="21"/>
                      <w:szCs w:val="21"/>
                    </w:rPr>
                    <w:t>每年在丰水期、枯水期各监测一次</w:t>
                  </w:r>
                </w:p>
              </w:tc>
              <w:tc>
                <w:tcPr>
                  <w:tcW w:w="2544" w:type="dxa"/>
                  <w:vAlign w:val="center"/>
                </w:tcPr>
                <w:p w14:paraId="10F0CA22">
                  <w:pPr>
                    <w:widowControl/>
                    <w:spacing w:line="240" w:lineRule="auto"/>
                    <w:ind w:firstLine="0" w:firstLineChars="0"/>
                    <w:jc w:val="center"/>
                    <w:rPr>
                      <w:sz w:val="21"/>
                      <w:szCs w:val="21"/>
                    </w:rPr>
                  </w:pPr>
                  <w:r>
                    <w:rPr>
                      <w:rFonts w:hint="eastAsia"/>
                      <w:sz w:val="21"/>
                      <w:szCs w:val="21"/>
                    </w:rPr>
                    <w:t>《地下水质量标准》（GB/T14848-217）Ⅲ类标准</w:t>
                  </w:r>
                </w:p>
              </w:tc>
            </w:tr>
            <w:tr w14:paraId="00CFBB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continue"/>
                  <w:vAlign w:val="center"/>
                </w:tcPr>
                <w:p w14:paraId="298505CE">
                  <w:pPr>
                    <w:widowControl/>
                    <w:spacing w:line="240" w:lineRule="auto"/>
                    <w:ind w:firstLine="0" w:firstLineChars="0"/>
                    <w:jc w:val="center"/>
                    <w:rPr>
                      <w:rFonts w:hint="eastAsia" w:ascii="宋体" w:hAnsi="宋体" w:cs="宋体"/>
                      <w:kern w:val="0"/>
                      <w:sz w:val="21"/>
                      <w:szCs w:val="21"/>
                      <w:lang w:bidi="ar"/>
                    </w:rPr>
                  </w:pPr>
                </w:p>
              </w:tc>
              <w:tc>
                <w:tcPr>
                  <w:tcW w:w="900" w:type="dxa"/>
                  <w:vAlign w:val="center"/>
                </w:tcPr>
                <w:p w14:paraId="7911786E">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生态修复材料</w:t>
                  </w:r>
                </w:p>
              </w:tc>
              <w:tc>
                <w:tcPr>
                  <w:tcW w:w="945" w:type="dxa"/>
                  <w:vAlign w:val="center"/>
                </w:tcPr>
                <w:p w14:paraId="5E0BD2A7">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生态修复材料来源地</w:t>
                  </w:r>
                </w:p>
              </w:tc>
              <w:tc>
                <w:tcPr>
                  <w:tcW w:w="1890" w:type="dxa"/>
                  <w:vAlign w:val="center"/>
                </w:tcPr>
                <w:p w14:paraId="5F721EB9">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pH、氟化物、磷酸盐、总汞、总镉、总铬、六价铬、总砷、总铅、总镍、总锌、总铍、总银、烷基汞</w:t>
                  </w:r>
                </w:p>
              </w:tc>
              <w:tc>
                <w:tcPr>
                  <w:tcW w:w="1215" w:type="dxa"/>
                  <w:vAlign w:val="center"/>
                </w:tcPr>
                <w:p w14:paraId="2CFF7C06">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每一批次均需要检测</w:t>
                  </w:r>
                </w:p>
              </w:tc>
              <w:tc>
                <w:tcPr>
                  <w:tcW w:w="2544" w:type="dxa"/>
                  <w:vAlign w:val="center"/>
                </w:tcPr>
                <w:p w14:paraId="55B0211F">
                  <w:pPr>
                    <w:widowControl/>
                    <w:spacing w:line="240" w:lineRule="auto"/>
                    <w:ind w:firstLine="0" w:firstLineChars="0"/>
                    <w:jc w:val="center"/>
                    <w:rPr>
                      <w:rFonts w:hint="eastAsia" w:ascii="宋体" w:hAnsi="宋体" w:cs="宋体"/>
                      <w:kern w:val="0"/>
                      <w:sz w:val="21"/>
                      <w:szCs w:val="21"/>
                      <w:lang w:bidi="ar"/>
                    </w:rPr>
                  </w:pPr>
                  <w:r>
                    <w:rPr>
                      <w:rFonts w:hint="eastAsia"/>
                      <w:sz w:val="21"/>
                      <w:szCs w:val="21"/>
                    </w:rPr>
                    <w:t>满足《改性磷石膏用于矿山废弃地生态修复回填技术规范》（DB53/T1269-2024）、《磷石膏的处理处置规范》（GB/T 32124-2024）相关要求。</w:t>
                  </w:r>
                </w:p>
              </w:tc>
            </w:tr>
            <w:tr w14:paraId="6130D5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continue"/>
                  <w:vAlign w:val="center"/>
                </w:tcPr>
                <w:p w14:paraId="62D209AE">
                  <w:pPr>
                    <w:widowControl/>
                    <w:spacing w:line="240" w:lineRule="auto"/>
                    <w:ind w:firstLine="0" w:firstLineChars="0"/>
                    <w:jc w:val="center"/>
                    <w:rPr>
                      <w:rFonts w:hint="eastAsia" w:ascii="宋体" w:hAnsi="宋体" w:cs="宋体"/>
                      <w:kern w:val="0"/>
                      <w:sz w:val="21"/>
                      <w:szCs w:val="21"/>
                      <w:lang w:bidi="ar"/>
                    </w:rPr>
                  </w:pPr>
                </w:p>
              </w:tc>
              <w:tc>
                <w:tcPr>
                  <w:tcW w:w="900" w:type="dxa"/>
                  <w:vAlign w:val="center"/>
                </w:tcPr>
                <w:p w14:paraId="21E067A6">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耕植土</w:t>
                  </w:r>
                </w:p>
              </w:tc>
              <w:tc>
                <w:tcPr>
                  <w:tcW w:w="945" w:type="dxa"/>
                  <w:vAlign w:val="center"/>
                </w:tcPr>
                <w:p w14:paraId="0A528C0A">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耕植土</w:t>
                  </w:r>
                </w:p>
              </w:tc>
              <w:tc>
                <w:tcPr>
                  <w:tcW w:w="1890" w:type="dxa"/>
                  <w:vAlign w:val="center"/>
                </w:tcPr>
                <w:p w14:paraId="4C67B1E4">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pH、氟化物</w:t>
                  </w:r>
                </w:p>
              </w:tc>
              <w:tc>
                <w:tcPr>
                  <w:tcW w:w="1215" w:type="dxa"/>
                  <w:vAlign w:val="center"/>
                </w:tcPr>
                <w:p w14:paraId="2D7A7C96">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每一批次均需要检测</w:t>
                  </w:r>
                </w:p>
              </w:tc>
              <w:tc>
                <w:tcPr>
                  <w:tcW w:w="2544" w:type="dxa"/>
                  <w:vAlign w:val="center"/>
                </w:tcPr>
                <w:p w14:paraId="5D9ED34B">
                  <w:pPr>
                    <w:widowControl/>
                    <w:spacing w:line="240" w:lineRule="auto"/>
                    <w:ind w:firstLine="0" w:firstLineChars="0"/>
                    <w:rPr>
                      <w:rFonts w:hint="eastAsia" w:ascii="宋体" w:hAnsi="宋体" w:cs="宋体"/>
                      <w:kern w:val="0"/>
                      <w:sz w:val="21"/>
                      <w:szCs w:val="21"/>
                      <w:lang w:bidi="ar"/>
                    </w:rPr>
                  </w:pPr>
                  <w:r>
                    <w:rPr>
                      <w:rFonts w:hint="eastAsia" w:ascii="宋体" w:hAnsi="宋体" w:cs="宋体"/>
                      <w:kern w:val="0"/>
                      <w:sz w:val="21"/>
                      <w:szCs w:val="21"/>
                      <w:lang w:bidi="ar"/>
                    </w:rPr>
                    <w:t>满足《土壤环境质量农用地土污染风险管控标准（试行）》（</w:t>
                  </w:r>
                  <w:r>
                    <w:rPr>
                      <w:rFonts w:ascii="宋体" w:hAnsi="宋体" w:cs="宋体"/>
                      <w:kern w:val="0"/>
                      <w:sz w:val="21"/>
                      <w:szCs w:val="21"/>
                      <w:lang w:bidi="ar"/>
                    </w:rPr>
                    <w:t>GB15618-2018</w:t>
                  </w:r>
                  <w:r>
                    <w:rPr>
                      <w:rFonts w:hint="eastAsia" w:ascii="宋体" w:hAnsi="宋体" w:cs="宋体"/>
                      <w:kern w:val="0"/>
                      <w:sz w:val="21"/>
                      <w:szCs w:val="21"/>
                      <w:lang w:bidi="ar"/>
                    </w:rPr>
                    <w:t>）中标准限值。</w:t>
                  </w:r>
                </w:p>
              </w:tc>
            </w:tr>
            <w:tr w14:paraId="73211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continue"/>
                  <w:vAlign w:val="center"/>
                </w:tcPr>
                <w:p w14:paraId="0B3D954D">
                  <w:pPr>
                    <w:widowControl/>
                    <w:spacing w:line="240" w:lineRule="auto"/>
                    <w:ind w:firstLine="0" w:firstLineChars="0"/>
                    <w:jc w:val="center"/>
                    <w:rPr>
                      <w:rFonts w:hint="eastAsia" w:ascii="宋体" w:hAnsi="宋体" w:cs="宋体"/>
                      <w:kern w:val="0"/>
                      <w:sz w:val="21"/>
                      <w:szCs w:val="21"/>
                      <w:lang w:bidi="ar"/>
                    </w:rPr>
                  </w:pPr>
                </w:p>
              </w:tc>
              <w:tc>
                <w:tcPr>
                  <w:tcW w:w="900" w:type="dxa"/>
                  <w:vAlign w:val="center"/>
                </w:tcPr>
                <w:p w14:paraId="012F8E81">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土壤</w:t>
                  </w:r>
                </w:p>
              </w:tc>
              <w:tc>
                <w:tcPr>
                  <w:tcW w:w="945" w:type="dxa"/>
                  <w:vAlign w:val="center"/>
                </w:tcPr>
                <w:p w14:paraId="61F05187">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设置4个监测点</w:t>
                  </w:r>
                </w:p>
              </w:tc>
              <w:tc>
                <w:tcPr>
                  <w:tcW w:w="1890" w:type="dxa"/>
                  <w:vAlign w:val="center"/>
                </w:tcPr>
                <w:p w14:paraId="43EB411F">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pH、氟化物、铜、铅、锌、镉、砷、汞</w:t>
                  </w:r>
                </w:p>
              </w:tc>
              <w:tc>
                <w:tcPr>
                  <w:tcW w:w="1215" w:type="dxa"/>
                  <w:vAlign w:val="center"/>
                </w:tcPr>
                <w:p w14:paraId="17B41CB4">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每年1次</w:t>
                  </w:r>
                </w:p>
              </w:tc>
              <w:tc>
                <w:tcPr>
                  <w:tcW w:w="2544" w:type="dxa"/>
                  <w:vAlign w:val="center"/>
                </w:tcPr>
                <w:p w14:paraId="1C77F312">
                  <w:pPr>
                    <w:pStyle w:val="71"/>
                    <w:adjustRightInd w:val="0"/>
                    <w:spacing w:line="240" w:lineRule="auto"/>
                    <w:ind w:firstLine="0" w:firstLineChars="0"/>
                    <w:jc w:val="center"/>
                    <w:rPr>
                      <w:sz w:val="21"/>
                      <w:szCs w:val="21"/>
                      <w:lang w:val="en-US"/>
                    </w:rPr>
                  </w:pPr>
                  <w:r>
                    <w:rPr>
                      <w:rFonts w:hint="eastAsia"/>
                      <w:sz w:val="21"/>
                      <w:szCs w:val="21"/>
                      <w:lang w:val="en-US"/>
                    </w:rPr>
                    <w:t>满足《土壤环境质量建设用地土壤污染风险管控标准（试行）》（</w:t>
                  </w:r>
                  <w:r>
                    <w:rPr>
                      <w:sz w:val="21"/>
                      <w:szCs w:val="21"/>
                      <w:lang w:val="en-US"/>
                    </w:rPr>
                    <w:t>GB36600-2018</w:t>
                  </w:r>
                  <w:r>
                    <w:rPr>
                      <w:rFonts w:hint="eastAsia"/>
                      <w:sz w:val="21"/>
                      <w:szCs w:val="21"/>
                      <w:lang w:val="en-US"/>
                    </w:rPr>
                    <w:t>）和《土壤环境质量农用地土壤污染风险管控标准（试行）》</w:t>
                  </w:r>
                </w:p>
                <w:p w14:paraId="49E91B29">
                  <w:pPr>
                    <w:pStyle w:val="71"/>
                    <w:adjustRightInd w:val="0"/>
                    <w:spacing w:line="240" w:lineRule="auto"/>
                    <w:ind w:firstLine="0" w:firstLineChars="0"/>
                    <w:jc w:val="center"/>
                    <w:rPr>
                      <w:rFonts w:hint="eastAsia" w:ascii="宋体" w:hAnsi="宋体" w:cs="宋体"/>
                      <w:kern w:val="0"/>
                      <w:sz w:val="21"/>
                      <w:szCs w:val="21"/>
                      <w:lang w:val="en-US" w:bidi="ar"/>
                    </w:rPr>
                  </w:pPr>
                  <w:r>
                    <w:rPr>
                      <w:rFonts w:hint="eastAsia"/>
                      <w:sz w:val="21"/>
                      <w:szCs w:val="21"/>
                      <w:lang w:val="en-US"/>
                    </w:rPr>
                    <w:t>（</w:t>
                  </w:r>
                  <w:r>
                    <w:rPr>
                      <w:sz w:val="21"/>
                      <w:szCs w:val="21"/>
                      <w:lang w:val="en-US"/>
                    </w:rPr>
                    <w:t>GB15618-2018</w:t>
                  </w:r>
                  <w:r>
                    <w:rPr>
                      <w:rFonts w:hint="eastAsia"/>
                      <w:sz w:val="21"/>
                      <w:szCs w:val="21"/>
                      <w:lang w:val="en-US"/>
                    </w:rPr>
                    <w:t>）中标准限值</w:t>
                  </w:r>
                </w:p>
              </w:tc>
            </w:tr>
            <w:tr w14:paraId="25A81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restart"/>
                  <w:vAlign w:val="center"/>
                </w:tcPr>
                <w:p w14:paraId="0EEBC322">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运营期</w:t>
                  </w:r>
                </w:p>
              </w:tc>
              <w:tc>
                <w:tcPr>
                  <w:tcW w:w="900" w:type="dxa"/>
                  <w:vAlign w:val="center"/>
                </w:tcPr>
                <w:p w14:paraId="1D7D64B8">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地下水</w:t>
                  </w:r>
                </w:p>
              </w:tc>
              <w:tc>
                <w:tcPr>
                  <w:tcW w:w="945" w:type="dxa"/>
                  <w:vAlign w:val="center"/>
                </w:tcPr>
                <w:p w14:paraId="2D6BC6F4">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项目区地下水监控井</w:t>
                  </w:r>
                </w:p>
                <w:p w14:paraId="0D03D2FC">
                  <w:pPr>
                    <w:pStyle w:val="15"/>
                    <w:ind w:firstLine="602"/>
                    <w:rPr>
                      <w:color w:val="auto"/>
                    </w:rPr>
                  </w:pPr>
                </w:p>
                <w:p w14:paraId="4E4B2236">
                  <w:pPr>
                    <w:pStyle w:val="15"/>
                    <w:ind w:firstLine="602"/>
                    <w:rPr>
                      <w:color w:val="auto"/>
                    </w:rPr>
                  </w:pPr>
                </w:p>
              </w:tc>
              <w:tc>
                <w:tcPr>
                  <w:tcW w:w="1890" w:type="dxa"/>
                  <w:vAlign w:val="center"/>
                </w:tcPr>
                <w:p w14:paraId="5F596C9E">
                  <w:pPr>
                    <w:widowControl/>
                    <w:spacing w:line="240" w:lineRule="auto"/>
                    <w:ind w:firstLine="0" w:firstLineChars="0"/>
                    <w:jc w:val="center"/>
                    <w:rPr>
                      <w:rFonts w:hint="eastAsia" w:ascii="宋体" w:hAnsi="宋体" w:cs="宋体"/>
                      <w:kern w:val="0"/>
                      <w:sz w:val="21"/>
                      <w:szCs w:val="21"/>
                      <w:lang w:bidi="ar"/>
                    </w:rPr>
                  </w:pPr>
                  <w:r>
                    <w:rPr>
                      <w:rFonts w:hint="eastAsia"/>
                      <w:sz w:val="21"/>
                      <w:szCs w:val="21"/>
                    </w:rPr>
                    <w:t>pH、氟化物、氯化物、硫酸盐、硝酸盐、亚硝酸盐、铜、锌、汞、砷、硒、镉、铬、铅、总磷</w:t>
                  </w:r>
                </w:p>
              </w:tc>
              <w:tc>
                <w:tcPr>
                  <w:tcW w:w="1215" w:type="dxa"/>
                  <w:vAlign w:val="center"/>
                </w:tcPr>
                <w:p w14:paraId="65BB9634">
                  <w:pPr>
                    <w:widowControl/>
                    <w:spacing w:line="240" w:lineRule="auto"/>
                    <w:ind w:firstLine="0" w:firstLineChars="0"/>
                    <w:jc w:val="center"/>
                    <w:rPr>
                      <w:sz w:val="21"/>
                      <w:szCs w:val="21"/>
                    </w:rPr>
                  </w:pPr>
                  <w:r>
                    <w:rPr>
                      <w:rFonts w:hint="eastAsia"/>
                      <w:sz w:val="21"/>
                      <w:szCs w:val="21"/>
                    </w:rPr>
                    <w:t>每年在丰水期、枯水期各监测一次，直到相关指标连续3年内，年均检测指标持续稳定，特征指标不呈上升趋势</w:t>
                  </w:r>
                </w:p>
              </w:tc>
              <w:tc>
                <w:tcPr>
                  <w:tcW w:w="2544" w:type="dxa"/>
                  <w:vAlign w:val="center"/>
                </w:tcPr>
                <w:p w14:paraId="7FFF3177">
                  <w:pPr>
                    <w:widowControl/>
                    <w:spacing w:line="240" w:lineRule="auto"/>
                    <w:ind w:firstLine="0" w:firstLineChars="0"/>
                    <w:jc w:val="center"/>
                    <w:rPr>
                      <w:sz w:val="21"/>
                      <w:szCs w:val="21"/>
                    </w:rPr>
                  </w:pPr>
                  <w:r>
                    <w:rPr>
                      <w:rFonts w:hint="eastAsia"/>
                      <w:sz w:val="21"/>
                      <w:szCs w:val="21"/>
                    </w:rPr>
                    <w:t>《地下水质量标准》（GB/T14848-217）Ⅲ类标准</w:t>
                  </w:r>
                </w:p>
              </w:tc>
            </w:tr>
            <w:tr w14:paraId="407E72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47" w:type="dxa"/>
                  <w:vMerge w:val="continue"/>
                  <w:vAlign w:val="center"/>
                </w:tcPr>
                <w:p w14:paraId="32D606A0">
                  <w:pPr>
                    <w:widowControl/>
                    <w:spacing w:line="240" w:lineRule="auto"/>
                    <w:ind w:firstLine="0" w:firstLineChars="0"/>
                    <w:jc w:val="center"/>
                    <w:rPr>
                      <w:rFonts w:hint="eastAsia" w:ascii="宋体" w:hAnsi="宋体" w:cs="宋体"/>
                      <w:kern w:val="0"/>
                      <w:sz w:val="21"/>
                      <w:szCs w:val="21"/>
                      <w:lang w:bidi="ar"/>
                    </w:rPr>
                  </w:pPr>
                </w:p>
              </w:tc>
              <w:tc>
                <w:tcPr>
                  <w:tcW w:w="900" w:type="dxa"/>
                  <w:vAlign w:val="center"/>
                </w:tcPr>
                <w:p w14:paraId="345643D2">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地表水</w:t>
                  </w:r>
                </w:p>
              </w:tc>
              <w:tc>
                <w:tcPr>
                  <w:tcW w:w="945" w:type="dxa"/>
                  <w:vAlign w:val="center"/>
                </w:tcPr>
                <w:p w14:paraId="467E9AD4">
                  <w:pPr>
                    <w:widowControl/>
                    <w:spacing w:line="240" w:lineRule="auto"/>
                    <w:ind w:firstLine="0" w:firstLineChars="0"/>
                    <w:jc w:val="center"/>
                    <w:rPr>
                      <w:rFonts w:hint="eastAsia" w:ascii="宋体" w:hAnsi="宋体" w:eastAsia="宋体" w:cs="宋体"/>
                      <w:kern w:val="0"/>
                      <w:sz w:val="21"/>
                      <w:szCs w:val="21"/>
                      <w:lang w:eastAsia="zh-CN" w:bidi="ar"/>
                    </w:rPr>
                  </w:pPr>
                  <w:r>
                    <w:rPr>
                      <w:rFonts w:hint="eastAsia" w:ascii="宋体" w:hAnsi="宋体" w:cs="宋体"/>
                      <w:kern w:val="0"/>
                      <w:sz w:val="21"/>
                      <w:szCs w:val="21"/>
                      <w:lang w:val="en-US" w:eastAsia="zh-CN" w:bidi="ar"/>
                    </w:rPr>
                    <w:t>卡巴拉河</w:t>
                  </w:r>
                </w:p>
              </w:tc>
              <w:tc>
                <w:tcPr>
                  <w:tcW w:w="1890" w:type="dxa"/>
                  <w:vAlign w:val="center"/>
                </w:tcPr>
                <w:p w14:paraId="03191332">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总磷、氟化物、pH、化学需氧量、氨氮、铜、锌、砷、汞、镉、铬、铅</w:t>
                  </w:r>
                </w:p>
              </w:tc>
              <w:tc>
                <w:tcPr>
                  <w:tcW w:w="1215" w:type="dxa"/>
                  <w:vAlign w:val="center"/>
                </w:tcPr>
                <w:p w14:paraId="7516E30E">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每季度1次，</w:t>
                  </w:r>
                  <w:r>
                    <w:rPr>
                      <w:rFonts w:hint="eastAsia"/>
                      <w:sz w:val="21"/>
                      <w:szCs w:val="21"/>
                    </w:rPr>
                    <w:t>直到相关指标连续3年内，年均检测指标持续稳定，特征指标不呈上升趋势</w:t>
                  </w:r>
                </w:p>
              </w:tc>
              <w:tc>
                <w:tcPr>
                  <w:tcW w:w="2544" w:type="dxa"/>
                  <w:vAlign w:val="center"/>
                </w:tcPr>
                <w:p w14:paraId="7384B79E">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《地表水环境质量标准》（GB3838-2002）</w:t>
                  </w:r>
                  <w:r>
                    <w:rPr>
                      <w:rFonts w:hint="eastAsia" w:ascii="方正仿宋_GB2312" w:hAnsi="方正仿宋_GB2312" w:eastAsia="方正仿宋_GB2312" w:cs="方正仿宋_GB2312"/>
                    </w:rPr>
                    <w:t>Ⅲ</w:t>
                  </w:r>
                  <w:r>
                    <w:rPr>
                      <w:rFonts w:hint="eastAsia" w:ascii="宋体" w:hAnsi="宋体" w:cs="宋体"/>
                      <w:kern w:val="0"/>
                      <w:sz w:val="21"/>
                      <w:szCs w:val="21"/>
                      <w:lang w:bidi="ar"/>
                    </w:rPr>
                    <w:t>类标准</w:t>
                  </w:r>
                </w:p>
              </w:tc>
            </w:tr>
            <w:tr w14:paraId="1F17AA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3" w:hRule="atLeast"/>
              </w:trPr>
              <w:tc>
                <w:tcPr>
                  <w:tcW w:w="747" w:type="dxa"/>
                  <w:vMerge w:val="continue"/>
                  <w:vAlign w:val="center"/>
                </w:tcPr>
                <w:p w14:paraId="2C9EE3E4">
                  <w:pPr>
                    <w:widowControl/>
                    <w:spacing w:line="240" w:lineRule="auto"/>
                    <w:ind w:firstLine="0" w:firstLineChars="0"/>
                    <w:jc w:val="center"/>
                    <w:rPr>
                      <w:rFonts w:hint="eastAsia" w:ascii="宋体" w:hAnsi="宋体" w:cs="宋体"/>
                      <w:kern w:val="0"/>
                      <w:sz w:val="21"/>
                      <w:szCs w:val="21"/>
                      <w:lang w:bidi="ar"/>
                    </w:rPr>
                  </w:pPr>
                </w:p>
              </w:tc>
              <w:tc>
                <w:tcPr>
                  <w:tcW w:w="900" w:type="dxa"/>
                  <w:vAlign w:val="center"/>
                </w:tcPr>
                <w:p w14:paraId="17518BF9">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土壤</w:t>
                  </w:r>
                </w:p>
              </w:tc>
              <w:tc>
                <w:tcPr>
                  <w:tcW w:w="945" w:type="dxa"/>
                  <w:vAlign w:val="center"/>
                </w:tcPr>
                <w:p w14:paraId="5531A592">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设置4个监测点</w:t>
                  </w:r>
                </w:p>
              </w:tc>
              <w:tc>
                <w:tcPr>
                  <w:tcW w:w="1890" w:type="dxa"/>
                  <w:vAlign w:val="center"/>
                </w:tcPr>
                <w:p w14:paraId="1B2F10DB">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pH、氟化物、铜、铅、锌、镉、砷、汞</w:t>
                  </w:r>
                </w:p>
              </w:tc>
              <w:tc>
                <w:tcPr>
                  <w:tcW w:w="1215" w:type="dxa"/>
                  <w:vAlign w:val="center"/>
                </w:tcPr>
                <w:p w14:paraId="0F350008">
                  <w:pPr>
                    <w:widowControl/>
                    <w:spacing w:line="240" w:lineRule="auto"/>
                    <w:ind w:firstLine="0" w:firstLineChars="0"/>
                    <w:jc w:val="center"/>
                    <w:rPr>
                      <w:rFonts w:hint="eastAsia" w:ascii="宋体" w:hAnsi="宋体" w:cs="宋体"/>
                      <w:kern w:val="0"/>
                      <w:sz w:val="21"/>
                      <w:szCs w:val="21"/>
                      <w:lang w:bidi="ar"/>
                    </w:rPr>
                  </w:pPr>
                  <w:r>
                    <w:rPr>
                      <w:rFonts w:hint="eastAsia" w:ascii="宋体" w:hAnsi="宋体" w:cs="宋体"/>
                      <w:kern w:val="0"/>
                      <w:sz w:val="21"/>
                      <w:szCs w:val="21"/>
                      <w:lang w:bidi="ar"/>
                    </w:rPr>
                    <w:t>每年1次，</w:t>
                  </w:r>
                  <w:r>
                    <w:rPr>
                      <w:rFonts w:hint="eastAsia"/>
                      <w:sz w:val="21"/>
                      <w:szCs w:val="21"/>
                    </w:rPr>
                    <w:t>直到相关指标连续3年内，年均检测指标持续稳定，特征指标不呈上升趋势</w:t>
                  </w:r>
                </w:p>
              </w:tc>
              <w:tc>
                <w:tcPr>
                  <w:tcW w:w="2544" w:type="dxa"/>
                  <w:vAlign w:val="center"/>
                </w:tcPr>
                <w:p w14:paraId="2E95C47E">
                  <w:pPr>
                    <w:pStyle w:val="71"/>
                    <w:adjustRightInd w:val="0"/>
                    <w:spacing w:line="240" w:lineRule="auto"/>
                    <w:ind w:firstLine="0" w:firstLineChars="0"/>
                    <w:jc w:val="center"/>
                    <w:rPr>
                      <w:sz w:val="21"/>
                      <w:szCs w:val="21"/>
                      <w:lang w:val="en-US"/>
                    </w:rPr>
                  </w:pPr>
                  <w:r>
                    <w:rPr>
                      <w:rFonts w:hint="eastAsia"/>
                      <w:sz w:val="21"/>
                      <w:szCs w:val="21"/>
                      <w:lang w:val="en-US"/>
                    </w:rPr>
                    <w:t>满足《土壤环境质量建设用地土壤污染风险管控标准（试行）》（</w:t>
                  </w:r>
                  <w:r>
                    <w:rPr>
                      <w:sz w:val="21"/>
                      <w:szCs w:val="21"/>
                      <w:lang w:val="en-US"/>
                    </w:rPr>
                    <w:t>GB36600-2018</w:t>
                  </w:r>
                  <w:r>
                    <w:rPr>
                      <w:rFonts w:hint="eastAsia"/>
                      <w:sz w:val="21"/>
                      <w:szCs w:val="21"/>
                      <w:lang w:val="en-US"/>
                    </w:rPr>
                    <w:t>）和《土壤环境质量农用地土壤污染风险管控标准（试行）》</w:t>
                  </w:r>
                </w:p>
                <w:p w14:paraId="471D4C4C">
                  <w:pPr>
                    <w:pStyle w:val="71"/>
                    <w:adjustRightInd w:val="0"/>
                    <w:spacing w:line="240" w:lineRule="auto"/>
                    <w:ind w:firstLine="0" w:firstLineChars="0"/>
                    <w:jc w:val="center"/>
                    <w:rPr>
                      <w:sz w:val="21"/>
                      <w:szCs w:val="21"/>
                      <w:lang w:val="en-US"/>
                    </w:rPr>
                  </w:pPr>
                  <w:r>
                    <w:rPr>
                      <w:rFonts w:hint="eastAsia"/>
                      <w:sz w:val="21"/>
                      <w:szCs w:val="21"/>
                      <w:lang w:val="en-US"/>
                    </w:rPr>
                    <w:t>（</w:t>
                  </w:r>
                  <w:r>
                    <w:rPr>
                      <w:sz w:val="21"/>
                      <w:szCs w:val="21"/>
                      <w:lang w:val="en-US"/>
                    </w:rPr>
                    <w:t>GB15618-2018</w:t>
                  </w:r>
                  <w:r>
                    <w:rPr>
                      <w:rFonts w:hint="eastAsia"/>
                      <w:sz w:val="21"/>
                      <w:szCs w:val="21"/>
                      <w:lang w:val="en-US"/>
                    </w:rPr>
                    <w:t>）相关要求</w:t>
                  </w:r>
                </w:p>
              </w:tc>
            </w:tr>
          </w:tbl>
          <w:p w14:paraId="6D2DBC0B">
            <w:pPr>
              <w:pStyle w:val="71"/>
              <w:adjustRightInd w:val="0"/>
              <w:ind w:firstLine="496"/>
              <w:jc w:val="center"/>
              <w:rPr>
                <w:lang w:val="en-US"/>
              </w:rPr>
            </w:pPr>
          </w:p>
        </w:tc>
      </w:tr>
      <w:tr w14:paraId="180C3DD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1" w:hRule="atLeast"/>
          <w:jc w:val="center"/>
        </w:trPr>
        <w:tc>
          <w:tcPr>
            <w:tcW w:w="753" w:type="dxa"/>
            <w:vAlign w:val="center"/>
          </w:tcPr>
          <w:p w14:paraId="05BFD662">
            <w:pPr>
              <w:adjustRightInd w:val="0"/>
              <w:snapToGrid w:val="0"/>
              <w:spacing w:line="240" w:lineRule="auto"/>
              <w:ind w:firstLine="0" w:firstLineChars="0"/>
              <w:jc w:val="center"/>
              <w:rPr>
                <w:bCs/>
                <w:spacing w:val="10"/>
                <w:szCs w:val="21"/>
              </w:rPr>
            </w:pPr>
            <w:r>
              <w:rPr>
                <w:rFonts w:hint="eastAsia"/>
                <w:bCs/>
                <w:szCs w:val="21"/>
              </w:rPr>
              <w:t>环保投资</w:t>
            </w:r>
          </w:p>
        </w:tc>
        <w:tc>
          <w:tcPr>
            <w:tcW w:w="8457" w:type="dxa"/>
          </w:tcPr>
          <w:p w14:paraId="4DFFFEF2">
            <w:pPr>
              <w:widowControl/>
              <w:adjustRightInd w:val="0"/>
              <w:snapToGrid w:val="0"/>
              <w:ind w:firstLine="480"/>
              <w:rPr>
                <w:rFonts w:hint="eastAsia"/>
                <w:kern w:val="0"/>
                <w:lang w:bidi="ar"/>
              </w:rPr>
            </w:pPr>
            <w:r>
              <w:rPr>
                <w:rFonts w:hint="eastAsia"/>
                <w:kern w:val="0"/>
                <w:lang w:bidi="ar"/>
              </w:rPr>
              <w:t>项目总投资6373.87万元，其中环保投资864.5万元，占总投资的13.56%，环保投资明细见下表。</w:t>
            </w:r>
          </w:p>
          <w:p w14:paraId="2866F801">
            <w:pPr>
              <w:pStyle w:val="71"/>
              <w:adjustRightInd w:val="0"/>
              <w:spacing w:line="240" w:lineRule="auto"/>
              <w:ind w:firstLine="0" w:firstLineChars="0"/>
              <w:jc w:val="center"/>
              <w:rPr>
                <w:b/>
                <w:spacing w:val="0"/>
                <w:kern w:val="2"/>
                <w:sz w:val="24"/>
                <w:szCs w:val="24"/>
                <w:lang w:val="en-US"/>
              </w:rPr>
            </w:pPr>
            <w:r>
              <w:rPr>
                <w:rFonts w:hint="eastAsia"/>
                <w:b/>
                <w:bCs/>
                <w:spacing w:val="0"/>
                <w:kern w:val="0"/>
                <w:sz w:val="24"/>
                <w:szCs w:val="24"/>
                <w:lang w:val="en-US" w:bidi="ar"/>
              </w:rPr>
              <w:t>表5-</w:t>
            </w:r>
            <w:r>
              <w:rPr>
                <w:rFonts w:hint="eastAsia"/>
                <w:b/>
                <w:bCs/>
                <w:spacing w:val="0"/>
                <w:kern w:val="0"/>
                <w:sz w:val="24"/>
                <w:szCs w:val="24"/>
                <w:lang w:val="en-US" w:eastAsia="zh-CN" w:bidi="ar"/>
              </w:rPr>
              <w:t xml:space="preserve">5  </w:t>
            </w:r>
            <w:r>
              <w:rPr>
                <w:rFonts w:hint="eastAsia"/>
                <w:b/>
                <w:bCs/>
                <w:spacing w:val="0"/>
                <w:kern w:val="0"/>
                <w:sz w:val="24"/>
                <w:szCs w:val="24"/>
                <w:lang w:val="en-US" w:bidi="ar"/>
              </w:rPr>
              <w:t>项目环保投资估算表</w:t>
            </w:r>
          </w:p>
          <w:tbl>
            <w:tblPr>
              <w:tblStyle w:val="41"/>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7"/>
              <w:gridCol w:w="855"/>
              <w:gridCol w:w="5955"/>
              <w:gridCol w:w="1014"/>
            </w:tblGrid>
            <w:tr w14:paraId="02FA4E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407" w:type="dxa"/>
                  <w:vAlign w:val="center"/>
                </w:tcPr>
                <w:p w14:paraId="63818880">
                  <w:pPr>
                    <w:pStyle w:val="71"/>
                    <w:adjustRightInd w:val="0"/>
                    <w:spacing w:line="240" w:lineRule="auto"/>
                    <w:ind w:firstLine="0" w:firstLineChars="0"/>
                    <w:jc w:val="center"/>
                    <w:rPr>
                      <w:b/>
                      <w:bCs/>
                      <w:sz w:val="21"/>
                      <w:szCs w:val="21"/>
                      <w:lang w:val="en-US"/>
                    </w:rPr>
                  </w:pPr>
                  <w:r>
                    <w:rPr>
                      <w:rFonts w:hint="eastAsia"/>
                      <w:b/>
                      <w:bCs/>
                      <w:sz w:val="21"/>
                      <w:szCs w:val="21"/>
                      <w:lang w:val="en-US"/>
                    </w:rPr>
                    <w:t>时段</w:t>
                  </w:r>
                </w:p>
              </w:tc>
              <w:tc>
                <w:tcPr>
                  <w:tcW w:w="855" w:type="dxa"/>
                  <w:vAlign w:val="center"/>
                </w:tcPr>
                <w:p w14:paraId="337BCEE8">
                  <w:pPr>
                    <w:pStyle w:val="71"/>
                    <w:adjustRightInd w:val="0"/>
                    <w:spacing w:line="240" w:lineRule="auto"/>
                    <w:ind w:firstLine="0" w:firstLineChars="0"/>
                    <w:jc w:val="center"/>
                    <w:rPr>
                      <w:b/>
                      <w:bCs/>
                      <w:sz w:val="21"/>
                      <w:szCs w:val="21"/>
                      <w:lang w:val="en-US"/>
                    </w:rPr>
                  </w:pPr>
                  <w:r>
                    <w:rPr>
                      <w:rFonts w:hint="eastAsia"/>
                      <w:b/>
                      <w:bCs/>
                      <w:sz w:val="21"/>
                      <w:szCs w:val="21"/>
                      <w:lang w:val="en-US"/>
                    </w:rPr>
                    <w:t>类别</w:t>
                  </w:r>
                </w:p>
              </w:tc>
              <w:tc>
                <w:tcPr>
                  <w:tcW w:w="5955" w:type="dxa"/>
                  <w:vAlign w:val="center"/>
                </w:tcPr>
                <w:p w14:paraId="78B261CC">
                  <w:pPr>
                    <w:pStyle w:val="71"/>
                    <w:adjustRightInd w:val="0"/>
                    <w:spacing w:line="240" w:lineRule="auto"/>
                    <w:ind w:firstLine="0" w:firstLineChars="0"/>
                    <w:jc w:val="center"/>
                    <w:rPr>
                      <w:b/>
                      <w:bCs/>
                      <w:sz w:val="21"/>
                      <w:szCs w:val="21"/>
                      <w:lang w:val="en-US"/>
                    </w:rPr>
                  </w:pPr>
                  <w:r>
                    <w:rPr>
                      <w:rFonts w:hint="eastAsia"/>
                      <w:b/>
                      <w:bCs/>
                      <w:sz w:val="21"/>
                      <w:szCs w:val="21"/>
                      <w:lang w:val="en-US"/>
                    </w:rPr>
                    <w:t>环保治理措施</w:t>
                  </w:r>
                </w:p>
              </w:tc>
              <w:tc>
                <w:tcPr>
                  <w:tcW w:w="1014" w:type="dxa"/>
                  <w:vAlign w:val="center"/>
                </w:tcPr>
                <w:p w14:paraId="7E5E2818">
                  <w:pPr>
                    <w:pStyle w:val="71"/>
                    <w:adjustRightInd w:val="0"/>
                    <w:spacing w:line="240" w:lineRule="auto"/>
                    <w:ind w:firstLine="0" w:firstLineChars="0"/>
                    <w:jc w:val="center"/>
                    <w:rPr>
                      <w:b/>
                      <w:bCs/>
                      <w:sz w:val="21"/>
                      <w:szCs w:val="21"/>
                      <w:lang w:val="en-US"/>
                    </w:rPr>
                  </w:pPr>
                  <w:r>
                    <w:rPr>
                      <w:rFonts w:hint="eastAsia"/>
                      <w:b/>
                      <w:bCs/>
                      <w:sz w:val="21"/>
                      <w:szCs w:val="21"/>
                      <w:lang w:val="en-US"/>
                    </w:rPr>
                    <w:t>投资（万元）</w:t>
                  </w:r>
                </w:p>
              </w:tc>
            </w:tr>
            <w:tr w14:paraId="6DB5C9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restart"/>
                  <w:vAlign w:val="center"/>
                </w:tcPr>
                <w:p w14:paraId="1A9184EB">
                  <w:pPr>
                    <w:pStyle w:val="71"/>
                    <w:adjustRightInd w:val="0"/>
                    <w:spacing w:line="240" w:lineRule="auto"/>
                    <w:ind w:firstLine="0" w:firstLineChars="0"/>
                    <w:jc w:val="center"/>
                    <w:rPr>
                      <w:sz w:val="21"/>
                      <w:szCs w:val="21"/>
                      <w:lang w:val="en-US"/>
                    </w:rPr>
                  </w:pPr>
                  <w:r>
                    <w:rPr>
                      <w:rFonts w:hint="eastAsia"/>
                      <w:sz w:val="21"/>
                      <w:szCs w:val="21"/>
                      <w:lang w:val="en-US"/>
                    </w:rPr>
                    <w:t>施工期</w:t>
                  </w:r>
                </w:p>
              </w:tc>
              <w:tc>
                <w:tcPr>
                  <w:tcW w:w="855" w:type="dxa"/>
                  <w:vMerge w:val="restart"/>
                  <w:vAlign w:val="center"/>
                </w:tcPr>
                <w:p w14:paraId="4B744239">
                  <w:pPr>
                    <w:pStyle w:val="71"/>
                    <w:adjustRightInd w:val="0"/>
                    <w:spacing w:line="240" w:lineRule="auto"/>
                    <w:ind w:firstLine="0" w:firstLineChars="0"/>
                    <w:jc w:val="center"/>
                    <w:rPr>
                      <w:sz w:val="21"/>
                      <w:szCs w:val="21"/>
                      <w:lang w:val="en-US"/>
                    </w:rPr>
                  </w:pPr>
                  <w:r>
                    <w:rPr>
                      <w:rFonts w:hint="eastAsia"/>
                      <w:sz w:val="21"/>
                      <w:szCs w:val="21"/>
                      <w:lang w:val="en-US"/>
                    </w:rPr>
                    <w:t>废气</w:t>
                  </w:r>
                </w:p>
              </w:tc>
              <w:tc>
                <w:tcPr>
                  <w:tcW w:w="5955" w:type="dxa"/>
                  <w:vAlign w:val="center"/>
                </w:tcPr>
                <w:p w14:paraId="1EE668DF">
                  <w:pPr>
                    <w:pStyle w:val="71"/>
                    <w:adjustRightInd w:val="0"/>
                    <w:spacing w:line="240" w:lineRule="auto"/>
                    <w:ind w:firstLine="0" w:firstLineChars="0"/>
                    <w:jc w:val="center"/>
                    <w:rPr>
                      <w:sz w:val="21"/>
                      <w:szCs w:val="21"/>
                      <w:lang w:val="en-US"/>
                    </w:rPr>
                  </w:pPr>
                  <w:r>
                    <w:rPr>
                      <w:rFonts w:hint="eastAsia"/>
                      <w:sz w:val="21"/>
                      <w:szCs w:val="21"/>
                      <w:lang w:val="en-US"/>
                    </w:rPr>
                    <w:t>洒水降尘、篷布遮盖、控制车速、洒水车1辆</w:t>
                  </w:r>
                </w:p>
              </w:tc>
              <w:tc>
                <w:tcPr>
                  <w:tcW w:w="1014" w:type="dxa"/>
                  <w:vAlign w:val="center"/>
                </w:tcPr>
                <w:p w14:paraId="54A6EE55">
                  <w:pPr>
                    <w:pStyle w:val="71"/>
                    <w:adjustRightInd w:val="0"/>
                    <w:spacing w:line="240" w:lineRule="auto"/>
                    <w:ind w:firstLine="0" w:firstLineChars="0"/>
                    <w:jc w:val="center"/>
                    <w:rPr>
                      <w:sz w:val="21"/>
                      <w:szCs w:val="21"/>
                      <w:lang w:val="en-US"/>
                    </w:rPr>
                  </w:pPr>
                  <w:r>
                    <w:rPr>
                      <w:rFonts w:hint="eastAsia"/>
                      <w:sz w:val="21"/>
                      <w:szCs w:val="21"/>
                      <w:lang w:val="en-US"/>
                    </w:rPr>
                    <w:t>6</w:t>
                  </w:r>
                </w:p>
              </w:tc>
            </w:tr>
            <w:tr w14:paraId="278AF8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4A98CC09">
                  <w:pPr>
                    <w:pStyle w:val="71"/>
                    <w:adjustRightInd w:val="0"/>
                    <w:spacing w:line="240" w:lineRule="auto"/>
                    <w:ind w:firstLine="0" w:firstLineChars="0"/>
                    <w:jc w:val="center"/>
                    <w:rPr>
                      <w:sz w:val="21"/>
                      <w:szCs w:val="21"/>
                      <w:lang w:val="en-US"/>
                    </w:rPr>
                  </w:pPr>
                </w:p>
              </w:tc>
              <w:tc>
                <w:tcPr>
                  <w:tcW w:w="855" w:type="dxa"/>
                  <w:vMerge w:val="continue"/>
                  <w:vAlign w:val="center"/>
                </w:tcPr>
                <w:p w14:paraId="16262611">
                  <w:pPr>
                    <w:pStyle w:val="71"/>
                    <w:adjustRightInd w:val="0"/>
                    <w:spacing w:line="240" w:lineRule="auto"/>
                    <w:ind w:firstLine="0" w:firstLineChars="0"/>
                    <w:jc w:val="center"/>
                    <w:rPr>
                      <w:sz w:val="21"/>
                      <w:szCs w:val="21"/>
                      <w:lang w:val="en-US"/>
                    </w:rPr>
                  </w:pPr>
                </w:p>
              </w:tc>
              <w:tc>
                <w:tcPr>
                  <w:tcW w:w="5955" w:type="dxa"/>
                  <w:vAlign w:val="center"/>
                </w:tcPr>
                <w:p w14:paraId="68DE8AE4">
                  <w:pPr>
                    <w:pStyle w:val="71"/>
                    <w:adjustRightInd w:val="0"/>
                    <w:spacing w:line="240" w:lineRule="auto"/>
                    <w:ind w:firstLine="0" w:firstLineChars="0"/>
                    <w:jc w:val="center"/>
                    <w:rPr>
                      <w:sz w:val="21"/>
                      <w:szCs w:val="21"/>
                      <w:lang w:val="en-US"/>
                    </w:rPr>
                  </w:pPr>
                  <w:r>
                    <w:rPr>
                      <w:rFonts w:hint="eastAsia"/>
                      <w:sz w:val="21"/>
                      <w:szCs w:val="21"/>
                      <w:lang w:val="en-US"/>
                    </w:rPr>
                    <w:t>每季度对项目区大气环境进行监测</w:t>
                  </w:r>
                </w:p>
              </w:tc>
              <w:tc>
                <w:tcPr>
                  <w:tcW w:w="1014" w:type="dxa"/>
                  <w:vAlign w:val="center"/>
                </w:tcPr>
                <w:p w14:paraId="4CC78F00">
                  <w:pPr>
                    <w:pStyle w:val="71"/>
                    <w:adjustRightInd w:val="0"/>
                    <w:spacing w:line="240" w:lineRule="auto"/>
                    <w:ind w:firstLine="0" w:firstLineChars="0"/>
                    <w:jc w:val="center"/>
                    <w:rPr>
                      <w:sz w:val="21"/>
                      <w:szCs w:val="21"/>
                      <w:lang w:val="en-US"/>
                    </w:rPr>
                  </w:pPr>
                  <w:r>
                    <w:rPr>
                      <w:rFonts w:hint="eastAsia"/>
                      <w:sz w:val="21"/>
                      <w:szCs w:val="21"/>
                      <w:lang w:val="en-US"/>
                    </w:rPr>
                    <w:t>5</w:t>
                  </w:r>
                </w:p>
              </w:tc>
            </w:tr>
            <w:tr w14:paraId="7EE872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15447A04">
                  <w:pPr>
                    <w:pStyle w:val="71"/>
                    <w:adjustRightInd w:val="0"/>
                    <w:spacing w:line="240" w:lineRule="auto"/>
                    <w:ind w:firstLine="0" w:firstLineChars="0"/>
                    <w:jc w:val="center"/>
                    <w:rPr>
                      <w:sz w:val="21"/>
                      <w:szCs w:val="21"/>
                      <w:lang w:val="en-US"/>
                    </w:rPr>
                  </w:pPr>
                </w:p>
              </w:tc>
              <w:tc>
                <w:tcPr>
                  <w:tcW w:w="855" w:type="dxa"/>
                  <w:vMerge w:val="restart"/>
                  <w:vAlign w:val="center"/>
                </w:tcPr>
                <w:p w14:paraId="41D4C0E4">
                  <w:pPr>
                    <w:pStyle w:val="71"/>
                    <w:adjustRightInd w:val="0"/>
                    <w:spacing w:line="240" w:lineRule="auto"/>
                    <w:ind w:firstLine="0" w:firstLineChars="0"/>
                    <w:jc w:val="center"/>
                    <w:rPr>
                      <w:sz w:val="21"/>
                      <w:szCs w:val="21"/>
                      <w:lang w:val="en-US"/>
                    </w:rPr>
                  </w:pPr>
                  <w:r>
                    <w:rPr>
                      <w:rFonts w:hint="eastAsia"/>
                      <w:sz w:val="21"/>
                      <w:szCs w:val="21"/>
                      <w:lang w:val="en-US"/>
                    </w:rPr>
                    <w:t>废水</w:t>
                  </w:r>
                </w:p>
              </w:tc>
              <w:tc>
                <w:tcPr>
                  <w:tcW w:w="5955" w:type="dxa"/>
                  <w:vAlign w:val="center"/>
                </w:tcPr>
                <w:p w14:paraId="0A89E1E3">
                  <w:pPr>
                    <w:pStyle w:val="71"/>
                    <w:adjustRightInd w:val="0"/>
                    <w:spacing w:line="240" w:lineRule="auto"/>
                    <w:ind w:firstLine="0" w:firstLineChars="0"/>
                    <w:jc w:val="center"/>
                    <w:rPr>
                      <w:sz w:val="21"/>
                      <w:szCs w:val="21"/>
                      <w:lang w:val="en-US"/>
                    </w:rPr>
                  </w:pPr>
                  <w:r>
                    <w:rPr>
                      <w:rFonts w:hint="eastAsia"/>
                      <w:sz w:val="21"/>
                      <w:szCs w:val="21"/>
                      <w:lang w:val="en-US"/>
                    </w:rPr>
                    <w:t>建1座3m³临时沉淀池收集施工人员洗手废水和施工废水</w:t>
                  </w:r>
                </w:p>
              </w:tc>
              <w:tc>
                <w:tcPr>
                  <w:tcW w:w="1014" w:type="dxa"/>
                  <w:vAlign w:val="center"/>
                </w:tcPr>
                <w:p w14:paraId="7BD306A2">
                  <w:pPr>
                    <w:pStyle w:val="71"/>
                    <w:adjustRightInd w:val="0"/>
                    <w:spacing w:line="240" w:lineRule="auto"/>
                    <w:ind w:firstLine="0" w:firstLineChars="0"/>
                    <w:jc w:val="center"/>
                    <w:rPr>
                      <w:sz w:val="21"/>
                      <w:szCs w:val="21"/>
                      <w:lang w:val="en-US"/>
                    </w:rPr>
                  </w:pPr>
                  <w:r>
                    <w:rPr>
                      <w:rFonts w:hint="eastAsia"/>
                      <w:sz w:val="21"/>
                      <w:szCs w:val="21"/>
                      <w:lang w:val="en-US"/>
                    </w:rPr>
                    <w:t>4</w:t>
                  </w:r>
                </w:p>
              </w:tc>
            </w:tr>
            <w:tr w14:paraId="393611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70E00F4F">
                  <w:pPr>
                    <w:pStyle w:val="71"/>
                    <w:adjustRightInd w:val="0"/>
                    <w:spacing w:line="240" w:lineRule="auto"/>
                    <w:ind w:firstLine="0" w:firstLineChars="0"/>
                    <w:jc w:val="center"/>
                    <w:rPr>
                      <w:sz w:val="21"/>
                      <w:szCs w:val="21"/>
                      <w:lang w:val="en-US"/>
                    </w:rPr>
                  </w:pPr>
                </w:p>
              </w:tc>
              <w:tc>
                <w:tcPr>
                  <w:tcW w:w="855" w:type="dxa"/>
                  <w:vMerge w:val="continue"/>
                  <w:vAlign w:val="center"/>
                </w:tcPr>
                <w:p w14:paraId="4208DA20">
                  <w:pPr>
                    <w:pStyle w:val="71"/>
                    <w:adjustRightInd w:val="0"/>
                    <w:spacing w:line="240" w:lineRule="auto"/>
                    <w:ind w:firstLine="0" w:firstLineChars="0"/>
                    <w:jc w:val="center"/>
                    <w:rPr>
                      <w:sz w:val="21"/>
                      <w:szCs w:val="21"/>
                      <w:lang w:val="en-US"/>
                    </w:rPr>
                  </w:pPr>
                </w:p>
              </w:tc>
              <w:tc>
                <w:tcPr>
                  <w:tcW w:w="5955" w:type="dxa"/>
                  <w:vAlign w:val="center"/>
                </w:tcPr>
                <w:p w14:paraId="420D2D08">
                  <w:pPr>
                    <w:pStyle w:val="71"/>
                    <w:adjustRightInd w:val="0"/>
                    <w:spacing w:line="240" w:lineRule="auto"/>
                    <w:ind w:firstLine="0" w:firstLineChars="0"/>
                    <w:jc w:val="center"/>
                    <w:rPr>
                      <w:sz w:val="21"/>
                      <w:szCs w:val="21"/>
                      <w:lang w:val="en-US"/>
                    </w:rPr>
                  </w:pPr>
                  <w:r>
                    <w:rPr>
                      <w:rFonts w:hint="eastAsia"/>
                      <w:sz w:val="21"/>
                      <w:szCs w:val="21"/>
                      <w:lang w:val="en-US"/>
                    </w:rPr>
                    <w:t>地下水导排系统及</w:t>
                  </w:r>
                  <w:r>
                    <w:rPr>
                      <w:rFonts w:hint="eastAsia"/>
                      <w:sz w:val="21"/>
                      <w:szCs w:val="21"/>
                      <w:lang w:val="en-US" w:eastAsia="zh-CN"/>
                    </w:rPr>
                    <w:t>2</w:t>
                  </w:r>
                  <w:r>
                    <w:rPr>
                      <w:rFonts w:hint="eastAsia"/>
                      <w:sz w:val="21"/>
                      <w:szCs w:val="21"/>
                      <w:lang w:val="en-US"/>
                    </w:rPr>
                    <w:t>座地下水收集井</w:t>
                  </w:r>
                </w:p>
              </w:tc>
              <w:tc>
                <w:tcPr>
                  <w:tcW w:w="1014" w:type="dxa"/>
                  <w:vAlign w:val="center"/>
                </w:tcPr>
                <w:p w14:paraId="63E1B606">
                  <w:pPr>
                    <w:pStyle w:val="71"/>
                    <w:adjustRightInd w:val="0"/>
                    <w:spacing w:line="240" w:lineRule="auto"/>
                    <w:ind w:firstLine="0" w:firstLineChars="0"/>
                    <w:jc w:val="center"/>
                    <w:rPr>
                      <w:sz w:val="21"/>
                      <w:szCs w:val="21"/>
                      <w:lang w:val="en-US"/>
                    </w:rPr>
                  </w:pPr>
                  <w:r>
                    <w:rPr>
                      <w:rFonts w:hint="eastAsia"/>
                      <w:sz w:val="21"/>
                      <w:szCs w:val="21"/>
                      <w:lang w:val="en-US"/>
                    </w:rPr>
                    <w:t>4.48</w:t>
                  </w:r>
                </w:p>
              </w:tc>
            </w:tr>
            <w:tr w14:paraId="059EEB1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6E085BA5">
                  <w:pPr>
                    <w:pStyle w:val="71"/>
                    <w:adjustRightInd w:val="0"/>
                    <w:spacing w:line="240" w:lineRule="auto"/>
                    <w:ind w:firstLine="0" w:firstLineChars="0"/>
                    <w:jc w:val="center"/>
                    <w:rPr>
                      <w:sz w:val="21"/>
                      <w:szCs w:val="21"/>
                      <w:lang w:val="en-US"/>
                    </w:rPr>
                  </w:pPr>
                </w:p>
              </w:tc>
              <w:tc>
                <w:tcPr>
                  <w:tcW w:w="855" w:type="dxa"/>
                  <w:vMerge w:val="continue"/>
                  <w:vAlign w:val="center"/>
                </w:tcPr>
                <w:p w14:paraId="7FDC9C19">
                  <w:pPr>
                    <w:pStyle w:val="71"/>
                    <w:adjustRightInd w:val="0"/>
                    <w:spacing w:line="240" w:lineRule="auto"/>
                    <w:ind w:firstLine="0" w:firstLineChars="0"/>
                    <w:jc w:val="center"/>
                    <w:rPr>
                      <w:sz w:val="21"/>
                      <w:szCs w:val="21"/>
                      <w:lang w:val="en-US"/>
                    </w:rPr>
                  </w:pPr>
                </w:p>
              </w:tc>
              <w:tc>
                <w:tcPr>
                  <w:tcW w:w="5955" w:type="dxa"/>
                  <w:vAlign w:val="center"/>
                </w:tcPr>
                <w:p w14:paraId="639C9947">
                  <w:pPr>
                    <w:pStyle w:val="71"/>
                    <w:adjustRightInd w:val="0"/>
                    <w:spacing w:line="240" w:lineRule="auto"/>
                    <w:ind w:firstLine="0" w:firstLineChars="0"/>
                    <w:jc w:val="center"/>
                    <w:rPr>
                      <w:sz w:val="21"/>
                      <w:szCs w:val="21"/>
                      <w:lang w:val="en-US"/>
                    </w:rPr>
                  </w:pPr>
                  <w:r>
                    <w:rPr>
                      <w:rFonts w:hint="eastAsia"/>
                      <w:sz w:val="21"/>
                      <w:szCs w:val="21"/>
                      <w:lang w:val="en-US"/>
                    </w:rPr>
                    <w:t>渗滤液导排系统及</w:t>
                  </w:r>
                  <w:r>
                    <w:rPr>
                      <w:rFonts w:hint="eastAsia"/>
                      <w:sz w:val="21"/>
                      <w:szCs w:val="21"/>
                      <w:lang w:val="en-US" w:eastAsia="zh-CN"/>
                    </w:rPr>
                    <w:t>2</w:t>
                  </w:r>
                  <w:r>
                    <w:rPr>
                      <w:rFonts w:hint="eastAsia"/>
                      <w:sz w:val="21"/>
                      <w:szCs w:val="21"/>
                      <w:lang w:val="en-US"/>
                    </w:rPr>
                    <w:t>座渗滤液收集井</w:t>
                  </w:r>
                </w:p>
              </w:tc>
              <w:tc>
                <w:tcPr>
                  <w:tcW w:w="1014" w:type="dxa"/>
                  <w:vAlign w:val="center"/>
                </w:tcPr>
                <w:p w14:paraId="748EBE38">
                  <w:pPr>
                    <w:pStyle w:val="71"/>
                    <w:adjustRightInd w:val="0"/>
                    <w:spacing w:line="240" w:lineRule="auto"/>
                    <w:ind w:firstLine="0" w:firstLineChars="0"/>
                    <w:jc w:val="center"/>
                    <w:rPr>
                      <w:sz w:val="21"/>
                      <w:szCs w:val="21"/>
                      <w:lang w:val="en-US"/>
                    </w:rPr>
                  </w:pPr>
                  <w:r>
                    <w:rPr>
                      <w:rFonts w:hint="eastAsia"/>
                      <w:sz w:val="21"/>
                      <w:szCs w:val="21"/>
                      <w:lang w:val="en-US"/>
                    </w:rPr>
                    <w:t>4.5</w:t>
                  </w:r>
                </w:p>
              </w:tc>
            </w:tr>
            <w:tr w14:paraId="6B652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 w:type="dxa"/>
                  <w:vMerge w:val="continue"/>
                  <w:vAlign w:val="center"/>
                </w:tcPr>
                <w:p w14:paraId="500F52A5">
                  <w:pPr>
                    <w:pStyle w:val="71"/>
                    <w:adjustRightInd w:val="0"/>
                    <w:spacing w:line="240" w:lineRule="auto"/>
                    <w:ind w:firstLine="0" w:firstLineChars="0"/>
                    <w:jc w:val="center"/>
                    <w:rPr>
                      <w:sz w:val="21"/>
                      <w:szCs w:val="21"/>
                      <w:lang w:val="en-US"/>
                    </w:rPr>
                  </w:pPr>
                </w:p>
              </w:tc>
              <w:tc>
                <w:tcPr>
                  <w:tcW w:w="855" w:type="dxa"/>
                  <w:vMerge w:val="continue"/>
                  <w:vAlign w:val="center"/>
                </w:tcPr>
                <w:p w14:paraId="0DEDD0A7">
                  <w:pPr>
                    <w:pStyle w:val="71"/>
                    <w:adjustRightInd w:val="0"/>
                    <w:spacing w:line="240" w:lineRule="auto"/>
                    <w:ind w:firstLine="0" w:firstLineChars="0"/>
                    <w:jc w:val="center"/>
                    <w:rPr>
                      <w:sz w:val="21"/>
                      <w:szCs w:val="21"/>
                      <w:lang w:val="en-US"/>
                    </w:rPr>
                  </w:pPr>
                </w:p>
              </w:tc>
              <w:tc>
                <w:tcPr>
                  <w:tcW w:w="5955" w:type="dxa"/>
                  <w:vAlign w:val="center"/>
                </w:tcPr>
                <w:p w14:paraId="691A6321">
                  <w:pPr>
                    <w:pStyle w:val="71"/>
                    <w:adjustRightInd w:val="0"/>
                    <w:spacing w:line="240" w:lineRule="auto"/>
                    <w:ind w:firstLine="0" w:firstLineChars="0"/>
                    <w:jc w:val="center"/>
                    <w:rPr>
                      <w:sz w:val="21"/>
                      <w:szCs w:val="21"/>
                      <w:lang w:val="en-US"/>
                    </w:rPr>
                  </w:pPr>
                  <w:r>
                    <w:rPr>
                      <w:rFonts w:hint="eastAsia"/>
                      <w:sz w:val="21"/>
                      <w:szCs w:val="21"/>
                      <w:lang w:val="en-US" w:eastAsia="zh-CN"/>
                    </w:rPr>
                    <w:t>2</w:t>
                  </w:r>
                  <w:r>
                    <w:rPr>
                      <w:rFonts w:hint="eastAsia"/>
                      <w:sz w:val="21"/>
                      <w:szCs w:val="21"/>
                      <w:lang w:val="en-US"/>
                    </w:rPr>
                    <w:t>座回用水池</w:t>
                  </w:r>
                </w:p>
              </w:tc>
              <w:tc>
                <w:tcPr>
                  <w:tcW w:w="1014" w:type="dxa"/>
                  <w:vAlign w:val="center"/>
                </w:tcPr>
                <w:p w14:paraId="614A6BC1">
                  <w:pPr>
                    <w:pStyle w:val="71"/>
                    <w:adjustRightInd w:val="0"/>
                    <w:spacing w:line="240" w:lineRule="auto"/>
                    <w:ind w:firstLine="0" w:firstLineChars="0"/>
                    <w:jc w:val="center"/>
                    <w:rPr>
                      <w:sz w:val="21"/>
                      <w:szCs w:val="21"/>
                      <w:lang w:val="en-US"/>
                    </w:rPr>
                  </w:pPr>
                  <w:r>
                    <w:rPr>
                      <w:rFonts w:hint="eastAsia"/>
                      <w:sz w:val="21"/>
                      <w:szCs w:val="21"/>
                      <w:lang w:val="en-US"/>
                    </w:rPr>
                    <w:t>5</w:t>
                  </w:r>
                </w:p>
              </w:tc>
            </w:tr>
            <w:tr w14:paraId="2F8308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 w:type="dxa"/>
                  <w:vMerge w:val="continue"/>
                  <w:vAlign w:val="center"/>
                </w:tcPr>
                <w:p w14:paraId="36FE7B97">
                  <w:pPr>
                    <w:pStyle w:val="71"/>
                    <w:adjustRightInd w:val="0"/>
                    <w:spacing w:line="240" w:lineRule="auto"/>
                    <w:ind w:firstLine="0" w:firstLineChars="0"/>
                    <w:jc w:val="center"/>
                    <w:rPr>
                      <w:sz w:val="21"/>
                      <w:szCs w:val="21"/>
                      <w:lang w:val="en-US"/>
                    </w:rPr>
                  </w:pPr>
                </w:p>
              </w:tc>
              <w:tc>
                <w:tcPr>
                  <w:tcW w:w="855" w:type="dxa"/>
                  <w:vMerge w:val="continue"/>
                  <w:vAlign w:val="center"/>
                </w:tcPr>
                <w:p w14:paraId="21B50136">
                  <w:pPr>
                    <w:pStyle w:val="71"/>
                    <w:adjustRightInd w:val="0"/>
                    <w:spacing w:line="240" w:lineRule="auto"/>
                    <w:ind w:firstLine="0" w:firstLineChars="0"/>
                    <w:jc w:val="center"/>
                    <w:rPr>
                      <w:sz w:val="21"/>
                      <w:szCs w:val="21"/>
                      <w:lang w:val="en-US"/>
                    </w:rPr>
                  </w:pPr>
                </w:p>
              </w:tc>
              <w:tc>
                <w:tcPr>
                  <w:tcW w:w="5955" w:type="dxa"/>
                  <w:vAlign w:val="center"/>
                </w:tcPr>
                <w:p w14:paraId="66507656">
                  <w:pPr>
                    <w:pStyle w:val="71"/>
                    <w:adjustRightInd w:val="0"/>
                    <w:spacing w:line="240" w:lineRule="auto"/>
                    <w:ind w:firstLine="0" w:firstLineChars="0"/>
                    <w:jc w:val="center"/>
                    <w:rPr>
                      <w:sz w:val="21"/>
                      <w:szCs w:val="21"/>
                      <w:lang w:val="en-US"/>
                    </w:rPr>
                  </w:pPr>
                  <w:r>
                    <w:rPr>
                      <w:rFonts w:hint="eastAsia"/>
                      <w:sz w:val="21"/>
                      <w:szCs w:val="21"/>
                      <w:lang w:val="en-US"/>
                    </w:rPr>
                    <w:t>截排水沟及1座沉砂池</w:t>
                  </w:r>
                </w:p>
              </w:tc>
              <w:tc>
                <w:tcPr>
                  <w:tcW w:w="1014" w:type="dxa"/>
                  <w:vAlign w:val="center"/>
                </w:tcPr>
                <w:p w14:paraId="79D90767">
                  <w:pPr>
                    <w:pStyle w:val="71"/>
                    <w:adjustRightInd w:val="0"/>
                    <w:spacing w:line="240" w:lineRule="auto"/>
                    <w:ind w:firstLine="0" w:firstLineChars="0"/>
                    <w:jc w:val="center"/>
                    <w:rPr>
                      <w:sz w:val="21"/>
                      <w:szCs w:val="21"/>
                      <w:lang w:val="en-US"/>
                    </w:rPr>
                  </w:pPr>
                  <w:r>
                    <w:rPr>
                      <w:rFonts w:hint="eastAsia"/>
                      <w:sz w:val="21"/>
                      <w:szCs w:val="21"/>
                      <w:lang w:val="en-US"/>
                    </w:rPr>
                    <w:t>95.27</w:t>
                  </w:r>
                </w:p>
              </w:tc>
            </w:tr>
            <w:tr w14:paraId="750D9C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 w:type="dxa"/>
                  <w:vMerge w:val="continue"/>
                  <w:vAlign w:val="center"/>
                </w:tcPr>
                <w:p w14:paraId="24BD32C4">
                  <w:pPr>
                    <w:pStyle w:val="71"/>
                    <w:adjustRightInd w:val="0"/>
                    <w:spacing w:line="240" w:lineRule="auto"/>
                    <w:ind w:firstLine="0" w:firstLineChars="0"/>
                    <w:jc w:val="center"/>
                    <w:rPr>
                      <w:sz w:val="21"/>
                      <w:szCs w:val="21"/>
                      <w:lang w:val="en-US"/>
                    </w:rPr>
                  </w:pPr>
                </w:p>
              </w:tc>
              <w:tc>
                <w:tcPr>
                  <w:tcW w:w="855" w:type="dxa"/>
                  <w:vMerge w:val="continue"/>
                  <w:vAlign w:val="center"/>
                </w:tcPr>
                <w:p w14:paraId="0C300590">
                  <w:pPr>
                    <w:pStyle w:val="71"/>
                    <w:adjustRightInd w:val="0"/>
                    <w:spacing w:line="240" w:lineRule="auto"/>
                    <w:ind w:firstLine="0" w:firstLineChars="0"/>
                    <w:jc w:val="center"/>
                    <w:rPr>
                      <w:sz w:val="21"/>
                      <w:szCs w:val="21"/>
                      <w:lang w:val="en-US"/>
                    </w:rPr>
                  </w:pPr>
                </w:p>
              </w:tc>
              <w:tc>
                <w:tcPr>
                  <w:tcW w:w="5955" w:type="dxa"/>
                  <w:vAlign w:val="center"/>
                </w:tcPr>
                <w:p w14:paraId="4FF2CE8B">
                  <w:pPr>
                    <w:pStyle w:val="71"/>
                    <w:adjustRightInd w:val="0"/>
                    <w:spacing w:line="240" w:lineRule="auto"/>
                    <w:ind w:firstLine="0" w:firstLineChars="0"/>
                    <w:jc w:val="center"/>
                    <w:rPr>
                      <w:sz w:val="21"/>
                      <w:szCs w:val="21"/>
                      <w:lang w:val="en-US"/>
                    </w:rPr>
                  </w:pPr>
                  <w:r>
                    <w:rPr>
                      <w:rFonts w:hint="eastAsia"/>
                      <w:sz w:val="21"/>
                      <w:szCs w:val="21"/>
                      <w:lang w:val="en-US"/>
                    </w:rPr>
                    <w:t>防渗工程</w:t>
                  </w:r>
                </w:p>
              </w:tc>
              <w:tc>
                <w:tcPr>
                  <w:tcW w:w="1014" w:type="dxa"/>
                  <w:vAlign w:val="center"/>
                </w:tcPr>
                <w:p w14:paraId="002B9293">
                  <w:pPr>
                    <w:pStyle w:val="71"/>
                    <w:adjustRightInd w:val="0"/>
                    <w:spacing w:line="240" w:lineRule="auto"/>
                    <w:ind w:firstLine="0" w:firstLineChars="0"/>
                    <w:jc w:val="center"/>
                    <w:rPr>
                      <w:sz w:val="21"/>
                      <w:szCs w:val="21"/>
                      <w:lang w:val="en-US"/>
                    </w:rPr>
                  </w:pPr>
                  <w:r>
                    <w:rPr>
                      <w:rFonts w:hint="eastAsia"/>
                      <w:sz w:val="21"/>
                      <w:szCs w:val="21"/>
                      <w:lang w:val="en-US"/>
                    </w:rPr>
                    <w:t>433.25</w:t>
                  </w:r>
                </w:p>
              </w:tc>
            </w:tr>
            <w:tr w14:paraId="6A9B87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41D35BA6">
                  <w:pPr>
                    <w:pStyle w:val="71"/>
                    <w:adjustRightInd w:val="0"/>
                    <w:spacing w:line="240" w:lineRule="auto"/>
                    <w:ind w:firstLine="0" w:firstLineChars="0"/>
                    <w:jc w:val="center"/>
                    <w:rPr>
                      <w:sz w:val="21"/>
                      <w:szCs w:val="21"/>
                      <w:lang w:val="en-US"/>
                    </w:rPr>
                  </w:pPr>
                </w:p>
              </w:tc>
              <w:tc>
                <w:tcPr>
                  <w:tcW w:w="855" w:type="dxa"/>
                  <w:vMerge w:val="restart"/>
                  <w:vAlign w:val="center"/>
                </w:tcPr>
                <w:p w14:paraId="7C1E8015">
                  <w:pPr>
                    <w:pStyle w:val="71"/>
                    <w:adjustRightInd w:val="0"/>
                    <w:spacing w:line="240" w:lineRule="auto"/>
                    <w:ind w:firstLine="0" w:firstLineChars="0"/>
                    <w:jc w:val="center"/>
                    <w:rPr>
                      <w:sz w:val="21"/>
                      <w:szCs w:val="21"/>
                      <w:lang w:val="en-US"/>
                    </w:rPr>
                  </w:pPr>
                  <w:r>
                    <w:rPr>
                      <w:rFonts w:hint="eastAsia"/>
                      <w:sz w:val="21"/>
                      <w:szCs w:val="21"/>
                      <w:lang w:val="en-US"/>
                    </w:rPr>
                    <w:t>噪声</w:t>
                  </w:r>
                </w:p>
              </w:tc>
              <w:tc>
                <w:tcPr>
                  <w:tcW w:w="5955" w:type="dxa"/>
                  <w:vAlign w:val="center"/>
                </w:tcPr>
                <w:p w14:paraId="116ED34C">
                  <w:pPr>
                    <w:pStyle w:val="71"/>
                    <w:adjustRightInd w:val="0"/>
                    <w:spacing w:line="240" w:lineRule="auto"/>
                    <w:ind w:firstLine="0" w:firstLineChars="0"/>
                    <w:jc w:val="center"/>
                    <w:rPr>
                      <w:sz w:val="21"/>
                      <w:szCs w:val="21"/>
                      <w:lang w:val="en-US"/>
                    </w:rPr>
                  </w:pPr>
                  <w:r>
                    <w:rPr>
                      <w:rFonts w:hint="eastAsia"/>
                      <w:sz w:val="21"/>
                      <w:szCs w:val="21"/>
                      <w:lang w:val="en-US"/>
                    </w:rPr>
                    <w:t>选用低噪声设备、合理布局、合理施工、加强设备维护</w:t>
                  </w:r>
                </w:p>
              </w:tc>
              <w:tc>
                <w:tcPr>
                  <w:tcW w:w="1014" w:type="dxa"/>
                  <w:vAlign w:val="center"/>
                </w:tcPr>
                <w:p w14:paraId="02085253">
                  <w:pPr>
                    <w:pStyle w:val="71"/>
                    <w:adjustRightInd w:val="0"/>
                    <w:spacing w:line="240" w:lineRule="auto"/>
                    <w:ind w:firstLine="0" w:firstLineChars="0"/>
                    <w:jc w:val="center"/>
                    <w:rPr>
                      <w:sz w:val="21"/>
                      <w:szCs w:val="21"/>
                      <w:lang w:val="en-US"/>
                    </w:rPr>
                  </w:pPr>
                  <w:r>
                    <w:rPr>
                      <w:rFonts w:hint="eastAsia"/>
                      <w:sz w:val="21"/>
                      <w:szCs w:val="21"/>
                      <w:lang w:val="en-US"/>
                    </w:rPr>
                    <w:t>6</w:t>
                  </w:r>
                </w:p>
              </w:tc>
            </w:tr>
            <w:tr w14:paraId="4B46F3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16AB12C4">
                  <w:pPr>
                    <w:pStyle w:val="71"/>
                    <w:adjustRightInd w:val="0"/>
                    <w:spacing w:line="240" w:lineRule="auto"/>
                    <w:ind w:firstLine="0" w:firstLineChars="0"/>
                    <w:jc w:val="center"/>
                    <w:rPr>
                      <w:sz w:val="21"/>
                      <w:szCs w:val="21"/>
                      <w:lang w:val="en-US"/>
                    </w:rPr>
                  </w:pPr>
                </w:p>
              </w:tc>
              <w:tc>
                <w:tcPr>
                  <w:tcW w:w="855" w:type="dxa"/>
                  <w:vMerge w:val="continue"/>
                  <w:vAlign w:val="center"/>
                </w:tcPr>
                <w:p w14:paraId="6CAD0EF7">
                  <w:pPr>
                    <w:pStyle w:val="71"/>
                    <w:adjustRightInd w:val="0"/>
                    <w:spacing w:line="240" w:lineRule="auto"/>
                    <w:ind w:firstLine="0" w:firstLineChars="0"/>
                    <w:jc w:val="center"/>
                    <w:rPr>
                      <w:sz w:val="21"/>
                      <w:szCs w:val="21"/>
                      <w:lang w:val="en-US"/>
                    </w:rPr>
                  </w:pPr>
                </w:p>
              </w:tc>
              <w:tc>
                <w:tcPr>
                  <w:tcW w:w="5955" w:type="dxa"/>
                  <w:vAlign w:val="center"/>
                </w:tcPr>
                <w:p w14:paraId="56F1DEA4">
                  <w:pPr>
                    <w:pStyle w:val="71"/>
                    <w:adjustRightInd w:val="0"/>
                    <w:spacing w:line="240" w:lineRule="auto"/>
                    <w:ind w:firstLine="0" w:firstLineChars="0"/>
                    <w:jc w:val="center"/>
                    <w:rPr>
                      <w:sz w:val="21"/>
                      <w:szCs w:val="21"/>
                      <w:lang w:val="en-US"/>
                    </w:rPr>
                  </w:pPr>
                  <w:r>
                    <w:rPr>
                      <w:rFonts w:hint="eastAsia"/>
                      <w:sz w:val="21"/>
                      <w:szCs w:val="21"/>
                      <w:lang w:val="en-US"/>
                    </w:rPr>
                    <w:t>每季度进行噪声监测</w:t>
                  </w:r>
                </w:p>
              </w:tc>
              <w:tc>
                <w:tcPr>
                  <w:tcW w:w="1014" w:type="dxa"/>
                  <w:vAlign w:val="center"/>
                </w:tcPr>
                <w:p w14:paraId="74617DB9">
                  <w:pPr>
                    <w:pStyle w:val="71"/>
                    <w:adjustRightInd w:val="0"/>
                    <w:spacing w:line="240" w:lineRule="auto"/>
                    <w:ind w:firstLine="0" w:firstLineChars="0"/>
                    <w:jc w:val="center"/>
                    <w:rPr>
                      <w:sz w:val="21"/>
                      <w:szCs w:val="21"/>
                      <w:lang w:val="en-US"/>
                    </w:rPr>
                  </w:pPr>
                  <w:r>
                    <w:rPr>
                      <w:rFonts w:hint="eastAsia"/>
                      <w:sz w:val="21"/>
                      <w:szCs w:val="21"/>
                      <w:lang w:val="en-US"/>
                    </w:rPr>
                    <w:t>2</w:t>
                  </w:r>
                </w:p>
              </w:tc>
            </w:tr>
            <w:tr w14:paraId="1A8D8A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66658961">
                  <w:pPr>
                    <w:pStyle w:val="71"/>
                    <w:adjustRightInd w:val="0"/>
                    <w:spacing w:line="240" w:lineRule="auto"/>
                    <w:ind w:firstLine="0" w:firstLineChars="0"/>
                    <w:jc w:val="center"/>
                    <w:rPr>
                      <w:sz w:val="21"/>
                      <w:szCs w:val="21"/>
                      <w:lang w:val="en-US"/>
                    </w:rPr>
                  </w:pPr>
                </w:p>
              </w:tc>
              <w:tc>
                <w:tcPr>
                  <w:tcW w:w="855" w:type="dxa"/>
                  <w:vMerge w:val="restart"/>
                  <w:vAlign w:val="center"/>
                </w:tcPr>
                <w:p w14:paraId="3360EAF8">
                  <w:pPr>
                    <w:pStyle w:val="71"/>
                    <w:adjustRightInd w:val="0"/>
                    <w:spacing w:line="240" w:lineRule="auto"/>
                    <w:ind w:firstLine="0" w:firstLineChars="0"/>
                    <w:jc w:val="center"/>
                    <w:rPr>
                      <w:sz w:val="21"/>
                      <w:szCs w:val="21"/>
                      <w:lang w:val="en-US"/>
                    </w:rPr>
                  </w:pPr>
                  <w:r>
                    <w:rPr>
                      <w:rFonts w:hint="eastAsia"/>
                      <w:sz w:val="21"/>
                      <w:szCs w:val="21"/>
                      <w:lang w:val="en-US"/>
                    </w:rPr>
                    <w:t>固体废物</w:t>
                  </w:r>
                </w:p>
              </w:tc>
              <w:tc>
                <w:tcPr>
                  <w:tcW w:w="5955" w:type="dxa"/>
                  <w:vAlign w:val="center"/>
                </w:tcPr>
                <w:p w14:paraId="0547F158">
                  <w:pPr>
                    <w:pStyle w:val="71"/>
                    <w:adjustRightInd w:val="0"/>
                    <w:spacing w:line="240" w:lineRule="auto"/>
                    <w:ind w:firstLine="0" w:firstLineChars="0"/>
                    <w:jc w:val="center"/>
                    <w:rPr>
                      <w:sz w:val="21"/>
                      <w:szCs w:val="21"/>
                      <w:lang w:val="en-US"/>
                    </w:rPr>
                  </w:pPr>
                  <w:r>
                    <w:rPr>
                      <w:rFonts w:hint="eastAsia"/>
                      <w:sz w:val="21"/>
                      <w:szCs w:val="21"/>
                      <w:lang w:val="en-US"/>
                    </w:rPr>
                    <w:t>土石方全部用于场地回填</w:t>
                  </w:r>
                </w:p>
              </w:tc>
              <w:tc>
                <w:tcPr>
                  <w:tcW w:w="1014" w:type="dxa"/>
                  <w:vMerge w:val="restart"/>
                  <w:vAlign w:val="center"/>
                </w:tcPr>
                <w:p w14:paraId="2631CA29">
                  <w:pPr>
                    <w:pStyle w:val="71"/>
                    <w:adjustRightInd w:val="0"/>
                    <w:spacing w:line="240" w:lineRule="auto"/>
                    <w:ind w:firstLine="0" w:firstLineChars="0"/>
                    <w:jc w:val="center"/>
                    <w:rPr>
                      <w:sz w:val="21"/>
                      <w:szCs w:val="21"/>
                      <w:lang w:val="en-US"/>
                    </w:rPr>
                  </w:pPr>
                  <w:r>
                    <w:rPr>
                      <w:rFonts w:hint="eastAsia"/>
                      <w:sz w:val="21"/>
                      <w:szCs w:val="21"/>
                      <w:lang w:val="en-US"/>
                    </w:rPr>
                    <w:t>3</w:t>
                  </w:r>
                </w:p>
              </w:tc>
            </w:tr>
            <w:tr w14:paraId="2A37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07" w:type="dxa"/>
                  <w:vMerge w:val="continue"/>
                  <w:vAlign w:val="center"/>
                </w:tcPr>
                <w:p w14:paraId="456ABBC8">
                  <w:pPr>
                    <w:pStyle w:val="71"/>
                    <w:adjustRightInd w:val="0"/>
                    <w:spacing w:line="240" w:lineRule="auto"/>
                    <w:ind w:firstLine="0" w:firstLineChars="0"/>
                    <w:jc w:val="center"/>
                    <w:rPr>
                      <w:sz w:val="21"/>
                      <w:szCs w:val="21"/>
                      <w:lang w:val="en-US"/>
                    </w:rPr>
                  </w:pPr>
                </w:p>
              </w:tc>
              <w:tc>
                <w:tcPr>
                  <w:tcW w:w="855" w:type="dxa"/>
                  <w:vMerge w:val="continue"/>
                  <w:vAlign w:val="center"/>
                </w:tcPr>
                <w:p w14:paraId="72CEDCA5">
                  <w:pPr>
                    <w:pStyle w:val="71"/>
                    <w:adjustRightInd w:val="0"/>
                    <w:spacing w:line="240" w:lineRule="auto"/>
                    <w:ind w:firstLine="0" w:firstLineChars="0"/>
                    <w:jc w:val="center"/>
                    <w:rPr>
                      <w:sz w:val="21"/>
                      <w:szCs w:val="21"/>
                      <w:lang w:val="en-US"/>
                    </w:rPr>
                  </w:pPr>
                </w:p>
              </w:tc>
              <w:tc>
                <w:tcPr>
                  <w:tcW w:w="5955" w:type="dxa"/>
                  <w:vAlign w:val="center"/>
                </w:tcPr>
                <w:p w14:paraId="4DBFEA61">
                  <w:pPr>
                    <w:pStyle w:val="71"/>
                    <w:adjustRightInd w:val="0"/>
                    <w:spacing w:line="240" w:lineRule="auto"/>
                    <w:ind w:firstLine="0" w:firstLineChars="0"/>
                    <w:jc w:val="center"/>
                    <w:rPr>
                      <w:sz w:val="21"/>
                      <w:szCs w:val="21"/>
                      <w:lang w:val="en-US"/>
                    </w:rPr>
                  </w:pPr>
                  <w:r>
                    <w:rPr>
                      <w:rFonts w:hint="eastAsia"/>
                      <w:sz w:val="21"/>
                      <w:szCs w:val="21"/>
                      <w:lang w:val="en-US"/>
                    </w:rPr>
                    <w:t>施工人员生活垃圾集中收集后，定期运至就近村庄垃圾收集点</w:t>
                  </w:r>
                </w:p>
              </w:tc>
              <w:tc>
                <w:tcPr>
                  <w:tcW w:w="1014" w:type="dxa"/>
                  <w:vMerge w:val="continue"/>
                  <w:vAlign w:val="center"/>
                </w:tcPr>
                <w:p w14:paraId="2C72DD68">
                  <w:pPr>
                    <w:pStyle w:val="71"/>
                    <w:adjustRightInd w:val="0"/>
                    <w:spacing w:line="240" w:lineRule="auto"/>
                    <w:ind w:firstLine="0" w:firstLineChars="0"/>
                    <w:jc w:val="center"/>
                    <w:rPr>
                      <w:sz w:val="21"/>
                      <w:szCs w:val="21"/>
                      <w:lang w:val="en-US"/>
                    </w:rPr>
                  </w:pPr>
                </w:p>
              </w:tc>
            </w:tr>
            <w:tr w14:paraId="1BD03C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08B0DD0F">
                  <w:pPr>
                    <w:pStyle w:val="71"/>
                    <w:adjustRightInd w:val="0"/>
                    <w:spacing w:line="240" w:lineRule="auto"/>
                    <w:ind w:firstLine="0" w:firstLineChars="0"/>
                    <w:jc w:val="center"/>
                    <w:rPr>
                      <w:sz w:val="21"/>
                      <w:szCs w:val="21"/>
                      <w:lang w:val="en-US"/>
                    </w:rPr>
                  </w:pPr>
                </w:p>
              </w:tc>
              <w:tc>
                <w:tcPr>
                  <w:tcW w:w="855" w:type="dxa"/>
                  <w:vMerge w:val="continue"/>
                  <w:vAlign w:val="center"/>
                </w:tcPr>
                <w:p w14:paraId="407B34DF">
                  <w:pPr>
                    <w:pStyle w:val="71"/>
                    <w:adjustRightInd w:val="0"/>
                    <w:spacing w:line="240" w:lineRule="auto"/>
                    <w:ind w:firstLine="0" w:firstLineChars="0"/>
                    <w:jc w:val="center"/>
                    <w:rPr>
                      <w:sz w:val="21"/>
                      <w:szCs w:val="21"/>
                      <w:lang w:val="en-US"/>
                    </w:rPr>
                  </w:pPr>
                </w:p>
              </w:tc>
              <w:tc>
                <w:tcPr>
                  <w:tcW w:w="5955" w:type="dxa"/>
                  <w:vAlign w:val="center"/>
                </w:tcPr>
                <w:p w14:paraId="04A8C12A">
                  <w:pPr>
                    <w:pStyle w:val="71"/>
                    <w:adjustRightInd w:val="0"/>
                    <w:spacing w:line="240" w:lineRule="auto"/>
                    <w:ind w:firstLine="0" w:firstLineChars="0"/>
                    <w:jc w:val="center"/>
                    <w:rPr>
                      <w:sz w:val="21"/>
                      <w:szCs w:val="21"/>
                      <w:lang w:val="en-US"/>
                    </w:rPr>
                  </w:pPr>
                  <w:r>
                    <w:rPr>
                      <w:rFonts w:hint="eastAsia"/>
                      <w:sz w:val="21"/>
                      <w:szCs w:val="21"/>
                      <w:lang w:val="en-US"/>
                    </w:rPr>
                    <w:t>临时旱厕1个</w:t>
                  </w:r>
                </w:p>
              </w:tc>
              <w:tc>
                <w:tcPr>
                  <w:tcW w:w="1014" w:type="dxa"/>
                  <w:vAlign w:val="center"/>
                </w:tcPr>
                <w:p w14:paraId="109D2559">
                  <w:pPr>
                    <w:pStyle w:val="71"/>
                    <w:adjustRightInd w:val="0"/>
                    <w:spacing w:line="240" w:lineRule="auto"/>
                    <w:ind w:firstLine="0" w:firstLineChars="0"/>
                    <w:jc w:val="center"/>
                    <w:rPr>
                      <w:sz w:val="21"/>
                      <w:szCs w:val="21"/>
                      <w:lang w:val="en-US"/>
                    </w:rPr>
                  </w:pPr>
                  <w:r>
                    <w:rPr>
                      <w:rFonts w:hint="eastAsia"/>
                      <w:sz w:val="21"/>
                      <w:szCs w:val="21"/>
                      <w:lang w:val="en-US"/>
                    </w:rPr>
                    <w:t>1</w:t>
                  </w:r>
                </w:p>
              </w:tc>
            </w:tr>
            <w:tr w14:paraId="492254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553ABC43">
                  <w:pPr>
                    <w:pStyle w:val="71"/>
                    <w:adjustRightInd w:val="0"/>
                    <w:spacing w:line="240" w:lineRule="auto"/>
                    <w:ind w:firstLine="0" w:firstLineChars="0"/>
                    <w:jc w:val="center"/>
                    <w:rPr>
                      <w:sz w:val="21"/>
                      <w:szCs w:val="21"/>
                      <w:lang w:val="en-US"/>
                    </w:rPr>
                  </w:pPr>
                </w:p>
              </w:tc>
              <w:tc>
                <w:tcPr>
                  <w:tcW w:w="855" w:type="dxa"/>
                  <w:vMerge w:val="restart"/>
                  <w:vAlign w:val="center"/>
                </w:tcPr>
                <w:p w14:paraId="187E64F0">
                  <w:pPr>
                    <w:pStyle w:val="71"/>
                    <w:adjustRightInd w:val="0"/>
                    <w:spacing w:line="240" w:lineRule="auto"/>
                    <w:ind w:firstLine="0" w:firstLineChars="0"/>
                    <w:jc w:val="center"/>
                    <w:rPr>
                      <w:sz w:val="21"/>
                      <w:szCs w:val="21"/>
                      <w:lang w:val="en-US"/>
                    </w:rPr>
                  </w:pPr>
                  <w:r>
                    <w:rPr>
                      <w:rFonts w:hint="eastAsia"/>
                      <w:sz w:val="21"/>
                      <w:szCs w:val="21"/>
                      <w:lang w:val="en-US"/>
                    </w:rPr>
                    <w:t>其他</w:t>
                  </w:r>
                </w:p>
              </w:tc>
              <w:tc>
                <w:tcPr>
                  <w:tcW w:w="5955" w:type="dxa"/>
                  <w:vAlign w:val="center"/>
                </w:tcPr>
                <w:p w14:paraId="555DA8CA">
                  <w:pPr>
                    <w:pStyle w:val="71"/>
                    <w:adjustRightInd w:val="0"/>
                    <w:spacing w:line="240" w:lineRule="auto"/>
                    <w:ind w:firstLine="0" w:firstLineChars="0"/>
                    <w:jc w:val="center"/>
                    <w:rPr>
                      <w:sz w:val="21"/>
                      <w:szCs w:val="21"/>
                      <w:lang w:val="en-US"/>
                    </w:rPr>
                  </w:pPr>
                  <w:r>
                    <w:rPr>
                      <w:rFonts w:hint="eastAsia"/>
                      <w:sz w:val="21"/>
                      <w:szCs w:val="21"/>
                      <w:lang w:val="en-US"/>
                    </w:rPr>
                    <w:t>对每一批无害化处理后的改性磷石膏进行检测</w:t>
                  </w:r>
                </w:p>
              </w:tc>
              <w:tc>
                <w:tcPr>
                  <w:tcW w:w="1014" w:type="dxa"/>
                  <w:vMerge w:val="restart"/>
                  <w:vAlign w:val="center"/>
                </w:tcPr>
                <w:p w14:paraId="7F4FD27D">
                  <w:pPr>
                    <w:pStyle w:val="71"/>
                    <w:adjustRightInd w:val="0"/>
                    <w:spacing w:line="240" w:lineRule="auto"/>
                    <w:ind w:firstLine="0" w:firstLineChars="0"/>
                    <w:jc w:val="center"/>
                    <w:rPr>
                      <w:sz w:val="21"/>
                      <w:szCs w:val="21"/>
                      <w:lang w:val="en-US"/>
                    </w:rPr>
                  </w:pPr>
                  <w:r>
                    <w:rPr>
                      <w:rFonts w:hint="eastAsia"/>
                      <w:sz w:val="21"/>
                      <w:szCs w:val="21"/>
                      <w:lang w:val="en-US"/>
                    </w:rPr>
                    <w:t>25</w:t>
                  </w:r>
                </w:p>
              </w:tc>
            </w:tr>
            <w:tr w14:paraId="483860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723F0B0D">
                  <w:pPr>
                    <w:pStyle w:val="71"/>
                    <w:adjustRightInd w:val="0"/>
                    <w:spacing w:line="240" w:lineRule="auto"/>
                    <w:ind w:firstLine="0" w:firstLineChars="0"/>
                    <w:jc w:val="center"/>
                    <w:rPr>
                      <w:sz w:val="21"/>
                      <w:szCs w:val="21"/>
                      <w:lang w:val="en-US"/>
                    </w:rPr>
                  </w:pPr>
                </w:p>
              </w:tc>
              <w:tc>
                <w:tcPr>
                  <w:tcW w:w="855" w:type="dxa"/>
                  <w:vMerge w:val="continue"/>
                  <w:vAlign w:val="center"/>
                </w:tcPr>
                <w:p w14:paraId="2B06101F">
                  <w:pPr>
                    <w:pStyle w:val="71"/>
                    <w:adjustRightInd w:val="0"/>
                    <w:spacing w:line="240" w:lineRule="auto"/>
                    <w:ind w:firstLine="0" w:firstLineChars="0"/>
                    <w:jc w:val="center"/>
                    <w:rPr>
                      <w:sz w:val="21"/>
                      <w:szCs w:val="21"/>
                      <w:lang w:val="en-US"/>
                    </w:rPr>
                  </w:pPr>
                </w:p>
              </w:tc>
              <w:tc>
                <w:tcPr>
                  <w:tcW w:w="5955" w:type="dxa"/>
                  <w:vAlign w:val="center"/>
                </w:tcPr>
                <w:p w14:paraId="154FD616">
                  <w:pPr>
                    <w:pStyle w:val="71"/>
                    <w:adjustRightInd w:val="0"/>
                    <w:spacing w:line="240" w:lineRule="auto"/>
                    <w:ind w:firstLine="0" w:firstLineChars="0"/>
                    <w:jc w:val="center"/>
                    <w:rPr>
                      <w:sz w:val="21"/>
                      <w:szCs w:val="21"/>
                      <w:lang w:val="en-US"/>
                    </w:rPr>
                  </w:pPr>
                  <w:r>
                    <w:rPr>
                      <w:rFonts w:hint="eastAsia"/>
                      <w:sz w:val="21"/>
                      <w:szCs w:val="21"/>
                      <w:lang w:val="en-US"/>
                    </w:rPr>
                    <w:t>对每一批进场耕植土进行检测</w:t>
                  </w:r>
                </w:p>
              </w:tc>
              <w:tc>
                <w:tcPr>
                  <w:tcW w:w="1014" w:type="dxa"/>
                  <w:vMerge w:val="continue"/>
                  <w:vAlign w:val="center"/>
                </w:tcPr>
                <w:p w14:paraId="220B797B">
                  <w:pPr>
                    <w:pStyle w:val="71"/>
                    <w:adjustRightInd w:val="0"/>
                    <w:spacing w:line="240" w:lineRule="auto"/>
                    <w:ind w:firstLine="0" w:firstLineChars="0"/>
                    <w:jc w:val="center"/>
                    <w:rPr>
                      <w:sz w:val="21"/>
                      <w:szCs w:val="21"/>
                      <w:lang w:val="en-US"/>
                    </w:rPr>
                  </w:pPr>
                </w:p>
              </w:tc>
            </w:tr>
            <w:tr w14:paraId="65C4A5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5B6141C8">
                  <w:pPr>
                    <w:pStyle w:val="71"/>
                    <w:adjustRightInd w:val="0"/>
                    <w:spacing w:line="240" w:lineRule="auto"/>
                    <w:ind w:firstLine="0" w:firstLineChars="0"/>
                    <w:jc w:val="center"/>
                    <w:rPr>
                      <w:sz w:val="21"/>
                      <w:szCs w:val="21"/>
                      <w:lang w:val="en-US"/>
                    </w:rPr>
                  </w:pPr>
                </w:p>
              </w:tc>
              <w:tc>
                <w:tcPr>
                  <w:tcW w:w="855" w:type="dxa"/>
                  <w:vMerge w:val="continue"/>
                  <w:vAlign w:val="center"/>
                </w:tcPr>
                <w:p w14:paraId="0CCB5ACD">
                  <w:pPr>
                    <w:pStyle w:val="71"/>
                    <w:adjustRightInd w:val="0"/>
                    <w:spacing w:line="240" w:lineRule="auto"/>
                    <w:ind w:firstLine="0" w:firstLineChars="0"/>
                    <w:jc w:val="center"/>
                    <w:rPr>
                      <w:sz w:val="21"/>
                      <w:szCs w:val="21"/>
                      <w:lang w:val="en-US"/>
                    </w:rPr>
                  </w:pPr>
                </w:p>
              </w:tc>
              <w:tc>
                <w:tcPr>
                  <w:tcW w:w="5955" w:type="dxa"/>
                  <w:vAlign w:val="center"/>
                </w:tcPr>
                <w:p w14:paraId="38D425CA">
                  <w:pPr>
                    <w:pStyle w:val="71"/>
                    <w:adjustRightInd w:val="0"/>
                    <w:spacing w:line="240" w:lineRule="auto"/>
                    <w:ind w:firstLine="0" w:firstLineChars="0"/>
                    <w:jc w:val="center"/>
                    <w:rPr>
                      <w:sz w:val="21"/>
                      <w:szCs w:val="21"/>
                      <w:lang w:val="en-US"/>
                    </w:rPr>
                  </w:pPr>
                  <w:r>
                    <w:rPr>
                      <w:rFonts w:hint="eastAsia"/>
                      <w:sz w:val="21"/>
                      <w:szCs w:val="21"/>
                      <w:lang w:val="en-US"/>
                    </w:rPr>
                    <w:t>回填区设置渗漏监控系统，设置位移监测设施</w:t>
                  </w:r>
                </w:p>
              </w:tc>
              <w:tc>
                <w:tcPr>
                  <w:tcW w:w="1014" w:type="dxa"/>
                  <w:vAlign w:val="center"/>
                </w:tcPr>
                <w:p w14:paraId="7F76A882">
                  <w:pPr>
                    <w:pStyle w:val="71"/>
                    <w:adjustRightInd w:val="0"/>
                    <w:spacing w:line="240" w:lineRule="auto"/>
                    <w:ind w:firstLine="0" w:firstLineChars="0"/>
                    <w:jc w:val="center"/>
                    <w:rPr>
                      <w:sz w:val="21"/>
                      <w:szCs w:val="21"/>
                      <w:lang w:val="en-US"/>
                    </w:rPr>
                  </w:pPr>
                  <w:r>
                    <w:rPr>
                      <w:rFonts w:hint="eastAsia"/>
                      <w:sz w:val="21"/>
                      <w:szCs w:val="21"/>
                      <w:lang w:val="en-US"/>
                    </w:rPr>
                    <w:t>20</w:t>
                  </w:r>
                </w:p>
              </w:tc>
            </w:tr>
            <w:tr w14:paraId="7CD86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1A0CB0C1">
                  <w:pPr>
                    <w:pStyle w:val="71"/>
                    <w:adjustRightInd w:val="0"/>
                    <w:spacing w:line="240" w:lineRule="auto"/>
                    <w:ind w:firstLine="0" w:firstLineChars="0"/>
                    <w:jc w:val="center"/>
                    <w:rPr>
                      <w:sz w:val="21"/>
                      <w:szCs w:val="21"/>
                      <w:lang w:val="en-US"/>
                    </w:rPr>
                  </w:pPr>
                </w:p>
              </w:tc>
              <w:tc>
                <w:tcPr>
                  <w:tcW w:w="855" w:type="dxa"/>
                  <w:vAlign w:val="center"/>
                </w:tcPr>
                <w:p w14:paraId="3119705E">
                  <w:pPr>
                    <w:pStyle w:val="71"/>
                    <w:adjustRightInd w:val="0"/>
                    <w:spacing w:line="240" w:lineRule="auto"/>
                    <w:ind w:firstLine="0" w:firstLineChars="0"/>
                    <w:jc w:val="center"/>
                    <w:rPr>
                      <w:sz w:val="21"/>
                      <w:szCs w:val="21"/>
                      <w:lang w:val="en-US"/>
                    </w:rPr>
                  </w:pPr>
                  <w:r>
                    <w:rPr>
                      <w:rFonts w:hint="eastAsia"/>
                      <w:sz w:val="21"/>
                      <w:szCs w:val="21"/>
                      <w:lang w:val="en-US"/>
                    </w:rPr>
                    <w:t>生态</w:t>
                  </w:r>
                </w:p>
              </w:tc>
              <w:tc>
                <w:tcPr>
                  <w:tcW w:w="5955" w:type="dxa"/>
                  <w:vAlign w:val="center"/>
                </w:tcPr>
                <w:p w14:paraId="31E5CEC7">
                  <w:pPr>
                    <w:pStyle w:val="71"/>
                    <w:adjustRightInd w:val="0"/>
                    <w:spacing w:line="240" w:lineRule="auto"/>
                    <w:ind w:firstLine="0" w:firstLineChars="0"/>
                    <w:jc w:val="center"/>
                    <w:rPr>
                      <w:sz w:val="21"/>
                      <w:szCs w:val="21"/>
                      <w:lang w:val="en-US"/>
                    </w:rPr>
                  </w:pPr>
                  <w:r>
                    <w:rPr>
                      <w:rFonts w:hint="eastAsia"/>
                      <w:sz w:val="21"/>
                      <w:szCs w:val="21"/>
                      <w:lang w:val="en-US"/>
                    </w:rPr>
                    <w:t>恢复旱地、林地、草地，管理、维护；定期浇灌、基肥及追肥；连续抚育3年，每年1次，适时补植，种植后人工巡护</w:t>
                  </w:r>
                </w:p>
              </w:tc>
              <w:tc>
                <w:tcPr>
                  <w:tcW w:w="1014" w:type="dxa"/>
                  <w:vAlign w:val="center"/>
                </w:tcPr>
                <w:p w14:paraId="0E9929A9">
                  <w:pPr>
                    <w:pStyle w:val="71"/>
                    <w:adjustRightInd w:val="0"/>
                    <w:spacing w:line="240" w:lineRule="auto"/>
                    <w:ind w:firstLine="0" w:firstLineChars="0"/>
                    <w:jc w:val="center"/>
                    <w:rPr>
                      <w:sz w:val="21"/>
                      <w:szCs w:val="21"/>
                      <w:lang w:val="en-US"/>
                    </w:rPr>
                  </w:pPr>
                  <w:r>
                    <w:rPr>
                      <w:rFonts w:hint="eastAsia"/>
                      <w:sz w:val="21"/>
                      <w:szCs w:val="21"/>
                      <w:lang w:val="en-US"/>
                    </w:rPr>
                    <w:t>80</w:t>
                  </w:r>
                </w:p>
              </w:tc>
            </w:tr>
            <w:tr w14:paraId="30E3FC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restart"/>
                  <w:vAlign w:val="center"/>
                </w:tcPr>
                <w:p w14:paraId="03C5E5B2">
                  <w:pPr>
                    <w:pStyle w:val="71"/>
                    <w:adjustRightInd w:val="0"/>
                    <w:spacing w:line="240" w:lineRule="auto"/>
                    <w:ind w:firstLine="0" w:firstLineChars="0"/>
                    <w:jc w:val="center"/>
                    <w:rPr>
                      <w:sz w:val="21"/>
                      <w:szCs w:val="21"/>
                      <w:lang w:val="en-US"/>
                    </w:rPr>
                  </w:pPr>
                  <w:r>
                    <w:rPr>
                      <w:rFonts w:hint="eastAsia"/>
                      <w:sz w:val="21"/>
                      <w:szCs w:val="21"/>
                      <w:lang w:val="en-US"/>
                    </w:rPr>
                    <w:t>运营期</w:t>
                  </w:r>
                </w:p>
              </w:tc>
              <w:tc>
                <w:tcPr>
                  <w:tcW w:w="855" w:type="dxa"/>
                  <w:vMerge w:val="restart"/>
                  <w:vAlign w:val="center"/>
                </w:tcPr>
                <w:p w14:paraId="50876FCA">
                  <w:pPr>
                    <w:pStyle w:val="71"/>
                    <w:adjustRightInd w:val="0"/>
                    <w:spacing w:line="240" w:lineRule="auto"/>
                    <w:ind w:firstLine="0" w:firstLineChars="0"/>
                    <w:jc w:val="center"/>
                    <w:rPr>
                      <w:sz w:val="21"/>
                      <w:szCs w:val="21"/>
                      <w:lang w:val="en-US"/>
                    </w:rPr>
                  </w:pPr>
                  <w:r>
                    <w:rPr>
                      <w:rFonts w:hint="eastAsia"/>
                      <w:sz w:val="21"/>
                      <w:szCs w:val="21"/>
                      <w:lang w:val="en-US"/>
                    </w:rPr>
                    <w:t>环境监测管理</w:t>
                  </w:r>
                </w:p>
              </w:tc>
              <w:tc>
                <w:tcPr>
                  <w:tcW w:w="5955" w:type="dxa"/>
                  <w:vAlign w:val="center"/>
                </w:tcPr>
                <w:p w14:paraId="3CAF7295">
                  <w:pPr>
                    <w:pStyle w:val="71"/>
                    <w:adjustRightInd w:val="0"/>
                    <w:spacing w:line="240" w:lineRule="auto"/>
                    <w:ind w:firstLine="0" w:firstLineChars="0"/>
                    <w:jc w:val="center"/>
                    <w:rPr>
                      <w:sz w:val="21"/>
                      <w:szCs w:val="21"/>
                      <w:lang w:val="en-US"/>
                    </w:rPr>
                  </w:pPr>
                  <w:r>
                    <w:rPr>
                      <w:rFonts w:hint="eastAsia"/>
                      <w:sz w:val="21"/>
                      <w:szCs w:val="21"/>
                      <w:lang w:val="en-US"/>
                    </w:rPr>
                    <w:t>项目区附近地下水跟踪监测点4个，1个地下水观察井。渗滤液收集井跟踪监测。管理、维护：定期浇灌、基肥及追肥；连续抚3年，每三个月一次，适时补植，种植后人工巡护。</w:t>
                  </w:r>
                </w:p>
              </w:tc>
              <w:tc>
                <w:tcPr>
                  <w:tcW w:w="1014" w:type="dxa"/>
                  <w:vAlign w:val="center"/>
                </w:tcPr>
                <w:p w14:paraId="07A7AC4E">
                  <w:pPr>
                    <w:pStyle w:val="71"/>
                    <w:adjustRightInd w:val="0"/>
                    <w:spacing w:line="240" w:lineRule="auto"/>
                    <w:ind w:firstLine="0" w:firstLineChars="0"/>
                    <w:jc w:val="center"/>
                    <w:rPr>
                      <w:sz w:val="21"/>
                      <w:szCs w:val="21"/>
                      <w:lang w:val="en-US"/>
                    </w:rPr>
                  </w:pPr>
                  <w:r>
                    <w:rPr>
                      <w:rFonts w:hint="eastAsia"/>
                      <w:sz w:val="21"/>
                      <w:szCs w:val="21"/>
                      <w:lang w:val="en-US"/>
                    </w:rPr>
                    <w:t>90</w:t>
                  </w:r>
                </w:p>
              </w:tc>
            </w:tr>
            <w:tr w14:paraId="2784F6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07" w:type="dxa"/>
                  <w:vMerge w:val="continue"/>
                  <w:vAlign w:val="center"/>
                </w:tcPr>
                <w:p w14:paraId="65CA3F46">
                  <w:pPr>
                    <w:pStyle w:val="71"/>
                    <w:adjustRightInd w:val="0"/>
                    <w:spacing w:line="240" w:lineRule="auto"/>
                    <w:ind w:firstLine="0" w:firstLineChars="0"/>
                    <w:jc w:val="center"/>
                    <w:rPr>
                      <w:sz w:val="21"/>
                      <w:szCs w:val="21"/>
                      <w:lang w:val="en-US"/>
                    </w:rPr>
                  </w:pPr>
                </w:p>
              </w:tc>
              <w:tc>
                <w:tcPr>
                  <w:tcW w:w="855" w:type="dxa"/>
                  <w:vMerge w:val="continue"/>
                  <w:vAlign w:val="center"/>
                </w:tcPr>
                <w:p w14:paraId="6837B628">
                  <w:pPr>
                    <w:pStyle w:val="71"/>
                    <w:adjustRightInd w:val="0"/>
                    <w:spacing w:line="240" w:lineRule="auto"/>
                    <w:ind w:firstLine="0" w:firstLineChars="0"/>
                    <w:jc w:val="center"/>
                    <w:rPr>
                      <w:sz w:val="21"/>
                      <w:szCs w:val="21"/>
                      <w:lang w:val="en-US"/>
                    </w:rPr>
                  </w:pPr>
                </w:p>
              </w:tc>
              <w:tc>
                <w:tcPr>
                  <w:tcW w:w="5955" w:type="dxa"/>
                  <w:vAlign w:val="center"/>
                </w:tcPr>
                <w:p w14:paraId="74634C13">
                  <w:pPr>
                    <w:pStyle w:val="71"/>
                    <w:adjustRightInd w:val="0"/>
                    <w:spacing w:line="240" w:lineRule="auto"/>
                    <w:ind w:firstLine="0" w:firstLineChars="0"/>
                    <w:jc w:val="center"/>
                    <w:rPr>
                      <w:sz w:val="21"/>
                      <w:szCs w:val="21"/>
                      <w:lang w:val="en-US"/>
                    </w:rPr>
                  </w:pPr>
                  <w:r>
                    <w:rPr>
                      <w:rFonts w:hint="eastAsia"/>
                      <w:sz w:val="21"/>
                      <w:szCs w:val="21"/>
                      <w:lang w:val="en-US"/>
                    </w:rPr>
                    <w:t>地下水应急预留资金</w:t>
                  </w:r>
                </w:p>
              </w:tc>
              <w:tc>
                <w:tcPr>
                  <w:tcW w:w="1014" w:type="dxa"/>
                  <w:vAlign w:val="center"/>
                </w:tcPr>
                <w:p w14:paraId="18052B5D">
                  <w:pPr>
                    <w:pStyle w:val="71"/>
                    <w:adjustRightInd w:val="0"/>
                    <w:spacing w:line="240" w:lineRule="auto"/>
                    <w:ind w:firstLine="0" w:firstLineChars="0"/>
                    <w:jc w:val="center"/>
                    <w:rPr>
                      <w:sz w:val="21"/>
                      <w:szCs w:val="21"/>
                      <w:lang w:val="en-US"/>
                    </w:rPr>
                  </w:pPr>
                  <w:r>
                    <w:rPr>
                      <w:rFonts w:hint="eastAsia"/>
                      <w:sz w:val="21"/>
                      <w:szCs w:val="21"/>
                      <w:lang w:val="en-US"/>
                    </w:rPr>
                    <w:t>80</w:t>
                  </w:r>
                </w:p>
              </w:tc>
            </w:tr>
            <w:tr w14:paraId="3A1FF7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217" w:type="dxa"/>
                  <w:gridSpan w:val="3"/>
                  <w:vAlign w:val="center"/>
                </w:tcPr>
                <w:p w14:paraId="31DFF191">
                  <w:pPr>
                    <w:pStyle w:val="71"/>
                    <w:adjustRightInd w:val="0"/>
                    <w:spacing w:line="240" w:lineRule="auto"/>
                    <w:ind w:firstLine="0" w:firstLineChars="0"/>
                    <w:jc w:val="center"/>
                    <w:rPr>
                      <w:sz w:val="21"/>
                      <w:szCs w:val="21"/>
                      <w:lang w:val="en-US"/>
                    </w:rPr>
                  </w:pPr>
                  <w:r>
                    <w:rPr>
                      <w:rFonts w:hint="eastAsia"/>
                      <w:sz w:val="21"/>
                      <w:szCs w:val="21"/>
                      <w:lang w:val="en-US"/>
                    </w:rPr>
                    <w:t>合计</w:t>
                  </w:r>
                </w:p>
              </w:tc>
              <w:tc>
                <w:tcPr>
                  <w:tcW w:w="1014" w:type="dxa"/>
                  <w:vAlign w:val="center"/>
                </w:tcPr>
                <w:p w14:paraId="18ADAB12">
                  <w:pPr>
                    <w:pStyle w:val="71"/>
                    <w:adjustRightInd w:val="0"/>
                    <w:spacing w:line="240" w:lineRule="auto"/>
                    <w:ind w:firstLine="0" w:firstLineChars="0"/>
                    <w:jc w:val="center"/>
                    <w:rPr>
                      <w:sz w:val="21"/>
                      <w:szCs w:val="21"/>
                      <w:lang w:val="en-US"/>
                    </w:rPr>
                  </w:pPr>
                  <w:r>
                    <w:rPr>
                      <w:rFonts w:hint="eastAsia"/>
                      <w:sz w:val="21"/>
                      <w:szCs w:val="21"/>
                      <w:lang w:val="en-US"/>
                    </w:rPr>
                    <w:t>864.5</w:t>
                  </w:r>
                </w:p>
              </w:tc>
            </w:tr>
          </w:tbl>
          <w:p w14:paraId="4BA5EB94">
            <w:pPr>
              <w:pStyle w:val="2"/>
              <w:rPr>
                <w:rFonts w:hint="eastAsia"/>
                <w:kern w:val="0"/>
                <w:lang w:bidi="ar"/>
              </w:rPr>
            </w:pPr>
          </w:p>
          <w:p w14:paraId="198E8A65">
            <w:pPr>
              <w:pStyle w:val="3"/>
              <w:rPr>
                <w:rFonts w:hint="eastAsia"/>
                <w:kern w:val="0"/>
                <w:lang w:bidi="ar"/>
              </w:rPr>
            </w:pPr>
          </w:p>
          <w:p w14:paraId="41F52B82">
            <w:pPr>
              <w:pStyle w:val="5"/>
              <w:rPr>
                <w:rFonts w:hint="eastAsia"/>
                <w:kern w:val="0"/>
                <w:lang w:bidi="ar"/>
              </w:rPr>
            </w:pPr>
          </w:p>
          <w:p w14:paraId="7D23019F">
            <w:pPr>
              <w:pStyle w:val="6"/>
              <w:rPr>
                <w:rFonts w:hint="eastAsia"/>
                <w:kern w:val="0"/>
                <w:lang w:bidi="ar"/>
              </w:rPr>
            </w:pPr>
          </w:p>
          <w:p w14:paraId="66B3EDB5">
            <w:pPr>
              <w:pStyle w:val="7"/>
              <w:rPr>
                <w:rFonts w:hint="eastAsia"/>
                <w:kern w:val="0"/>
                <w:lang w:bidi="ar"/>
              </w:rPr>
            </w:pPr>
          </w:p>
          <w:p w14:paraId="6650F899">
            <w:pPr>
              <w:rPr>
                <w:rFonts w:hint="eastAsia"/>
                <w:kern w:val="0"/>
                <w:lang w:bidi="ar"/>
              </w:rPr>
            </w:pPr>
          </w:p>
          <w:p w14:paraId="018CFA5B">
            <w:pPr>
              <w:pStyle w:val="2"/>
              <w:rPr>
                <w:rFonts w:hint="eastAsia"/>
                <w:kern w:val="0"/>
                <w:lang w:bidi="ar"/>
              </w:rPr>
            </w:pPr>
          </w:p>
          <w:p w14:paraId="5C910998">
            <w:pPr>
              <w:pStyle w:val="3"/>
              <w:rPr>
                <w:rFonts w:hint="eastAsia"/>
                <w:kern w:val="0"/>
                <w:lang w:bidi="ar"/>
              </w:rPr>
            </w:pPr>
          </w:p>
          <w:p w14:paraId="1497C861">
            <w:pPr>
              <w:pStyle w:val="5"/>
              <w:rPr>
                <w:rFonts w:hint="eastAsia"/>
                <w:kern w:val="0"/>
                <w:lang w:bidi="ar"/>
              </w:rPr>
            </w:pPr>
          </w:p>
          <w:p w14:paraId="039D7C4D">
            <w:pPr>
              <w:pStyle w:val="71"/>
              <w:ind w:firstLine="0" w:firstLineChars="0"/>
              <w:jc w:val="center"/>
              <w:rPr>
                <w:lang w:val="en-US"/>
              </w:rPr>
            </w:pPr>
          </w:p>
        </w:tc>
      </w:tr>
    </w:tbl>
    <w:p w14:paraId="01729A07">
      <w:pPr>
        <w:ind w:firstLine="480"/>
        <w:sectPr>
          <w:pgSz w:w="11907" w:h="16840"/>
          <w:pgMar w:top="1440" w:right="1797" w:bottom="1440" w:left="1797" w:header="851" w:footer="1077" w:gutter="0"/>
          <w:pgBorders>
            <w:top w:val="none" w:sz="0" w:space="0"/>
            <w:left w:val="none" w:sz="0" w:space="0"/>
            <w:bottom w:val="none" w:sz="0" w:space="0"/>
            <w:right w:val="none" w:sz="0" w:space="0"/>
          </w:pgBorders>
          <w:cols w:space="720" w:num="1"/>
          <w:docGrid w:linePitch="312" w:charSpace="0"/>
        </w:sectPr>
      </w:pPr>
    </w:p>
    <w:p w14:paraId="64E1DB7F">
      <w:pPr>
        <w:pStyle w:val="35"/>
        <w:adjustRightInd w:val="0"/>
        <w:snapToGrid w:val="0"/>
        <w:spacing w:before="0" w:beforeAutospacing="0" w:after="0" w:afterAutospacing="0"/>
        <w:ind w:firstLine="0" w:firstLineChars="0"/>
        <w:jc w:val="center"/>
        <w:outlineLvl w:val="0"/>
        <w:rPr>
          <w:rFonts w:ascii="Times New Roman" w:hAnsi="Times New Roman"/>
          <w:snapToGrid w:val="0"/>
          <w:sz w:val="30"/>
          <w:szCs w:val="30"/>
        </w:rPr>
      </w:pPr>
      <w:bookmarkStart w:id="80" w:name="_Toc15034"/>
      <w:bookmarkStart w:id="81" w:name="_Toc21979"/>
      <w:r>
        <w:rPr>
          <w:rFonts w:hint="eastAsia" w:ascii="Times New Roman" w:hAnsi="Times New Roman"/>
          <w:snapToGrid w:val="0"/>
          <w:sz w:val="30"/>
          <w:szCs w:val="30"/>
        </w:rPr>
        <w:t>六、生态环境保护措施监督检查清单</w:t>
      </w:r>
      <w:bookmarkEnd w:id="80"/>
      <w:bookmarkEnd w:id="81"/>
    </w:p>
    <w:tbl>
      <w:tblPr>
        <w:tblStyle w:val="40"/>
        <w:tblW w:w="511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86"/>
        <w:gridCol w:w="7638"/>
        <w:gridCol w:w="2835"/>
        <w:gridCol w:w="1738"/>
        <w:gridCol w:w="1512"/>
      </w:tblGrid>
      <w:tr w14:paraId="0113189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Merge w:val="restart"/>
            <w:tcBorders>
              <w:tl2br w:val="single" w:color="auto" w:sz="4" w:space="0"/>
            </w:tcBorders>
            <w:vAlign w:val="center"/>
          </w:tcPr>
          <w:p w14:paraId="084C0651">
            <w:pPr>
              <w:pStyle w:val="35"/>
              <w:adjustRightInd w:val="0"/>
              <w:snapToGrid w:val="0"/>
              <w:spacing w:before="0" w:beforeAutospacing="0" w:after="0" w:afterAutospacing="0" w:line="240" w:lineRule="auto"/>
              <w:ind w:firstLine="0" w:firstLineChars="0"/>
              <w:jc w:val="right"/>
              <w:rPr>
                <w:rFonts w:ascii="Times New Roman" w:hAnsi="Times New Roman"/>
                <w:kern w:val="2"/>
                <w:sz w:val="21"/>
                <w:szCs w:val="21"/>
              </w:rPr>
            </w:pPr>
            <w:r>
              <w:rPr>
                <w:rFonts w:hint="eastAsia" w:ascii="Times New Roman" w:hAnsi="Times New Roman"/>
                <w:kern w:val="2"/>
                <w:sz w:val="21"/>
                <w:szCs w:val="21"/>
              </w:rPr>
              <w:t>内容</w:t>
            </w:r>
          </w:p>
          <w:p w14:paraId="3CF69300">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p>
          <w:p w14:paraId="63DAB6CC">
            <w:pPr>
              <w:pStyle w:val="35"/>
              <w:adjustRightInd w:val="0"/>
              <w:snapToGrid w:val="0"/>
              <w:spacing w:before="0" w:beforeAutospacing="0" w:after="0" w:afterAutospacing="0" w:line="240" w:lineRule="auto"/>
              <w:ind w:firstLine="0" w:firstLineChars="0"/>
              <w:jc w:val="both"/>
              <w:rPr>
                <w:rFonts w:ascii="Times New Roman" w:hAnsi="Times New Roman"/>
                <w:kern w:val="2"/>
                <w:sz w:val="21"/>
                <w:szCs w:val="21"/>
              </w:rPr>
            </w:pPr>
            <w:r>
              <w:rPr>
                <w:rFonts w:hint="eastAsia" w:ascii="Times New Roman" w:hAnsi="Times New Roman"/>
                <w:kern w:val="2"/>
                <w:sz w:val="21"/>
                <w:szCs w:val="21"/>
              </w:rPr>
              <w:t>要素</w:t>
            </w:r>
          </w:p>
        </w:tc>
        <w:tc>
          <w:tcPr>
            <w:tcW w:w="3608" w:type="pct"/>
            <w:gridSpan w:val="2"/>
            <w:vAlign w:val="center"/>
          </w:tcPr>
          <w:p w14:paraId="2417E596">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施工期</w:t>
            </w:r>
          </w:p>
        </w:tc>
        <w:tc>
          <w:tcPr>
            <w:tcW w:w="1120" w:type="pct"/>
            <w:gridSpan w:val="2"/>
            <w:vAlign w:val="center"/>
          </w:tcPr>
          <w:p w14:paraId="4A2638F4">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运营期</w:t>
            </w:r>
          </w:p>
        </w:tc>
      </w:tr>
      <w:tr w14:paraId="28C73D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Merge w:val="continue"/>
            <w:vAlign w:val="center"/>
          </w:tcPr>
          <w:p w14:paraId="439BA0E0">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p>
        </w:tc>
        <w:tc>
          <w:tcPr>
            <w:tcW w:w="2631" w:type="pct"/>
            <w:vAlign w:val="center"/>
          </w:tcPr>
          <w:p w14:paraId="03F4DF4F">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环境保护措施</w:t>
            </w:r>
          </w:p>
        </w:tc>
        <w:tc>
          <w:tcPr>
            <w:tcW w:w="976" w:type="pct"/>
            <w:vAlign w:val="center"/>
          </w:tcPr>
          <w:p w14:paraId="5A6DD42C">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验收要求</w:t>
            </w:r>
          </w:p>
        </w:tc>
        <w:tc>
          <w:tcPr>
            <w:tcW w:w="599" w:type="pct"/>
            <w:vAlign w:val="center"/>
          </w:tcPr>
          <w:p w14:paraId="2160F430">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环境保护措施</w:t>
            </w:r>
          </w:p>
        </w:tc>
        <w:tc>
          <w:tcPr>
            <w:tcW w:w="520" w:type="pct"/>
            <w:vAlign w:val="center"/>
          </w:tcPr>
          <w:p w14:paraId="78651D30">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验收要求</w:t>
            </w:r>
          </w:p>
        </w:tc>
      </w:tr>
      <w:tr w14:paraId="7225B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6EE4E4A0">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陆生生态</w:t>
            </w:r>
          </w:p>
        </w:tc>
        <w:tc>
          <w:tcPr>
            <w:tcW w:w="2631" w:type="pct"/>
            <w:vAlign w:val="center"/>
          </w:tcPr>
          <w:p w14:paraId="7E41979A">
            <w:pPr>
              <w:pStyle w:val="71"/>
              <w:adjustRightInd w:val="0"/>
              <w:spacing w:line="240" w:lineRule="auto"/>
              <w:ind w:firstLine="0" w:firstLineChars="0"/>
              <w:jc w:val="center"/>
              <w:rPr>
                <w:sz w:val="21"/>
                <w:szCs w:val="21"/>
                <w:lang w:val="en-US"/>
              </w:rPr>
            </w:pPr>
            <w:r>
              <w:rPr>
                <w:rFonts w:hint="eastAsia"/>
                <w:sz w:val="21"/>
                <w:szCs w:val="21"/>
                <w:lang w:val="en-US"/>
              </w:rPr>
              <w:t>通过工程和生态的方法恢复开采区的植被，项目区内将种植冬樱花、三角梅等。</w:t>
            </w:r>
          </w:p>
        </w:tc>
        <w:tc>
          <w:tcPr>
            <w:tcW w:w="976" w:type="pct"/>
            <w:vAlign w:val="center"/>
          </w:tcPr>
          <w:p w14:paraId="59F21A17">
            <w:pPr>
              <w:pStyle w:val="86"/>
              <w:rPr>
                <w:rFonts w:hint="default" w:ascii="Times New Roman" w:hAnsi="Times New Roman" w:eastAsia="宋体" w:cs="Times New Roman"/>
                <w:sz w:val="21"/>
                <w:szCs w:val="21"/>
              </w:rPr>
            </w:pPr>
            <w:r>
              <w:rPr>
                <w:rFonts w:hint="default" w:ascii="Times New Roman" w:hAnsi="Times New Roman" w:eastAsia="宋体" w:cs="Times New Roman"/>
                <w:bCs/>
                <w:kern w:val="0"/>
                <w:sz w:val="21"/>
                <w:szCs w:val="21"/>
              </w:rPr>
              <w:t>项目完成后，恢复</w:t>
            </w:r>
            <w:r>
              <w:rPr>
                <w:rFonts w:hint="default" w:ascii="Times New Roman" w:hAnsi="Times New Roman" w:eastAsia="宋体" w:cs="Times New Roman"/>
                <w:kern w:val="0"/>
                <w:sz w:val="21"/>
                <w:szCs w:val="21"/>
              </w:rPr>
              <w:t>旱地1.3508hm</w:t>
            </w:r>
            <w:r>
              <w:rPr>
                <w:rFonts w:hint="default" w:ascii="Times New Roman" w:hAnsi="Times New Roman" w:eastAsia="宋体" w:cs="Times New Roman"/>
                <w:kern w:val="0"/>
                <w:sz w:val="21"/>
                <w:szCs w:val="21"/>
                <w:vertAlign w:val="superscript"/>
              </w:rPr>
              <w:t>2</w:t>
            </w:r>
            <w:r>
              <w:rPr>
                <w:rFonts w:hint="default" w:ascii="Times New Roman" w:hAnsi="Times New Roman" w:eastAsia="宋体" w:cs="Times New Roman"/>
                <w:kern w:val="0"/>
                <w:sz w:val="21"/>
                <w:szCs w:val="21"/>
              </w:rPr>
              <w:t>，果园0.2144hm</w:t>
            </w:r>
            <w:r>
              <w:rPr>
                <w:rFonts w:hint="default" w:ascii="Times New Roman" w:hAnsi="Times New Roman" w:eastAsia="宋体" w:cs="Times New Roman"/>
                <w:kern w:val="0"/>
                <w:sz w:val="21"/>
                <w:szCs w:val="21"/>
                <w:vertAlign w:val="superscript"/>
              </w:rPr>
              <w:t>2</w:t>
            </w:r>
            <w:r>
              <w:rPr>
                <w:rFonts w:hint="default" w:ascii="Times New Roman" w:hAnsi="Times New Roman" w:eastAsia="宋体" w:cs="Times New Roman"/>
                <w:kern w:val="0"/>
                <w:sz w:val="21"/>
                <w:szCs w:val="21"/>
              </w:rPr>
              <w:t>，乔木林地0.0604hm</w:t>
            </w:r>
            <w:r>
              <w:rPr>
                <w:rFonts w:hint="default" w:ascii="Times New Roman" w:hAnsi="Times New Roman" w:eastAsia="宋体" w:cs="Times New Roman"/>
                <w:kern w:val="0"/>
                <w:sz w:val="21"/>
                <w:szCs w:val="21"/>
                <w:vertAlign w:val="superscript"/>
              </w:rPr>
              <w:t>2</w:t>
            </w:r>
            <w:r>
              <w:rPr>
                <w:rFonts w:hint="default" w:ascii="Times New Roman" w:hAnsi="Times New Roman" w:eastAsia="宋体" w:cs="Times New Roman"/>
                <w:kern w:val="0"/>
                <w:sz w:val="21"/>
                <w:szCs w:val="21"/>
              </w:rPr>
              <w:t>，灌木林地2.1078hm</w:t>
            </w:r>
            <w:r>
              <w:rPr>
                <w:rFonts w:hint="default" w:ascii="Times New Roman" w:hAnsi="Times New Roman" w:eastAsia="宋体" w:cs="Times New Roman"/>
                <w:kern w:val="0"/>
                <w:sz w:val="21"/>
                <w:szCs w:val="21"/>
                <w:vertAlign w:val="superscript"/>
              </w:rPr>
              <w:t>2</w:t>
            </w:r>
            <w:r>
              <w:rPr>
                <w:rFonts w:hint="default" w:ascii="Times New Roman" w:hAnsi="Times New Roman" w:eastAsia="宋体" w:cs="Times New Roman"/>
                <w:kern w:val="0"/>
                <w:sz w:val="21"/>
                <w:szCs w:val="21"/>
              </w:rPr>
              <w:t>，其他草地0.4028hm</w:t>
            </w:r>
            <w:r>
              <w:rPr>
                <w:rFonts w:hint="default" w:ascii="Times New Roman" w:hAnsi="Times New Roman" w:eastAsia="宋体" w:cs="Times New Roman"/>
                <w:kern w:val="0"/>
                <w:sz w:val="21"/>
                <w:szCs w:val="21"/>
                <w:vertAlign w:val="superscript"/>
              </w:rPr>
              <w:t>2</w:t>
            </w:r>
            <w:r>
              <w:rPr>
                <w:rFonts w:hint="default" w:ascii="Times New Roman" w:hAnsi="Times New Roman" w:eastAsia="宋体" w:cs="Times New Roman"/>
                <w:kern w:val="0"/>
                <w:sz w:val="21"/>
                <w:szCs w:val="21"/>
              </w:rPr>
              <w:t>，</w:t>
            </w:r>
          </w:p>
        </w:tc>
        <w:tc>
          <w:tcPr>
            <w:tcW w:w="599" w:type="pct"/>
            <w:vAlign w:val="center"/>
          </w:tcPr>
          <w:p w14:paraId="13CAF767">
            <w:pPr>
              <w:pStyle w:val="71"/>
              <w:adjustRightInd w:val="0"/>
              <w:spacing w:line="240" w:lineRule="auto"/>
              <w:ind w:firstLine="0" w:firstLineChars="0"/>
              <w:jc w:val="both"/>
              <w:rPr>
                <w:sz w:val="21"/>
                <w:szCs w:val="21"/>
                <w:lang w:val="en-US"/>
              </w:rPr>
            </w:pPr>
            <w:r>
              <w:rPr>
                <w:rFonts w:hint="eastAsia"/>
                <w:sz w:val="21"/>
                <w:szCs w:val="21"/>
                <w:lang w:val="en-US"/>
              </w:rPr>
              <w:t>修复区植被养护和管理</w:t>
            </w:r>
          </w:p>
        </w:tc>
        <w:tc>
          <w:tcPr>
            <w:tcW w:w="520" w:type="pct"/>
            <w:vAlign w:val="center"/>
          </w:tcPr>
          <w:p w14:paraId="0296A0EB">
            <w:pPr>
              <w:pStyle w:val="71"/>
              <w:adjustRightInd w:val="0"/>
              <w:spacing w:line="240" w:lineRule="auto"/>
              <w:ind w:firstLine="0" w:firstLineChars="0"/>
              <w:jc w:val="center"/>
              <w:rPr>
                <w:sz w:val="21"/>
                <w:szCs w:val="21"/>
                <w:lang w:val="en-US"/>
              </w:rPr>
            </w:pPr>
            <w:r>
              <w:rPr>
                <w:rFonts w:hint="eastAsia"/>
                <w:sz w:val="21"/>
                <w:szCs w:val="21"/>
                <w:lang w:val="en-US"/>
              </w:rPr>
              <w:t>维护好项目各域植被恢复及养护效果，保护周围野生动植物</w:t>
            </w:r>
          </w:p>
        </w:tc>
      </w:tr>
      <w:tr w14:paraId="3443B2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017CFD06">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水生生态</w:t>
            </w:r>
          </w:p>
        </w:tc>
        <w:tc>
          <w:tcPr>
            <w:tcW w:w="2631" w:type="pct"/>
            <w:vAlign w:val="center"/>
          </w:tcPr>
          <w:p w14:paraId="2BCA62D7">
            <w:pPr>
              <w:pStyle w:val="71"/>
              <w:adjustRightInd w:val="0"/>
              <w:spacing w:line="240" w:lineRule="auto"/>
              <w:ind w:firstLine="0" w:firstLineChars="0"/>
              <w:jc w:val="center"/>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w:t>
            </w:r>
          </w:p>
        </w:tc>
        <w:tc>
          <w:tcPr>
            <w:tcW w:w="976" w:type="pct"/>
            <w:vAlign w:val="center"/>
          </w:tcPr>
          <w:p w14:paraId="78E346FE">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w:t>
            </w:r>
          </w:p>
        </w:tc>
        <w:tc>
          <w:tcPr>
            <w:tcW w:w="599" w:type="pct"/>
            <w:vAlign w:val="center"/>
          </w:tcPr>
          <w:p w14:paraId="2AD4B3F1">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w:t>
            </w:r>
          </w:p>
        </w:tc>
        <w:tc>
          <w:tcPr>
            <w:tcW w:w="520" w:type="pct"/>
            <w:vAlign w:val="center"/>
          </w:tcPr>
          <w:p w14:paraId="3EB42F4C">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w:t>
            </w:r>
          </w:p>
        </w:tc>
      </w:tr>
      <w:tr w14:paraId="35F7A99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5BE23823">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地表水环境</w:t>
            </w:r>
          </w:p>
        </w:tc>
        <w:tc>
          <w:tcPr>
            <w:tcW w:w="2631" w:type="pct"/>
            <w:vAlign w:val="center"/>
          </w:tcPr>
          <w:p w14:paraId="7B3F1BDE">
            <w:pPr>
              <w:pStyle w:val="71"/>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①设置临时沉淀池，将施工废水收集沉淀后回用于施工用水、施工场地洒水等；</w:t>
            </w:r>
          </w:p>
          <w:p w14:paraId="3E7169F5">
            <w:pPr>
              <w:pStyle w:val="71"/>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②回填区渗滤液收集后进入渗滤液收集井（50.24m³），设置1座360m³的回用水池，晴天回用于洒水降尘；</w:t>
            </w:r>
          </w:p>
          <w:p w14:paraId="72B26792">
            <w:pPr>
              <w:pStyle w:val="71"/>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③施工人员洗手废水经收集后全部回用于施工场地降尘。</w:t>
            </w:r>
          </w:p>
        </w:tc>
        <w:tc>
          <w:tcPr>
            <w:tcW w:w="976" w:type="pct"/>
            <w:vAlign w:val="center"/>
          </w:tcPr>
          <w:p w14:paraId="014269BC">
            <w:pPr>
              <w:pStyle w:val="71"/>
              <w:adjustRightInd w:val="0"/>
              <w:spacing w:line="240" w:lineRule="auto"/>
              <w:ind w:firstLine="0" w:firstLineChars="0"/>
              <w:jc w:val="center"/>
              <w:rPr>
                <w:sz w:val="21"/>
                <w:szCs w:val="21"/>
                <w:lang w:val="en-US"/>
              </w:rPr>
            </w:pPr>
            <w:r>
              <w:rPr>
                <w:rFonts w:hint="eastAsia"/>
                <w:sz w:val="21"/>
                <w:szCs w:val="21"/>
                <w:lang w:val="en-US"/>
              </w:rPr>
              <w:t>施工期建设1个容积为3m³临时沉淀池来处理施工产生的废水，设置</w:t>
            </w:r>
            <w:r>
              <w:rPr>
                <w:rFonts w:hint="eastAsia"/>
                <w:sz w:val="21"/>
                <w:szCs w:val="21"/>
                <w:lang w:val="en-US" w:eastAsia="zh-CN"/>
              </w:rPr>
              <w:t>2</w:t>
            </w:r>
            <w:r>
              <w:rPr>
                <w:rFonts w:hint="eastAsia"/>
                <w:sz w:val="21"/>
                <w:szCs w:val="21"/>
                <w:lang w:val="en-US"/>
              </w:rPr>
              <w:t>个渗滤液收集井收集渗滤液，</w:t>
            </w:r>
            <w:r>
              <w:rPr>
                <w:rFonts w:hint="eastAsia"/>
                <w:sz w:val="21"/>
                <w:szCs w:val="21"/>
                <w:lang w:val="en-US" w:eastAsia="zh-CN"/>
              </w:rPr>
              <w:t>2</w:t>
            </w:r>
            <w:r>
              <w:rPr>
                <w:rFonts w:hint="eastAsia"/>
                <w:sz w:val="21"/>
                <w:szCs w:val="21"/>
                <w:lang w:val="en-US"/>
              </w:rPr>
              <w:t>座回用水池，废水收集沉淀后回用于回填区洒水降尘。</w:t>
            </w:r>
          </w:p>
        </w:tc>
        <w:tc>
          <w:tcPr>
            <w:tcW w:w="599" w:type="pct"/>
            <w:vAlign w:val="center"/>
          </w:tcPr>
          <w:p w14:paraId="0BD17E65">
            <w:pPr>
              <w:pStyle w:val="71"/>
              <w:adjustRightInd w:val="0"/>
              <w:spacing w:line="240" w:lineRule="auto"/>
              <w:ind w:firstLine="0" w:firstLineChars="0"/>
              <w:jc w:val="center"/>
              <w:rPr>
                <w:sz w:val="21"/>
                <w:szCs w:val="21"/>
                <w:lang w:val="en-US"/>
              </w:rPr>
            </w:pPr>
            <w:r>
              <w:rPr>
                <w:rFonts w:hint="eastAsia"/>
                <w:sz w:val="21"/>
                <w:szCs w:val="21"/>
                <w:lang w:val="en-US"/>
              </w:rPr>
              <w:t>渗滤液收集至收集井后回用</w:t>
            </w:r>
          </w:p>
        </w:tc>
        <w:tc>
          <w:tcPr>
            <w:tcW w:w="520" w:type="pct"/>
            <w:vAlign w:val="center"/>
          </w:tcPr>
          <w:p w14:paraId="562F548B">
            <w:pPr>
              <w:pStyle w:val="71"/>
              <w:adjustRightInd w:val="0"/>
              <w:spacing w:line="240" w:lineRule="auto"/>
              <w:ind w:firstLine="0" w:firstLineChars="0"/>
              <w:jc w:val="center"/>
              <w:rPr>
                <w:sz w:val="21"/>
                <w:szCs w:val="21"/>
                <w:lang w:val="en-US"/>
              </w:rPr>
            </w:pPr>
            <w:r>
              <w:rPr>
                <w:rFonts w:hint="eastAsia"/>
                <w:sz w:val="21"/>
                <w:szCs w:val="21"/>
                <w:lang w:val="en-US"/>
              </w:rPr>
              <w:t>经收集后全部回用于洒水降尘</w:t>
            </w:r>
          </w:p>
        </w:tc>
      </w:tr>
      <w:tr w14:paraId="6F5130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 w:hRule="atLeast"/>
          <w:jc w:val="center"/>
        </w:trPr>
        <w:tc>
          <w:tcPr>
            <w:tcW w:w="271" w:type="pct"/>
            <w:vAlign w:val="center"/>
          </w:tcPr>
          <w:p w14:paraId="224534F9">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地下水及土壤环境</w:t>
            </w:r>
          </w:p>
        </w:tc>
        <w:tc>
          <w:tcPr>
            <w:tcW w:w="2631" w:type="pct"/>
            <w:vAlign w:val="center"/>
          </w:tcPr>
          <w:p w14:paraId="6B330D08">
            <w:pPr>
              <w:pStyle w:val="71"/>
              <w:adjustRightInd w:val="0"/>
              <w:spacing w:line="240" w:lineRule="auto"/>
              <w:ind w:firstLine="0" w:firstLineChars="0"/>
              <w:rPr>
                <w:color w:val="000000" w:themeColor="text1"/>
                <w:sz w:val="21"/>
                <w:szCs w:val="21"/>
                <w:lang w:val="en-US"/>
                <w14:textFill>
                  <w14:solidFill>
                    <w14:schemeClr w14:val="tx1"/>
                  </w14:solidFill>
                </w14:textFill>
              </w:rPr>
            </w:pPr>
            <w:r>
              <w:rPr>
                <w:color w:val="000000" w:themeColor="text1"/>
                <w:sz w:val="21"/>
                <w:szCs w:val="21"/>
                <w:lang w:val="en-US"/>
                <w14:textFill>
                  <w14:solidFill>
                    <w14:schemeClr w14:val="tx1"/>
                  </w14:solidFill>
                </w14:textFill>
              </w:rPr>
              <w:t>1</w:t>
            </w:r>
            <w:r>
              <w:rPr>
                <w:rFonts w:hint="eastAsia"/>
                <w:color w:val="000000" w:themeColor="text1"/>
                <w:sz w:val="21"/>
                <w:szCs w:val="21"/>
                <w:lang w:val="en-US"/>
                <w14:textFill>
                  <w14:solidFill>
                    <w14:schemeClr w14:val="tx1"/>
                  </w14:solidFill>
                </w14:textFill>
              </w:rPr>
              <w:t>、防渗工程</w:t>
            </w:r>
          </w:p>
          <w:p w14:paraId="323DAB38">
            <w:pPr>
              <w:pStyle w:val="71"/>
              <w:adjustRightInd w:val="0"/>
              <w:spacing w:line="240" w:lineRule="auto"/>
              <w:ind w:firstLine="0" w:firstLineChars="0"/>
              <w:rPr>
                <w:color w:val="000000" w:themeColor="text1"/>
                <w:kern w:val="0"/>
                <w:sz w:val="21"/>
                <w:szCs w:val="21"/>
                <w:lang w:val="en-US" w:bidi="ar"/>
                <w14:textFill>
                  <w14:solidFill>
                    <w14:schemeClr w14:val="tx1"/>
                  </w14:solidFill>
                </w14:textFill>
              </w:rPr>
            </w:pPr>
            <w:r>
              <w:rPr>
                <w:rFonts w:hint="eastAsia"/>
                <w:color w:val="000000" w:themeColor="text1"/>
                <w:kern w:val="0"/>
                <w:sz w:val="21"/>
                <w:szCs w:val="21"/>
                <w:lang w:val="en-US" w:bidi="ar"/>
                <w14:textFill>
                  <w14:solidFill>
                    <w14:schemeClr w14:val="tx1"/>
                  </w14:solidFill>
                </w14:textFill>
              </w:rPr>
              <w:t>基底处理：生态修复区底部清基后铺设粘土层，压实处理后粘土层厚度0.75</w:t>
            </w:r>
            <w:r>
              <w:rPr>
                <w:color w:val="000000" w:themeColor="text1"/>
                <w:kern w:val="0"/>
                <w:sz w:val="21"/>
                <w:szCs w:val="21"/>
                <w:lang w:val="en-US" w:bidi="ar"/>
                <w14:textFill>
                  <w14:solidFill>
                    <w14:schemeClr w14:val="tx1"/>
                  </w14:solidFill>
                </w14:textFill>
              </w:rPr>
              <w:t>m</w:t>
            </w:r>
            <w:r>
              <w:rPr>
                <w:rFonts w:hint="eastAsia"/>
                <w:color w:val="000000" w:themeColor="text1"/>
                <w:kern w:val="0"/>
                <w:sz w:val="21"/>
                <w:szCs w:val="21"/>
                <w:lang w:val="en-US" w:bidi="ar"/>
                <w14:textFill>
                  <w14:solidFill>
                    <w14:schemeClr w14:val="tx1"/>
                  </w14:solidFill>
                </w14:textFill>
              </w:rPr>
              <w:t>，压实后的粘土层进行渗透试验，渗透系数满足</w:t>
            </w:r>
            <w:r>
              <w:rPr>
                <w:color w:val="000000" w:themeColor="text1"/>
                <w:kern w:val="0"/>
                <w:sz w:val="21"/>
                <w:szCs w:val="21"/>
                <w:lang w:val="en-US" w:bidi="ar"/>
                <w14:textFill>
                  <w14:solidFill>
                    <w14:schemeClr w14:val="tx1"/>
                  </w14:solidFill>
                </w14:textFill>
              </w:rPr>
              <w:t>1.0×10</w:t>
            </w:r>
            <w:r>
              <w:rPr>
                <w:rFonts w:hint="eastAsia"/>
                <w:color w:val="000000" w:themeColor="text1"/>
                <w:kern w:val="0"/>
                <w:sz w:val="21"/>
                <w:szCs w:val="21"/>
                <w:vertAlign w:val="superscript"/>
                <w:lang w:val="en-US" w:bidi="ar"/>
                <w14:textFill>
                  <w14:solidFill>
                    <w14:schemeClr w14:val="tx1"/>
                  </w14:solidFill>
                </w14:textFill>
              </w:rPr>
              <w:t>-</w:t>
            </w:r>
            <w:r>
              <w:rPr>
                <w:color w:val="000000" w:themeColor="text1"/>
                <w:kern w:val="0"/>
                <w:sz w:val="21"/>
                <w:szCs w:val="21"/>
                <w:vertAlign w:val="superscript"/>
                <w:lang w:val="en-US" w:bidi="ar"/>
                <w14:textFill>
                  <w14:solidFill>
                    <w14:schemeClr w14:val="tx1"/>
                  </w14:solidFill>
                </w14:textFill>
              </w:rPr>
              <w:t>5</w:t>
            </w:r>
            <w:r>
              <w:rPr>
                <w:color w:val="000000" w:themeColor="text1"/>
                <w:kern w:val="0"/>
                <w:sz w:val="21"/>
                <w:szCs w:val="21"/>
                <w:lang w:val="en-US" w:bidi="ar"/>
                <w14:textFill>
                  <w14:solidFill>
                    <w14:schemeClr w14:val="tx1"/>
                  </w14:solidFill>
                </w14:textFill>
              </w:rPr>
              <w:t>cm/s</w:t>
            </w:r>
            <w:r>
              <w:rPr>
                <w:rFonts w:hint="eastAsia"/>
                <w:color w:val="000000" w:themeColor="text1"/>
                <w:kern w:val="0"/>
                <w:sz w:val="21"/>
                <w:szCs w:val="21"/>
                <w:lang w:val="en-US" w:bidi="ar"/>
                <w14:textFill>
                  <w14:solidFill>
                    <w14:schemeClr w14:val="tx1"/>
                  </w14:solidFill>
                </w14:textFill>
              </w:rPr>
              <w:t>要求后再进行地下水导排管和人工防渗膜铺设。如工程场地发现岩溶裂隙等不稳定基层或其他影响工程安全稳定性的问题，应及时采用回填、加固等相关措施进行处理，达到相关要求后方可进一步施工。施工监理和环境监理相关单位也应履行好相关职责，确保措施到位，避免存在相关隐患，影响后期防渗工程。</w:t>
            </w:r>
          </w:p>
          <w:p w14:paraId="0A4B99A4">
            <w:pPr>
              <w:pStyle w:val="71"/>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底部防渗：</w:t>
            </w:r>
            <w:r>
              <w:rPr>
                <w:rFonts w:hint="eastAsia"/>
                <w:color w:val="000000" w:themeColor="text1"/>
                <w:kern w:val="0"/>
                <w:sz w:val="21"/>
                <w:szCs w:val="21"/>
                <w:lang w:val="en-US" w:bidi="ar"/>
                <w14:textFill>
                  <w14:solidFill>
                    <w14:schemeClr w14:val="tx1"/>
                  </w14:solidFill>
                </w14:textFill>
              </w:rPr>
              <w:t>在修复区场地铺设两横一纵导排盲沟，场地整平后，铺设0.75m厚黏土层，压实好后依次铺设</w:t>
            </w:r>
            <w:r>
              <w:rPr>
                <w:rFonts w:hint="eastAsia"/>
                <w:color w:val="000000" w:themeColor="text1"/>
                <w:kern w:val="0"/>
                <w:sz w:val="21"/>
                <w:szCs w:val="21"/>
                <w:lang w:bidi="ar"/>
                <w14:textFill>
                  <w14:solidFill>
                    <w14:schemeClr w14:val="tx1"/>
                  </w14:solidFill>
                </w14:textFill>
              </w:rPr>
              <w:t>热粘连两布一膜聚酯长丝土工布（300g/m</w:t>
            </w:r>
            <w:r>
              <w:rPr>
                <w:rFonts w:hint="eastAsia"/>
                <w:color w:val="000000" w:themeColor="text1"/>
                <w:kern w:val="0"/>
                <w:sz w:val="21"/>
                <w:szCs w:val="21"/>
                <w:vertAlign w:val="superscript"/>
                <w:lang w:bidi="ar"/>
                <w14:textFill>
                  <w14:solidFill>
                    <w14:schemeClr w14:val="tx1"/>
                  </w14:solidFill>
                </w14:textFill>
              </w:rPr>
              <w:t>2</w:t>
            </w:r>
            <w:r>
              <w:rPr>
                <w:rFonts w:hint="eastAsia"/>
                <w:color w:val="000000" w:themeColor="text1"/>
                <w:kern w:val="0"/>
                <w:sz w:val="21"/>
                <w:szCs w:val="21"/>
                <w:lang w:bidi="ar"/>
                <w14:textFill>
                  <w14:solidFill>
                    <w14:schemeClr w14:val="tx1"/>
                  </w14:solidFill>
                </w14:textFill>
              </w:rPr>
              <w:t>）+1.5mmHDPE土工膜+聚酯长丝土工布（300g/m</w:t>
            </w:r>
            <w:r>
              <w:rPr>
                <w:rFonts w:hint="eastAsia"/>
                <w:color w:val="000000" w:themeColor="text1"/>
                <w:kern w:val="0"/>
                <w:sz w:val="21"/>
                <w:szCs w:val="21"/>
                <w:vertAlign w:val="superscript"/>
                <w:lang w:bidi="ar"/>
                <w14:textFill>
                  <w14:solidFill>
                    <w14:schemeClr w14:val="tx1"/>
                  </w14:solidFill>
                </w14:textFill>
              </w:rPr>
              <w:t>2</w:t>
            </w:r>
            <w:r>
              <w:rPr>
                <w:rFonts w:hint="eastAsia"/>
                <w:color w:val="000000" w:themeColor="text1"/>
                <w:kern w:val="0"/>
                <w:sz w:val="21"/>
                <w:szCs w:val="21"/>
                <w:lang w:bidi="ar"/>
                <w14:textFill>
                  <w14:solidFill>
                    <w14:schemeClr w14:val="tx1"/>
                  </w14:solidFill>
                </w14:textFill>
              </w:rPr>
              <w:t>）</w:t>
            </w:r>
            <w:r>
              <w:rPr>
                <w:rFonts w:hint="eastAsia"/>
                <w:color w:val="000000" w:themeColor="text1"/>
                <w:sz w:val="21"/>
                <w:szCs w:val="21"/>
                <w:lang w:val="en-US"/>
                <w14:textFill>
                  <w14:solidFill>
                    <w14:schemeClr w14:val="tx1"/>
                  </w14:solidFill>
                </w14:textFill>
              </w:rPr>
              <w:t>。</w:t>
            </w:r>
          </w:p>
          <w:p w14:paraId="3C274FDA">
            <w:pPr>
              <w:pStyle w:val="71"/>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kern w:val="0"/>
                <w:sz w:val="21"/>
                <w:szCs w:val="21"/>
                <w:lang w:val="en-US" w:bidi="ar"/>
                <w14:textFill>
                  <w14:solidFill>
                    <w14:schemeClr w14:val="tx1"/>
                  </w14:solidFill>
                </w14:textFill>
              </w:rPr>
              <w:t>修复区防渗膜底部共设置两横一纵导排盲沟，总长405m，盲沟</w:t>
            </w:r>
            <w:r>
              <w:rPr>
                <w:rFonts w:hint="eastAsia"/>
                <w:color w:val="000000" w:themeColor="text1"/>
                <w:kern w:val="0"/>
                <w:sz w:val="21"/>
                <w:szCs w:val="21"/>
                <w:lang w:bidi="ar"/>
                <w14:textFill>
                  <w14:solidFill>
                    <w14:schemeClr w14:val="tx1"/>
                  </w14:solidFill>
                </w14:textFill>
              </w:rPr>
              <w:t>宽上口2.68m，深1.25m，底部先铺设0.1m厚硅石层，安装排渗管后两侧及顶部均采用硅石层充填；导排盲沟管最终汇入到地下水</w:t>
            </w:r>
            <w:r>
              <w:rPr>
                <w:rFonts w:hint="eastAsia"/>
                <w:color w:val="000000" w:themeColor="text1"/>
                <w:kern w:val="0"/>
                <w:sz w:val="21"/>
                <w:szCs w:val="21"/>
                <w:lang w:val="en-US" w:bidi="ar"/>
                <w14:textFill>
                  <w14:solidFill>
                    <w14:schemeClr w14:val="tx1"/>
                  </w14:solidFill>
                </w14:textFill>
              </w:rPr>
              <w:t>收集井</w:t>
            </w:r>
            <w:r>
              <w:rPr>
                <w:rFonts w:hint="eastAsia"/>
                <w:color w:val="000000" w:themeColor="text1"/>
                <w:kern w:val="0"/>
                <w:sz w:val="21"/>
                <w:szCs w:val="21"/>
                <w:lang w:bidi="ar"/>
                <w14:textFill>
                  <w14:solidFill>
                    <w14:schemeClr w14:val="tx1"/>
                  </w14:solidFill>
                </w14:textFill>
              </w:rPr>
              <w:t>；防渗膜上层土工布顶部再设置一条收集渗滤液的DN280排渗管，总长380.5m，将场内的渗滤液排</w:t>
            </w:r>
            <w:r>
              <w:rPr>
                <w:rFonts w:hint="eastAsia"/>
                <w:color w:val="000000" w:themeColor="text1"/>
                <w:kern w:val="0"/>
                <w:sz w:val="21"/>
                <w:szCs w:val="21"/>
                <w:lang w:val="en-US" w:bidi="ar"/>
                <w14:textFill>
                  <w14:solidFill>
                    <w14:schemeClr w14:val="tx1"/>
                  </w14:solidFill>
                </w14:textFill>
              </w:rPr>
              <w:t>至渗滤液收集井</w:t>
            </w:r>
            <w:r>
              <w:rPr>
                <w:rFonts w:hint="eastAsia"/>
                <w:color w:val="000000" w:themeColor="text1"/>
                <w:kern w:val="0"/>
                <w:sz w:val="21"/>
                <w:szCs w:val="21"/>
                <w:lang w:bidi="ar"/>
                <w14:textFill>
                  <w14:solidFill>
                    <w14:schemeClr w14:val="tx1"/>
                  </w14:solidFill>
                </w14:textFill>
              </w:rPr>
              <w:t>。</w:t>
            </w:r>
          </w:p>
          <w:p w14:paraId="4EB2EDF5">
            <w:pPr>
              <w:pStyle w:val="71"/>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岸坡防渗：南部岸坡坡度较缓地段，坡面平整清理压实好后，为防止不规则边坡划破防渗膜，在基础持力层与防渗层间设一层黏土层厚75cm，再铺设热粘连两布一膜聚酯长丝土工布（300g/㎡）+1.5mmHDPE土工膜+聚酯长丝土工布（300g/㎡）。</w:t>
            </w:r>
          </w:p>
          <w:p w14:paraId="641A638B">
            <w:pPr>
              <w:pStyle w:val="71"/>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东岸边坡通过1:1的坡比进行削坡分台，对边坡及平台区设一层黏土层厚750mm，再铺设热粘连两布一膜聚酯长丝土工布（300g/㎡）+1.5mmHDPE土工膜+聚酯长丝土工布（300g/㎡）。防渗设施在堆排过程中逐步铺设，采取边铺设边堆排的工艺进行。</w:t>
            </w:r>
          </w:p>
          <w:p w14:paraId="71675E01">
            <w:pPr>
              <w:pStyle w:val="71"/>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拦挡坝内坡防渗：为有效保护防渗层的安全，拦挡体内坡面碾压平整完成后，铺设一层0.75m厚的粘土，接着铺设热粘连两布一膜聚酯长丝土工布（300g/㎡）+1.5mmHDPE土工膜+聚酯长丝土工布（300g/㎡），并与场底防渗膜相连。</w:t>
            </w:r>
          </w:p>
          <w:p w14:paraId="1D1A8619">
            <w:pPr>
              <w:pStyle w:val="71"/>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回填区封场防渗：回填区封场防渗结构自下而上为：</w:t>
            </w:r>
          </w:p>
          <w:p w14:paraId="6F834381">
            <w:pPr>
              <w:pStyle w:val="71"/>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防渗层：采用热粘连两布一膜聚酯长丝土工布（300g/㎡）+1.5mmHDPE土工膜+聚酯长丝土工布（300g/㎡）；</w:t>
            </w:r>
          </w:p>
          <w:p w14:paraId="599E6760">
            <w:pPr>
              <w:pStyle w:val="71"/>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植被层：封场覆1m的耕植土，保证滩面整体坡向坝前方向呈2%的坡度。在平台区上设置排水沟，断面b×h=0.3m×0.4m，将汇集的雨水导排至北部回用水池。</w:t>
            </w:r>
          </w:p>
          <w:p w14:paraId="35A98A92">
            <w:pPr>
              <w:pStyle w:val="71"/>
              <w:adjustRightInd w:val="0"/>
              <w:spacing w:line="240" w:lineRule="auto"/>
              <w:ind w:firstLine="0" w:firstLineChars="0"/>
              <w:rPr>
                <w:color w:val="000000" w:themeColor="text1"/>
                <w:sz w:val="21"/>
                <w:szCs w:val="21"/>
                <w:lang w:val="en-US"/>
                <w14:textFill>
                  <w14:solidFill>
                    <w14:schemeClr w14:val="tx1"/>
                  </w14:solidFill>
                </w14:textFill>
              </w:rPr>
            </w:pPr>
            <w:r>
              <w:rPr>
                <w:color w:val="000000" w:themeColor="text1"/>
                <w:sz w:val="21"/>
                <w:szCs w:val="21"/>
                <w:lang w:val="en-US"/>
                <w14:textFill>
                  <w14:solidFill>
                    <w14:schemeClr w14:val="tx1"/>
                  </w14:solidFill>
                </w14:textFill>
              </w:rPr>
              <w:t>2</w:t>
            </w:r>
            <w:r>
              <w:rPr>
                <w:rFonts w:hint="eastAsia"/>
                <w:color w:val="000000" w:themeColor="text1"/>
                <w:sz w:val="21"/>
                <w:szCs w:val="21"/>
                <w:lang w:val="en-US"/>
                <w14:textFill>
                  <w14:solidFill>
                    <w14:schemeClr w14:val="tx1"/>
                  </w14:solidFill>
                </w14:textFill>
              </w:rPr>
              <w:t>、防渗漏监控系统</w:t>
            </w:r>
          </w:p>
          <w:p w14:paraId="66A7B4DD">
            <w:pPr>
              <w:pStyle w:val="71"/>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设置防渗漏监控系统，监控防渗衬层的完整性。</w:t>
            </w:r>
          </w:p>
          <w:p w14:paraId="674CA3D4">
            <w:pPr>
              <w:pStyle w:val="71"/>
              <w:numPr>
                <w:ilvl w:val="0"/>
                <w:numId w:val="8"/>
              </w:numPr>
              <w:adjustRightInd w:val="0"/>
              <w:spacing w:line="240" w:lineRule="auto"/>
              <w:ind w:firstLine="0" w:firstLineChars="0"/>
              <w:rPr>
                <w:color w:val="000000" w:themeColor="text1"/>
                <w:sz w:val="21"/>
                <w:szCs w:val="21"/>
                <w:lang w:val="en-US"/>
                <w14:textFill>
                  <w14:solidFill>
                    <w14:schemeClr w14:val="tx1"/>
                  </w14:solidFill>
                </w14:textFill>
              </w:rPr>
            </w:pPr>
            <w:r>
              <w:rPr>
                <w:rFonts w:hint="eastAsia"/>
                <w:color w:val="000000" w:themeColor="text1"/>
                <w:sz w:val="21"/>
                <w:szCs w:val="21"/>
                <w:lang w:val="en-US"/>
                <w14:textFill>
                  <w14:solidFill>
                    <w14:schemeClr w14:val="tx1"/>
                  </w14:solidFill>
                </w14:textFill>
              </w:rPr>
              <w:t>地下水监控井：</w:t>
            </w:r>
            <w:r>
              <w:rPr>
                <w:rFonts w:hint="eastAsia"/>
                <w:color w:val="000000" w:themeColor="text1"/>
                <w:kern w:val="0"/>
                <w:sz w:val="21"/>
                <w:szCs w:val="21"/>
                <w:lang w:bidi="ar"/>
                <w14:textFill>
                  <w14:solidFill>
                    <w14:schemeClr w14:val="tx1"/>
                  </w14:solidFill>
                </w14:textFill>
              </w:rPr>
              <w:t>项目区</w:t>
            </w:r>
            <w:r>
              <w:rPr>
                <w:rFonts w:hint="eastAsia"/>
                <w:color w:val="000000" w:themeColor="text1"/>
                <w:kern w:val="0"/>
                <w:sz w:val="21"/>
                <w:szCs w:val="21"/>
                <w:lang w:val="en-US" w:eastAsia="zh-CN" w:bidi="ar"/>
                <w14:textFill>
                  <w14:solidFill>
                    <w14:schemeClr w14:val="tx1"/>
                  </w14:solidFill>
                </w14:textFill>
              </w:rPr>
              <w:t>共设置</w:t>
            </w:r>
            <w:r>
              <w:rPr>
                <w:rFonts w:hint="eastAsia" w:ascii="宋体" w:hAnsi="宋体"/>
                <w:color w:val="000000" w:themeColor="text1"/>
                <w:kern w:val="0"/>
                <w:sz w:val="21"/>
                <w:szCs w:val="21"/>
                <w14:textFill>
                  <w14:solidFill>
                    <w14:schemeClr w14:val="tx1"/>
                  </w14:solidFill>
                </w14:textFill>
              </w:rPr>
              <w:t>7</w:t>
            </w:r>
            <w:r>
              <w:rPr>
                <w:rFonts w:ascii="宋体" w:hAnsi="宋体"/>
                <w:color w:val="000000" w:themeColor="text1"/>
                <w:kern w:val="0"/>
                <w:sz w:val="21"/>
                <w:szCs w:val="21"/>
                <w14:textFill>
                  <w14:solidFill>
                    <w14:schemeClr w14:val="tx1"/>
                  </w14:solidFill>
                </w14:textFill>
              </w:rPr>
              <w:t>口地下水监测井</w:t>
            </w:r>
            <w:r>
              <w:rPr>
                <w:rFonts w:hint="eastAsia"/>
                <w:color w:val="000000" w:themeColor="text1"/>
                <w:kern w:val="0"/>
                <w:sz w:val="21"/>
                <w:szCs w:val="21"/>
                <w:lang w:bidi="ar"/>
                <w14:textFill>
                  <w14:solidFill>
                    <w14:schemeClr w14:val="tx1"/>
                  </w14:solidFill>
                </w14:textFill>
              </w:rPr>
              <w:t>。</w:t>
            </w:r>
          </w:p>
        </w:tc>
        <w:tc>
          <w:tcPr>
            <w:tcW w:w="976" w:type="pct"/>
            <w:vAlign w:val="center"/>
          </w:tcPr>
          <w:p w14:paraId="43ABEF1E">
            <w:pPr>
              <w:pStyle w:val="71"/>
              <w:adjustRightInd w:val="0"/>
              <w:spacing w:line="240" w:lineRule="auto"/>
              <w:ind w:firstLine="0" w:firstLineChars="0"/>
              <w:rPr>
                <w:sz w:val="21"/>
                <w:szCs w:val="21"/>
                <w:lang w:val="en-US"/>
              </w:rPr>
            </w:pPr>
            <w:r>
              <w:rPr>
                <w:rFonts w:hint="eastAsia"/>
                <w:sz w:val="21"/>
                <w:szCs w:val="21"/>
                <w:lang w:val="en-US"/>
              </w:rPr>
              <w:t>①防渗性能至少相当于防渗系数达到1.0</w:t>
            </w:r>
            <w:r>
              <w:rPr>
                <w:rFonts w:ascii="Arial" w:hAnsi="Arial" w:cs="Arial"/>
                <w:sz w:val="21"/>
                <w:szCs w:val="21"/>
                <w:lang w:val="en-US"/>
              </w:rPr>
              <w:t>×</w:t>
            </w:r>
            <w:r>
              <w:rPr>
                <w:sz w:val="21"/>
                <w:szCs w:val="21"/>
                <w:lang w:val="en-US"/>
              </w:rPr>
              <w:t>10</w:t>
            </w:r>
            <w:r>
              <w:rPr>
                <w:rFonts w:hint="eastAsia"/>
                <w:kern w:val="0"/>
                <w:vertAlign w:val="superscript"/>
                <w:lang w:val="en-US" w:bidi="ar"/>
              </w:rPr>
              <w:t>-</w:t>
            </w:r>
            <w:r>
              <w:rPr>
                <w:rFonts w:hint="eastAsia"/>
                <w:sz w:val="21"/>
                <w:szCs w:val="21"/>
                <w:vertAlign w:val="superscript"/>
                <w:lang w:val="en-US"/>
              </w:rPr>
              <w:t>5</w:t>
            </w:r>
            <w:r>
              <w:rPr>
                <w:sz w:val="21"/>
                <w:szCs w:val="21"/>
                <w:lang w:val="en-US"/>
              </w:rPr>
              <w:t>cm/s</w:t>
            </w:r>
            <w:r>
              <w:rPr>
                <w:rFonts w:hint="eastAsia"/>
                <w:sz w:val="21"/>
                <w:szCs w:val="21"/>
                <w:lang w:val="en-US"/>
              </w:rPr>
              <w:t>且厚度为0.75m的天然基础层，提供防渗膜购买记录，施工记录，检验合格证。</w:t>
            </w:r>
          </w:p>
          <w:p w14:paraId="0487C543">
            <w:pPr>
              <w:pStyle w:val="71"/>
              <w:adjustRightInd w:val="0"/>
              <w:spacing w:line="240" w:lineRule="auto"/>
              <w:ind w:firstLine="0" w:firstLineChars="0"/>
              <w:rPr>
                <w:sz w:val="21"/>
                <w:szCs w:val="21"/>
                <w:lang w:val="en-US"/>
              </w:rPr>
            </w:pPr>
            <w:r>
              <w:rPr>
                <w:rFonts w:hint="eastAsia"/>
                <w:sz w:val="21"/>
                <w:szCs w:val="21"/>
                <w:lang w:val="en-US"/>
              </w:rPr>
              <w:t>②防渗漏监控系统设置情况</w:t>
            </w:r>
          </w:p>
          <w:p w14:paraId="4BD2E336">
            <w:pPr>
              <w:pStyle w:val="71"/>
              <w:adjustRightInd w:val="0"/>
              <w:spacing w:line="240" w:lineRule="auto"/>
              <w:ind w:firstLine="0" w:firstLineChars="0"/>
              <w:rPr>
                <w:sz w:val="21"/>
                <w:szCs w:val="21"/>
                <w:lang w:val="en-US"/>
              </w:rPr>
            </w:pPr>
            <w:r>
              <w:rPr>
                <w:rFonts w:hint="eastAsia"/>
                <w:sz w:val="21"/>
                <w:szCs w:val="21"/>
                <w:lang w:val="en-US"/>
              </w:rPr>
              <w:t>③施工期防渗工程监理报告工程。</w:t>
            </w:r>
          </w:p>
        </w:tc>
        <w:tc>
          <w:tcPr>
            <w:tcW w:w="599" w:type="pct"/>
            <w:vAlign w:val="center"/>
          </w:tcPr>
          <w:p w14:paraId="191130AB">
            <w:pPr>
              <w:pStyle w:val="71"/>
              <w:adjustRightInd w:val="0"/>
              <w:spacing w:line="240" w:lineRule="auto"/>
              <w:ind w:firstLine="0" w:firstLineChars="0"/>
              <w:rPr>
                <w:sz w:val="21"/>
                <w:szCs w:val="21"/>
                <w:lang w:val="en-US"/>
              </w:rPr>
            </w:pPr>
            <w:r>
              <w:rPr>
                <w:rFonts w:hint="eastAsia"/>
                <w:sz w:val="21"/>
                <w:szCs w:val="21"/>
                <w:lang w:val="en-US"/>
              </w:rPr>
              <w:t>按照地表水、地下水、土壤跟踪监测计划实施监测，</w:t>
            </w:r>
            <w:r>
              <w:rPr>
                <w:rFonts w:hint="eastAsia"/>
                <w:kern w:val="2"/>
                <w:sz w:val="21"/>
                <w:szCs w:val="21"/>
                <w:lang w:val="en-US"/>
              </w:rPr>
              <w:t>直到相关指标连续3年内，年均检测指标持续稳定，特征指标不呈上升趋势。</w:t>
            </w:r>
          </w:p>
        </w:tc>
        <w:tc>
          <w:tcPr>
            <w:tcW w:w="520" w:type="pct"/>
            <w:vAlign w:val="center"/>
          </w:tcPr>
          <w:p w14:paraId="0EA90E50">
            <w:pPr>
              <w:pStyle w:val="71"/>
              <w:adjustRightInd w:val="0"/>
              <w:spacing w:line="240" w:lineRule="auto"/>
              <w:ind w:firstLine="0" w:firstLineChars="0"/>
              <w:jc w:val="center"/>
              <w:rPr>
                <w:sz w:val="21"/>
                <w:szCs w:val="21"/>
                <w:lang w:val="en-US"/>
              </w:rPr>
            </w:pPr>
            <w:r>
              <w:rPr>
                <w:rFonts w:hint="eastAsia"/>
                <w:sz w:val="21"/>
                <w:szCs w:val="21"/>
                <w:lang w:val="en-US"/>
              </w:rPr>
              <w:t>渗滤液回用于回填区洒水降尘。</w:t>
            </w:r>
          </w:p>
          <w:p w14:paraId="4264C8E3">
            <w:pPr>
              <w:pStyle w:val="71"/>
              <w:adjustRightInd w:val="0"/>
              <w:spacing w:line="240" w:lineRule="auto"/>
              <w:ind w:firstLine="0" w:firstLineChars="0"/>
              <w:jc w:val="center"/>
              <w:rPr>
                <w:sz w:val="21"/>
                <w:szCs w:val="21"/>
                <w:lang w:val="en-US"/>
              </w:rPr>
            </w:pPr>
            <w:r>
              <w:rPr>
                <w:rFonts w:hint="eastAsia"/>
                <w:sz w:val="21"/>
                <w:szCs w:val="21"/>
                <w:lang w:val="en-US"/>
              </w:rPr>
              <w:t>地下水质量满足《地下水质量标准》（</w:t>
            </w:r>
            <w:r>
              <w:rPr>
                <w:sz w:val="21"/>
                <w:szCs w:val="21"/>
                <w:lang w:val="en-US"/>
              </w:rPr>
              <w:t>GB/T14848-2017</w:t>
            </w:r>
            <w:r>
              <w:rPr>
                <w:rFonts w:hint="eastAsia"/>
                <w:sz w:val="21"/>
                <w:szCs w:val="21"/>
                <w:lang w:val="en-US"/>
              </w:rPr>
              <w:t>）</w:t>
            </w:r>
            <w:r>
              <w:rPr>
                <w:sz w:val="21"/>
                <w:szCs w:val="21"/>
                <w:lang w:val="en-US"/>
              </w:rPr>
              <w:t>III</w:t>
            </w:r>
            <w:r>
              <w:rPr>
                <w:rFonts w:hint="eastAsia"/>
                <w:sz w:val="21"/>
                <w:szCs w:val="21"/>
                <w:lang w:val="en-US"/>
              </w:rPr>
              <w:t>类标准。满足《土壤环境质量建设用地土壤污染风险管控标准（试行）》（</w:t>
            </w:r>
            <w:r>
              <w:rPr>
                <w:sz w:val="21"/>
                <w:szCs w:val="21"/>
                <w:lang w:val="en-US"/>
              </w:rPr>
              <w:t>GB36600-2018</w:t>
            </w:r>
            <w:r>
              <w:rPr>
                <w:rFonts w:hint="eastAsia"/>
                <w:sz w:val="21"/>
                <w:szCs w:val="21"/>
                <w:lang w:val="en-US"/>
              </w:rPr>
              <w:t>）和《土壤环境质量农用地土壤污染风险管控标准（试行）》</w:t>
            </w:r>
          </w:p>
          <w:p w14:paraId="53139B4C">
            <w:pPr>
              <w:pStyle w:val="71"/>
              <w:adjustRightInd w:val="0"/>
              <w:spacing w:line="240" w:lineRule="auto"/>
              <w:ind w:firstLine="0" w:firstLineChars="0"/>
              <w:jc w:val="center"/>
              <w:rPr>
                <w:sz w:val="21"/>
                <w:szCs w:val="21"/>
                <w:lang w:val="en-US"/>
              </w:rPr>
            </w:pPr>
            <w:r>
              <w:rPr>
                <w:rFonts w:hint="eastAsia"/>
                <w:sz w:val="21"/>
                <w:szCs w:val="21"/>
                <w:lang w:val="en-US"/>
              </w:rPr>
              <w:t>（</w:t>
            </w:r>
            <w:r>
              <w:rPr>
                <w:sz w:val="21"/>
                <w:szCs w:val="21"/>
                <w:lang w:val="en-US"/>
              </w:rPr>
              <w:t>GB15618-2018</w:t>
            </w:r>
            <w:r>
              <w:rPr>
                <w:rFonts w:hint="eastAsia"/>
                <w:sz w:val="21"/>
                <w:szCs w:val="21"/>
                <w:lang w:val="en-US"/>
              </w:rPr>
              <w:t>）相关要求</w:t>
            </w:r>
          </w:p>
        </w:tc>
      </w:tr>
      <w:tr w14:paraId="1F6C7A7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68693B75">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声环境</w:t>
            </w:r>
          </w:p>
        </w:tc>
        <w:tc>
          <w:tcPr>
            <w:tcW w:w="2631" w:type="pct"/>
            <w:vAlign w:val="center"/>
          </w:tcPr>
          <w:p w14:paraId="71E13CA6">
            <w:pPr>
              <w:pStyle w:val="71"/>
              <w:adjustRightInd w:val="0"/>
              <w:spacing w:line="240" w:lineRule="auto"/>
              <w:ind w:firstLine="0" w:firstLineChars="0"/>
              <w:rPr>
                <w:sz w:val="21"/>
                <w:szCs w:val="21"/>
                <w:lang w:val="en-US"/>
              </w:rPr>
            </w:pPr>
            <w:r>
              <w:rPr>
                <w:rFonts w:hint="eastAsia"/>
                <w:sz w:val="21"/>
                <w:szCs w:val="21"/>
                <w:lang w:val="en-US"/>
              </w:rPr>
              <w:t>①在符合施工需要的前提下，尽可能选取噪声低、振动小、能耗小的先进设备。加强对施工机械的维护保养，避免由于设备性能差而使机械噪声增大的现象发生；</w:t>
            </w:r>
          </w:p>
          <w:p w14:paraId="608E6079">
            <w:pPr>
              <w:pStyle w:val="71"/>
              <w:adjustRightInd w:val="0"/>
              <w:spacing w:line="240" w:lineRule="auto"/>
              <w:ind w:firstLine="0" w:firstLineChars="0"/>
              <w:rPr>
                <w:sz w:val="21"/>
                <w:szCs w:val="21"/>
                <w:lang w:val="en-US"/>
              </w:rPr>
            </w:pPr>
            <w:r>
              <w:rPr>
                <w:rFonts w:hint="eastAsia"/>
                <w:sz w:val="21"/>
                <w:szCs w:val="21"/>
                <w:lang w:val="en-US"/>
              </w:rPr>
              <w:t>②加快施工进度，合理安排施工时间</w:t>
            </w:r>
          </w:p>
          <w:p w14:paraId="26585FB5">
            <w:pPr>
              <w:pStyle w:val="71"/>
              <w:adjustRightInd w:val="0"/>
              <w:spacing w:line="240" w:lineRule="auto"/>
              <w:ind w:firstLine="0" w:firstLineChars="0"/>
              <w:rPr>
                <w:sz w:val="21"/>
                <w:szCs w:val="21"/>
                <w:lang w:val="en-US"/>
              </w:rPr>
            </w:pPr>
            <w:r>
              <w:rPr>
                <w:rFonts w:hint="eastAsia"/>
                <w:sz w:val="21"/>
                <w:szCs w:val="21"/>
                <w:lang w:val="en-US"/>
              </w:rPr>
              <w:t>③加强对施工人员的环境宣传和教育，使他们认真落实各项降噪措施，做到文明施工；</w:t>
            </w:r>
          </w:p>
          <w:p w14:paraId="7ABB8F8C">
            <w:pPr>
              <w:pStyle w:val="71"/>
              <w:adjustRightInd w:val="0"/>
              <w:spacing w:line="240" w:lineRule="auto"/>
              <w:ind w:firstLine="0" w:firstLineChars="0"/>
              <w:rPr>
                <w:sz w:val="21"/>
                <w:szCs w:val="21"/>
                <w:lang w:val="en-US"/>
              </w:rPr>
            </w:pPr>
            <w:r>
              <w:rPr>
                <w:rFonts w:hint="eastAsia"/>
                <w:sz w:val="21"/>
                <w:szCs w:val="21"/>
                <w:lang w:val="en-US"/>
              </w:rPr>
              <w:t>④运输施工物资应注意合理安排施工物料运输时间</w:t>
            </w:r>
          </w:p>
        </w:tc>
        <w:tc>
          <w:tcPr>
            <w:tcW w:w="976" w:type="pct"/>
            <w:vAlign w:val="center"/>
          </w:tcPr>
          <w:p w14:paraId="3BDB1691">
            <w:pPr>
              <w:pStyle w:val="71"/>
              <w:adjustRightInd w:val="0"/>
              <w:spacing w:line="240" w:lineRule="auto"/>
              <w:ind w:firstLine="0" w:firstLineChars="0"/>
              <w:jc w:val="center"/>
              <w:rPr>
                <w:sz w:val="21"/>
                <w:szCs w:val="21"/>
                <w:lang w:val="en-US"/>
              </w:rPr>
            </w:pPr>
            <w:r>
              <w:rPr>
                <w:rFonts w:hint="eastAsia"/>
                <w:sz w:val="21"/>
                <w:szCs w:val="21"/>
                <w:lang w:val="en-US"/>
              </w:rPr>
              <w:t>每季度对施工场界噪声进行监测，场界噪声达到《建筑施工场界环境噪声排放标准》（</w:t>
            </w:r>
            <w:r>
              <w:rPr>
                <w:sz w:val="21"/>
                <w:szCs w:val="21"/>
                <w:lang w:val="en-US"/>
              </w:rPr>
              <w:t>GB12523-2011</w:t>
            </w:r>
            <w:r>
              <w:rPr>
                <w:rFonts w:hint="eastAsia"/>
                <w:sz w:val="21"/>
                <w:szCs w:val="21"/>
                <w:lang w:val="en-US"/>
              </w:rPr>
              <w:t>）要求</w:t>
            </w:r>
          </w:p>
        </w:tc>
        <w:tc>
          <w:tcPr>
            <w:tcW w:w="599" w:type="pct"/>
            <w:vAlign w:val="center"/>
          </w:tcPr>
          <w:p w14:paraId="6F1482FD">
            <w:pPr>
              <w:pStyle w:val="71"/>
              <w:adjustRightInd w:val="0"/>
              <w:spacing w:line="240" w:lineRule="auto"/>
              <w:ind w:firstLine="0" w:firstLineChars="0"/>
              <w:jc w:val="center"/>
              <w:rPr>
                <w:sz w:val="21"/>
                <w:szCs w:val="21"/>
                <w:lang w:val="en-US"/>
              </w:rPr>
            </w:pPr>
            <w:r>
              <w:rPr>
                <w:rFonts w:hint="eastAsia"/>
                <w:sz w:val="21"/>
                <w:szCs w:val="21"/>
                <w:lang w:val="en-US"/>
              </w:rPr>
              <w:t>/</w:t>
            </w:r>
          </w:p>
        </w:tc>
        <w:tc>
          <w:tcPr>
            <w:tcW w:w="520" w:type="pct"/>
            <w:vAlign w:val="center"/>
          </w:tcPr>
          <w:p w14:paraId="5E31BB5D">
            <w:pPr>
              <w:pStyle w:val="71"/>
              <w:adjustRightInd w:val="0"/>
              <w:spacing w:line="240" w:lineRule="auto"/>
              <w:ind w:firstLine="0" w:firstLineChars="0"/>
              <w:jc w:val="center"/>
              <w:rPr>
                <w:sz w:val="21"/>
                <w:szCs w:val="21"/>
                <w:lang w:val="en-US"/>
              </w:rPr>
            </w:pPr>
            <w:r>
              <w:rPr>
                <w:rFonts w:hint="eastAsia"/>
                <w:sz w:val="21"/>
                <w:szCs w:val="21"/>
                <w:lang w:val="en-US"/>
              </w:rPr>
              <w:t>/</w:t>
            </w:r>
          </w:p>
        </w:tc>
      </w:tr>
      <w:tr w14:paraId="7769690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60567648">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振动</w:t>
            </w:r>
          </w:p>
        </w:tc>
        <w:tc>
          <w:tcPr>
            <w:tcW w:w="2631" w:type="pct"/>
            <w:vAlign w:val="center"/>
          </w:tcPr>
          <w:p w14:paraId="79B04906">
            <w:pPr>
              <w:pStyle w:val="71"/>
              <w:adjustRightInd w:val="0"/>
              <w:spacing w:line="240" w:lineRule="auto"/>
              <w:ind w:firstLine="0" w:firstLineChars="0"/>
              <w:jc w:val="center"/>
              <w:rPr>
                <w:sz w:val="21"/>
                <w:szCs w:val="21"/>
                <w:lang w:val="en-US"/>
              </w:rPr>
            </w:pPr>
            <w:r>
              <w:rPr>
                <w:rFonts w:hint="eastAsia"/>
                <w:sz w:val="21"/>
                <w:szCs w:val="21"/>
                <w:lang w:val="en-US"/>
              </w:rPr>
              <w:t>/</w:t>
            </w:r>
          </w:p>
        </w:tc>
        <w:tc>
          <w:tcPr>
            <w:tcW w:w="976" w:type="pct"/>
            <w:vAlign w:val="center"/>
          </w:tcPr>
          <w:p w14:paraId="4601A175">
            <w:pPr>
              <w:pStyle w:val="71"/>
              <w:adjustRightInd w:val="0"/>
              <w:spacing w:line="240" w:lineRule="auto"/>
              <w:ind w:firstLine="0" w:firstLineChars="0"/>
              <w:jc w:val="center"/>
              <w:rPr>
                <w:sz w:val="21"/>
                <w:szCs w:val="21"/>
                <w:lang w:val="en-US"/>
              </w:rPr>
            </w:pPr>
            <w:r>
              <w:rPr>
                <w:rFonts w:hint="eastAsia"/>
                <w:sz w:val="21"/>
                <w:szCs w:val="21"/>
                <w:lang w:val="en-US"/>
              </w:rPr>
              <w:t>/</w:t>
            </w:r>
          </w:p>
        </w:tc>
        <w:tc>
          <w:tcPr>
            <w:tcW w:w="599" w:type="pct"/>
            <w:vAlign w:val="center"/>
          </w:tcPr>
          <w:p w14:paraId="2C8E9A3E">
            <w:pPr>
              <w:pStyle w:val="71"/>
              <w:adjustRightInd w:val="0"/>
              <w:spacing w:line="240" w:lineRule="auto"/>
              <w:ind w:firstLine="0" w:firstLineChars="0"/>
              <w:jc w:val="center"/>
              <w:rPr>
                <w:sz w:val="21"/>
                <w:szCs w:val="21"/>
                <w:lang w:val="en-US"/>
              </w:rPr>
            </w:pPr>
            <w:r>
              <w:rPr>
                <w:rFonts w:hint="eastAsia"/>
                <w:sz w:val="21"/>
                <w:szCs w:val="21"/>
                <w:lang w:val="en-US"/>
              </w:rPr>
              <w:t>/</w:t>
            </w:r>
          </w:p>
        </w:tc>
        <w:tc>
          <w:tcPr>
            <w:tcW w:w="520" w:type="pct"/>
            <w:vAlign w:val="center"/>
          </w:tcPr>
          <w:p w14:paraId="6125CA98">
            <w:pPr>
              <w:pStyle w:val="71"/>
              <w:adjustRightInd w:val="0"/>
              <w:spacing w:line="240" w:lineRule="auto"/>
              <w:ind w:firstLine="0" w:firstLineChars="0"/>
              <w:jc w:val="center"/>
              <w:rPr>
                <w:sz w:val="21"/>
                <w:szCs w:val="21"/>
                <w:lang w:val="en-US"/>
              </w:rPr>
            </w:pPr>
            <w:r>
              <w:rPr>
                <w:rFonts w:hint="eastAsia"/>
                <w:sz w:val="21"/>
                <w:szCs w:val="21"/>
                <w:lang w:val="en-US"/>
              </w:rPr>
              <w:t>/</w:t>
            </w:r>
          </w:p>
        </w:tc>
      </w:tr>
      <w:tr w14:paraId="2E4746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12B0E376">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大气环境</w:t>
            </w:r>
          </w:p>
        </w:tc>
        <w:tc>
          <w:tcPr>
            <w:tcW w:w="2631" w:type="pct"/>
            <w:vAlign w:val="center"/>
          </w:tcPr>
          <w:p w14:paraId="52F0B41A">
            <w:pPr>
              <w:pStyle w:val="71"/>
              <w:adjustRightInd w:val="0"/>
              <w:spacing w:line="240" w:lineRule="auto"/>
              <w:ind w:firstLine="0" w:firstLineChars="0"/>
              <w:rPr>
                <w:sz w:val="21"/>
                <w:szCs w:val="21"/>
                <w:lang w:val="en-US"/>
              </w:rPr>
            </w:pPr>
            <w:r>
              <w:rPr>
                <w:rFonts w:hint="eastAsia"/>
                <w:sz w:val="21"/>
                <w:szCs w:val="21"/>
                <w:lang w:val="en-US"/>
              </w:rPr>
              <w:t>①施工场地安排专员对施工场地洒水以减少扬尘量，洒水次数根据天气状况而定；非雨天每日洒水次数不少于3次；若遇到大风或干燥天气应增加洒水次数；</w:t>
            </w:r>
          </w:p>
          <w:p w14:paraId="2488D74B">
            <w:pPr>
              <w:pStyle w:val="71"/>
              <w:adjustRightInd w:val="0"/>
              <w:spacing w:line="240" w:lineRule="auto"/>
              <w:ind w:firstLine="0" w:firstLineChars="0"/>
              <w:rPr>
                <w:sz w:val="21"/>
                <w:szCs w:val="21"/>
                <w:lang w:val="en-US"/>
              </w:rPr>
            </w:pPr>
            <w:r>
              <w:rPr>
                <w:rFonts w:hint="eastAsia"/>
                <w:sz w:val="21"/>
                <w:szCs w:val="21"/>
                <w:lang w:val="en-US"/>
              </w:rPr>
              <w:t>②施工场地运输车辆的车厢应当确保牢固、严密，严禁在装运过程中沿途抛、洒、滴、漏；</w:t>
            </w:r>
          </w:p>
          <w:p w14:paraId="7BF17F6B">
            <w:pPr>
              <w:pStyle w:val="71"/>
              <w:adjustRightInd w:val="0"/>
              <w:spacing w:line="240" w:lineRule="auto"/>
              <w:ind w:firstLine="0" w:firstLineChars="0"/>
              <w:rPr>
                <w:sz w:val="21"/>
                <w:szCs w:val="21"/>
                <w:lang w:val="en-US"/>
              </w:rPr>
            </w:pPr>
            <w:r>
              <w:rPr>
                <w:rFonts w:hint="eastAsia"/>
                <w:sz w:val="21"/>
                <w:szCs w:val="21"/>
                <w:lang w:val="en-US"/>
              </w:rPr>
              <w:t>③进入施工现场的运输车辆应低速、限速行驶，减少扬尘产生量；</w:t>
            </w:r>
          </w:p>
          <w:p w14:paraId="439F65DD">
            <w:pPr>
              <w:pStyle w:val="71"/>
              <w:adjustRightInd w:val="0"/>
              <w:spacing w:line="240" w:lineRule="auto"/>
              <w:ind w:firstLine="0" w:firstLineChars="0"/>
              <w:rPr>
                <w:sz w:val="21"/>
                <w:szCs w:val="21"/>
                <w:lang w:val="en-US"/>
              </w:rPr>
            </w:pPr>
            <w:r>
              <w:rPr>
                <w:rFonts w:hint="eastAsia"/>
                <w:sz w:val="21"/>
                <w:szCs w:val="21"/>
                <w:lang w:val="en-US"/>
              </w:rPr>
              <w:t>④合理安排施工工序、施工进度，尽量避免在大风气象条件下施工。</w:t>
            </w:r>
          </w:p>
        </w:tc>
        <w:tc>
          <w:tcPr>
            <w:tcW w:w="976" w:type="pct"/>
            <w:vAlign w:val="center"/>
          </w:tcPr>
          <w:p w14:paraId="70516353">
            <w:pPr>
              <w:pStyle w:val="71"/>
              <w:adjustRightInd w:val="0"/>
              <w:spacing w:line="240" w:lineRule="auto"/>
              <w:ind w:firstLine="0" w:firstLineChars="0"/>
              <w:jc w:val="center"/>
              <w:rPr>
                <w:sz w:val="21"/>
                <w:szCs w:val="21"/>
                <w:lang w:val="en-US"/>
              </w:rPr>
            </w:pPr>
            <w:r>
              <w:rPr>
                <w:rFonts w:hint="eastAsia"/>
                <w:sz w:val="21"/>
                <w:szCs w:val="21"/>
                <w:lang w:val="en-US"/>
              </w:rPr>
              <w:t>每季度对项目区场界颗粒物进行检测，检测结果满足《大气污染物综合排放标准》（</w:t>
            </w:r>
            <w:r>
              <w:rPr>
                <w:sz w:val="21"/>
                <w:szCs w:val="21"/>
                <w:lang w:val="en-US"/>
              </w:rPr>
              <w:t>GB16297-1996</w:t>
            </w:r>
            <w:r>
              <w:rPr>
                <w:rFonts w:hint="eastAsia"/>
                <w:sz w:val="21"/>
                <w:szCs w:val="21"/>
                <w:lang w:val="en-US"/>
              </w:rPr>
              <w:t>）无组织排放标准。</w:t>
            </w:r>
          </w:p>
        </w:tc>
        <w:tc>
          <w:tcPr>
            <w:tcW w:w="599" w:type="pct"/>
            <w:vAlign w:val="center"/>
          </w:tcPr>
          <w:p w14:paraId="3C19981D">
            <w:pPr>
              <w:pStyle w:val="71"/>
              <w:adjustRightInd w:val="0"/>
              <w:spacing w:line="240" w:lineRule="auto"/>
              <w:ind w:firstLine="0" w:firstLineChars="0"/>
              <w:jc w:val="center"/>
              <w:rPr>
                <w:sz w:val="21"/>
                <w:szCs w:val="21"/>
                <w:lang w:val="en-US"/>
              </w:rPr>
            </w:pPr>
            <w:r>
              <w:rPr>
                <w:rFonts w:hint="eastAsia"/>
                <w:sz w:val="21"/>
                <w:szCs w:val="21"/>
                <w:lang w:val="en-US"/>
              </w:rPr>
              <w:t>/</w:t>
            </w:r>
          </w:p>
        </w:tc>
        <w:tc>
          <w:tcPr>
            <w:tcW w:w="520" w:type="pct"/>
            <w:vAlign w:val="center"/>
          </w:tcPr>
          <w:p w14:paraId="65C7BA32">
            <w:pPr>
              <w:pStyle w:val="71"/>
              <w:adjustRightInd w:val="0"/>
              <w:spacing w:line="240" w:lineRule="auto"/>
              <w:ind w:firstLine="0" w:firstLineChars="0"/>
              <w:jc w:val="center"/>
              <w:rPr>
                <w:sz w:val="21"/>
                <w:szCs w:val="21"/>
                <w:lang w:val="en-US"/>
              </w:rPr>
            </w:pPr>
            <w:r>
              <w:rPr>
                <w:rFonts w:hint="eastAsia"/>
                <w:sz w:val="21"/>
                <w:szCs w:val="21"/>
                <w:lang w:val="en-US"/>
              </w:rPr>
              <w:t>/</w:t>
            </w:r>
          </w:p>
        </w:tc>
      </w:tr>
      <w:tr w14:paraId="2821F5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56496734">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固体废物</w:t>
            </w:r>
          </w:p>
        </w:tc>
        <w:tc>
          <w:tcPr>
            <w:tcW w:w="2631" w:type="pct"/>
            <w:vAlign w:val="center"/>
          </w:tcPr>
          <w:p w14:paraId="70D3CAA6">
            <w:pPr>
              <w:pStyle w:val="71"/>
              <w:adjustRightInd w:val="0"/>
              <w:spacing w:line="240" w:lineRule="auto"/>
              <w:ind w:firstLine="0" w:firstLineChars="0"/>
              <w:rPr>
                <w:sz w:val="21"/>
                <w:szCs w:val="21"/>
                <w:lang w:val="en-US"/>
              </w:rPr>
            </w:pPr>
            <w:r>
              <w:rPr>
                <w:rFonts w:hint="eastAsia"/>
                <w:sz w:val="21"/>
                <w:szCs w:val="21"/>
                <w:lang w:val="en-US"/>
              </w:rPr>
              <w:t>①项目施工期产生的土石方全部回用于场地平整、拦挡设施、渗滤液收集井建设使用，剩余部分由政府处置。</w:t>
            </w:r>
          </w:p>
          <w:p w14:paraId="5A6028F8">
            <w:pPr>
              <w:pStyle w:val="71"/>
              <w:adjustRightInd w:val="0"/>
              <w:spacing w:line="240" w:lineRule="auto"/>
              <w:ind w:firstLine="0" w:firstLineChars="0"/>
              <w:rPr>
                <w:sz w:val="21"/>
                <w:szCs w:val="21"/>
                <w:lang w:val="en-US"/>
              </w:rPr>
            </w:pPr>
            <w:r>
              <w:rPr>
                <w:rFonts w:hint="eastAsia"/>
                <w:sz w:val="21"/>
                <w:szCs w:val="21"/>
                <w:lang w:val="en-US"/>
              </w:rPr>
              <w:t>②施工期施工人员生活垃圾经集中收集后清运至附近村庄垃圾收集点堆存，由环卫部门清运处置；</w:t>
            </w:r>
          </w:p>
          <w:p w14:paraId="7EA5D6B2">
            <w:pPr>
              <w:pStyle w:val="71"/>
              <w:adjustRightInd w:val="0"/>
              <w:spacing w:line="240" w:lineRule="auto"/>
              <w:ind w:firstLine="0" w:firstLineChars="0"/>
              <w:rPr>
                <w:sz w:val="21"/>
                <w:szCs w:val="21"/>
                <w:lang w:val="en-US"/>
              </w:rPr>
            </w:pPr>
            <w:r>
              <w:rPr>
                <w:rFonts w:hint="eastAsia"/>
                <w:sz w:val="21"/>
                <w:szCs w:val="21"/>
                <w:lang w:val="en-US"/>
              </w:rPr>
              <w:t>③项目区拟设置临时旱厕</w:t>
            </w:r>
            <w:r>
              <w:rPr>
                <w:sz w:val="21"/>
                <w:szCs w:val="21"/>
                <w:lang w:val="en-US"/>
              </w:rPr>
              <w:t>1</w:t>
            </w:r>
            <w:r>
              <w:rPr>
                <w:rFonts w:hint="eastAsia"/>
                <w:sz w:val="21"/>
                <w:szCs w:val="21"/>
                <w:lang w:val="en-US"/>
              </w:rPr>
              <w:t>个，旱厕粪便委托环卫部门定期清运定期，待施工结束后拆除旱厕。</w:t>
            </w:r>
          </w:p>
        </w:tc>
        <w:tc>
          <w:tcPr>
            <w:tcW w:w="976" w:type="pct"/>
            <w:vAlign w:val="center"/>
          </w:tcPr>
          <w:p w14:paraId="487DC548">
            <w:pPr>
              <w:pStyle w:val="71"/>
              <w:adjustRightInd w:val="0"/>
              <w:spacing w:line="240" w:lineRule="auto"/>
              <w:ind w:firstLine="0" w:firstLineChars="0"/>
              <w:jc w:val="center"/>
              <w:rPr>
                <w:sz w:val="21"/>
                <w:szCs w:val="21"/>
                <w:lang w:val="en-US"/>
              </w:rPr>
            </w:pPr>
            <w:r>
              <w:rPr>
                <w:sz w:val="21"/>
                <w:szCs w:val="21"/>
                <w:lang w:val="en-US"/>
              </w:rPr>
              <w:t>100%</w:t>
            </w:r>
            <w:r>
              <w:rPr>
                <w:rFonts w:hint="eastAsia"/>
                <w:sz w:val="21"/>
                <w:szCs w:val="21"/>
                <w:lang w:val="en-US"/>
              </w:rPr>
              <w:t>合理处置</w:t>
            </w:r>
          </w:p>
        </w:tc>
        <w:tc>
          <w:tcPr>
            <w:tcW w:w="599" w:type="pct"/>
            <w:vAlign w:val="center"/>
          </w:tcPr>
          <w:p w14:paraId="3F46F337">
            <w:pPr>
              <w:pStyle w:val="71"/>
              <w:adjustRightInd w:val="0"/>
              <w:spacing w:line="240" w:lineRule="auto"/>
              <w:ind w:firstLine="0" w:firstLineChars="0"/>
              <w:jc w:val="center"/>
              <w:rPr>
                <w:sz w:val="21"/>
                <w:szCs w:val="21"/>
                <w:lang w:val="en-US"/>
              </w:rPr>
            </w:pPr>
            <w:r>
              <w:rPr>
                <w:rFonts w:hint="eastAsia"/>
                <w:sz w:val="21"/>
                <w:szCs w:val="21"/>
                <w:lang w:val="en-US"/>
              </w:rPr>
              <w:t>/</w:t>
            </w:r>
          </w:p>
        </w:tc>
        <w:tc>
          <w:tcPr>
            <w:tcW w:w="520" w:type="pct"/>
            <w:vAlign w:val="center"/>
          </w:tcPr>
          <w:p w14:paraId="17A1783B">
            <w:pPr>
              <w:pStyle w:val="71"/>
              <w:adjustRightInd w:val="0"/>
              <w:spacing w:line="240" w:lineRule="auto"/>
              <w:ind w:firstLine="0" w:firstLineChars="0"/>
              <w:jc w:val="center"/>
              <w:rPr>
                <w:sz w:val="21"/>
                <w:szCs w:val="21"/>
                <w:lang w:val="en-US"/>
              </w:rPr>
            </w:pPr>
            <w:r>
              <w:rPr>
                <w:rFonts w:hint="eastAsia"/>
                <w:sz w:val="21"/>
                <w:szCs w:val="21"/>
                <w:lang w:val="en-US"/>
              </w:rPr>
              <w:t>/</w:t>
            </w:r>
          </w:p>
        </w:tc>
      </w:tr>
      <w:tr w14:paraId="34352C5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0F9CFDB7">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电磁环境</w:t>
            </w:r>
          </w:p>
        </w:tc>
        <w:tc>
          <w:tcPr>
            <w:tcW w:w="2631" w:type="pct"/>
            <w:vAlign w:val="center"/>
          </w:tcPr>
          <w:p w14:paraId="5C9A3B04">
            <w:pPr>
              <w:pStyle w:val="71"/>
              <w:adjustRightInd w:val="0"/>
              <w:spacing w:line="240" w:lineRule="auto"/>
              <w:ind w:firstLine="0" w:firstLineChars="0"/>
              <w:jc w:val="center"/>
              <w:rPr>
                <w:sz w:val="21"/>
                <w:szCs w:val="21"/>
                <w:lang w:val="en-US"/>
              </w:rPr>
            </w:pPr>
            <w:r>
              <w:rPr>
                <w:rFonts w:hint="eastAsia"/>
                <w:sz w:val="21"/>
                <w:szCs w:val="21"/>
                <w:lang w:val="en-US"/>
              </w:rPr>
              <w:t>/</w:t>
            </w:r>
          </w:p>
        </w:tc>
        <w:tc>
          <w:tcPr>
            <w:tcW w:w="976" w:type="pct"/>
            <w:vAlign w:val="center"/>
          </w:tcPr>
          <w:p w14:paraId="68A10709">
            <w:pPr>
              <w:pStyle w:val="71"/>
              <w:adjustRightInd w:val="0"/>
              <w:spacing w:line="240" w:lineRule="auto"/>
              <w:ind w:firstLine="0" w:firstLineChars="0"/>
              <w:jc w:val="center"/>
              <w:rPr>
                <w:sz w:val="21"/>
                <w:szCs w:val="21"/>
                <w:lang w:val="en-US"/>
              </w:rPr>
            </w:pPr>
            <w:r>
              <w:rPr>
                <w:rFonts w:hint="eastAsia"/>
                <w:sz w:val="21"/>
                <w:szCs w:val="21"/>
                <w:lang w:val="en-US"/>
              </w:rPr>
              <w:t>/</w:t>
            </w:r>
          </w:p>
        </w:tc>
        <w:tc>
          <w:tcPr>
            <w:tcW w:w="599" w:type="pct"/>
            <w:vAlign w:val="center"/>
          </w:tcPr>
          <w:p w14:paraId="02E6199F">
            <w:pPr>
              <w:pStyle w:val="71"/>
              <w:adjustRightInd w:val="0"/>
              <w:spacing w:line="240" w:lineRule="auto"/>
              <w:ind w:firstLine="0" w:firstLineChars="0"/>
              <w:jc w:val="center"/>
              <w:rPr>
                <w:sz w:val="21"/>
                <w:szCs w:val="21"/>
                <w:lang w:val="en-US"/>
              </w:rPr>
            </w:pPr>
            <w:r>
              <w:rPr>
                <w:rFonts w:hint="eastAsia"/>
                <w:sz w:val="21"/>
                <w:szCs w:val="21"/>
                <w:lang w:val="en-US"/>
              </w:rPr>
              <w:t>/</w:t>
            </w:r>
          </w:p>
        </w:tc>
        <w:tc>
          <w:tcPr>
            <w:tcW w:w="520" w:type="pct"/>
            <w:vAlign w:val="center"/>
          </w:tcPr>
          <w:p w14:paraId="079F4E9C">
            <w:pPr>
              <w:pStyle w:val="71"/>
              <w:adjustRightInd w:val="0"/>
              <w:spacing w:line="240" w:lineRule="auto"/>
              <w:ind w:firstLine="0" w:firstLineChars="0"/>
              <w:jc w:val="center"/>
              <w:rPr>
                <w:sz w:val="21"/>
                <w:szCs w:val="21"/>
                <w:lang w:val="en-US"/>
              </w:rPr>
            </w:pPr>
            <w:r>
              <w:rPr>
                <w:rFonts w:hint="eastAsia"/>
                <w:sz w:val="21"/>
                <w:szCs w:val="21"/>
                <w:lang w:val="en-US"/>
              </w:rPr>
              <w:t>/</w:t>
            </w:r>
          </w:p>
        </w:tc>
      </w:tr>
      <w:tr w14:paraId="1F2B13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2DDE137A">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环境风险</w:t>
            </w:r>
          </w:p>
        </w:tc>
        <w:tc>
          <w:tcPr>
            <w:tcW w:w="2631" w:type="pct"/>
            <w:vAlign w:val="center"/>
          </w:tcPr>
          <w:p w14:paraId="2DA0A6EE">
            <w:pPr>
              <w:pStyle w:val="71"/>
              <w:adjustRightInd w:val="0"/>
              <w:spacing w:line="240" w:lineRule="auto"/>
              <w:ind w:firstLine="0" w:firstLineChars="0"/>
              <w:rPr>
                <w:sz w:val="21"/>
                <w:szCs w:val="21"/>
                <w:lang w:val="en-US"/>
              </w:rPr>
            </w:pPr>
            <w:r>
              <w:rPr>
                <w:rFonts w:hint="eastAsia"/>
                <w:sz w:val="21"/>
                <w:szCs w:val="21"/>
                <w:lang w:val="en-US"/>
              </w:rPr>
              <w:t>（1）落实源头控制</w:t>
            </w:r>
          </w:p>
          <w:p w14:paraId="2F52D8E1">
            <w:pPr>
              <w:pStyle w:val="71"/>
              <w:adjustRightInd w:val="0"/>
              <w:spacing w:line="240" w:lineRule="auto"/>
              <w:ind w:firstLine="0" w:firstLineChars="0"/>
              <w:rPr>
                <w:sz w:val="21"/>
                <w:szCs w:val="21"/>
                <w:lang w:val="en-US"/>
              </w:rPr>
            </w:pPr>
            <w:r>
              <w:rPr>
                <w:rFonts w:hint="eastAsia"/>
                <w:sz w:val="21"/>
                <w:szCs w:val="21"/>
                <w:lang w:val="en-US"/>
              </w:rPr>
              <w:t>建设单位在回填过程中，对每批次（</w:t>
            </w:r>
            <w:r>
              <w:rPr>
                <w:rFonts w:hint="eastAsia"/>
                <w:sz w:val="21"/>
                <w:szCs w:val="21"/>
                <w:lang w:val="en-US" w:eastAsia="zh-CN"/>
              </w:rPr>
              <w:t>30</w:t>
            </w:r>
            <w:r>
              <w:rPr>
                <w:rFonts w:hint="eastAsia"/>
                <w:sz w:val="21"/>
                <w:szCs w:val="21"/>
                <w:lang w:val="en-US"/>
              </w:rPr>
              <w:t>000t每批次）生态修复回填材料进行取样检测，按照《改性磷石膏用于矿山废弃地生态修复回填技术规范》（DB53/T1269-2024）12.2.2的相关要求进行取样检测，确保项目生态修复回填材料满足《改性磷石膏用于矿山废弃地生态修复回填技术规范》（DB53/T1269-2024）、《磷石膏的处理处置规范》（GB/T 32124-2024） 中相关要求。</w:t>
            </w:r>
          </w:p>
          <w:p w14:paraId="21D2F3AA">
            <w:pPr>
              <w:pStyle w:val="71"/>
              <w:adjustRightInd w:val="0"/>
              <w:spacing w:line="240" w:lineRule="auto"/>
              <w:ind w:firstLine="0" w:firstLineChars="0"/>
              <w:rPr>
                <w:sz w:val="21"/>
                <w:szCs w:val="21"/>
                <w:lang w:val="en-US"/>
              </w:rPr>
            </w:pPr>
            <w:r>
              <w:rPr>
                <w:rFonts w:hint="eastAsia"/>
                <w:sz w:val="21"/>
                <w:szCs w:val="21"/>
                <w:lang w:val="en-US"/>
              </w:rPr>
              <w:t>（2）工程控制措施</w:t>
            </w:r>
          </w:p>
          <w:p w14:paraId="7D3F4F30">
            <w:pPr>
              <w:pStyle w:val="71"/>
              <w:adjustRightInd w:val="0"/>
              <w:spacing w:line="240" w:lineRule="auto"/>
              <w:ind w:firstLine="0" w:firstLineChars="0"/>
              <w:rPr>
                <w:sz w:val="21"/>
                <w:szCs w:val="21"/>
                <w:lang w:val="en-US"/>
              </w:rPr>
            </w:pPr>
            <w:r>
              <w:rPr>
                <w:rFonts w:hint="eastAsia"/>
                <w:sz w:val="21"/>
                <w:szCs w:val="21"/>
                <w:lang w:val="en-US"/>
              </w:rPr>
              <w:t>按照生态修复方案，落实修复区防渗工程措施，设置地下水监控井。</w:t>
            </w:r>
          </w:p>
          <w:p w14:paraId="11FB654A">
            <w:pPr>
              <w:pStyle w:val="71"/>
              <w:adjustRightInd w:val="0"/>
              <w:spacing w:line="240" w:lineRule="auto"/>
              <w:ind w:firstLine="0" w:firstLineChars="0"/>
              <w:rPr>
                <w:sz w:val="21"/>
                <w:szCs w:val="21"/>
                <w:lang w:val="en-US"/>
              </w:rPr>
            </w:pPr>
            <w:r>
              <w:rPr>
                <w:rFonts w:hint="eastAsia"/>
                <w:sz w:val="21"/>
                <w:szCs w:val="21"/>
                <w:lang w:val="en-US"/>
              </w:rPr>
              <w:t>（3）编制应急预案并定期演练应编制生态修复区安全生产各项规章制度并组织实施，编制环境风险应急预案并组织演练。</w:t>
            </w:r>
          </w:p>
          <w:p w14:paraId="7263ECBC">
            <w:pPr>
              <w:pStyle w:val="71"/>
              <w:adjustRightInd w:val="0"/>
              <w:spacing w:line="240" w:lineRule="auto"/>
              <w:ind w:firstLine="0" w:firstLineChars="0"/>
              <w:rPr>
                <w:sz w:val="21"/>
                <w:szCs w:val="21"/>
                <w:lang w:val="en-US"/>
              </w:rPr>
            </w:pPr>
            <w:r>
              <w:rPr>
                <w:rFonts w:hint="eastAsia"/>
                <w:sz w:val="21"/>
                <w:szCs w:val="21"/>
                <w:lang w:val="en-US"/>
              </w:rPr>
              <w:t>（4）管理控制措施</w:t>
            </w:r>
          </w:p>
          <w:p w14:paraId="68C5E43F">
            <w:pPr>
              <w:pStyle w:val="71"/>
              <w:adjustRightInd w:val="0"/>
              <w:spacing w:line="240" w:lineRule="auto"/>
              <w:ind w:firstLine="0" w:firstLineChars="0"/>
              <w:rPr>
                <w:rFonts w:hint="eastAsia" w:ascii="宋体" w:hAnsi="宋体" w:cs="宋体"/>
                <w:kern w:val="0"/>
                <w:lang w:val="en-US" w:bidi="ar"/>
              </w:rPr>
            </w:pPr>
            <w:r>
              <w:rPr>
                <w:rFonts w:hint="eastAsia"/>
                <w:sz w:val="21"/>
                <w:szCs w:val="21"/>
                <w:lang w:val="en-US"/>
              </w:rPr>
              <w:t>加强工程施工质量管理，对项目工程质量、防渗工程开展施工监理，确保防渗工程满足设计要求。</w:t>
            </w:r>
          </w:p>
        </w:tc>
        <w:tc>
          <w:tcPr>
            <w:tcW w:w="976" w:type="pct"/>
            <w:vAlign w:val="center"/>
          </w:tcPr>
          <w:p w14:paraId="34555908">
            <w:pPr>
              <w:pStyle w:val="71"/>
              <w:adjustRightInd w:val="0"/>
              <w:spacing w:line="240" w:lineRule="auto"/>
              <w:ind w:firstLine="0" w:firstLineChars="0"/>
              <w:jc w:val="center"/>
              <w:rPr>
                <w:sz w:val="21"/>
                <w:szCs w:val="21"/>
                <w:lang w:val="en-US"/>
              </w:rPr>
            </w:pPr>
            <w:r>
              <w:rPr>
                <w:rFonts w:hint="eastAsia"/>
                <w:sz w:val="21"/>
                <w:szCs w:val="21"/>
                <w:lang w:val="en-US"/>
              </w:rPr>
              <w:t>对每批次（</w:t>
            </w:r>
            <w:r>
              <w:rPr>
                <w:rFonts w:hint="eastAsia"/>
                <w:sz w:val="21"/>
                <w:szCs w:val="21"/>
                <w:lang w:val="en-US" w:eastAsia="zh-CN"/>
              </w:rPr>
              <w:t>30000</w:t>
            </w:r>
            <w:r>
              <w:rPr>
                <w:rFonts w:hint="eastAsia"/>
                <w:sz w:val="21"/>
                <w:szCs w:val="21"/>
                <w:lang w:val="en-US"/>
              </w:rPr>
              <w:t>t每批次）生态修复回填材料进行取样检测，按照《改性磷石膏用于矿山废弃地生态修复回填技术规范》（DB53/T1269-2024）12.2.2的相关要求进行取样检测，确保项目生态修复回填材料满足《改性磷石膏用于矿山废弃地生态修复回填技术规范》（DB53/T1269-2024）、《磷石膏的处理处置规范》（GB/T 32124-2024）中相关要求。落实修复区防渗工程措施，设置地下水监控井。制订环境风险应急预案。</w:t>
            </w:r>
          </w:p>
        </w:tc>
        <w:tc>
          <w:tcPr>
            <w:tcW w:w="599" w:type="pct"/>
            <w:vAlign w:val="center"/>
          </w:tcPr>
          <w:p w14:paraId="15F44AF3">
            <w:pPr>
              <w:pStyle w:val="71"/>
              <w:adjustRightInd w:val="0"/>
              <w:spacing w:line="240" w:lineRule="auto"/>
              <w:ind w:firstLine="0" w:firstLineChars="0"/>
              <w:jc w:val="center"/>
              <w:rPr>
                <w:sz w:val="21"/>
                <w:szCs w:val="21"/>
                <w:lang w:val="en-US"/>
              </w:rPr>
            </w:pPr>
            <w:r>
              <w:rPr>
                <w:rFonts w:hint="eastAsia"/>
                <w:sz w:val="21"/>
                <w:szCs w:val="21"/>
                <w:lang w:val="en-US"/>
              </w:rPr>
              <w:t>/</w:t>
            </w:r>
          </w:p>
        </w:tc>
        <w:tc>
          <w:tcPr>
            <w:tcW w:w="520" w:type="pct"/>
            <w:vAlign w:val="center"/>
          </w:tcPr>
          <w:p w14:paraId="794F2F97">
            <w:pPr>
              <w:pStyle w:val="71"/>
              <w:adjustRightInd w:val="0"/>
              <w:spacing w:line="240" w:lineRule="auto"/>
              <w:ind w:firstLine="0" w:firstLineChars="0"/>
              <w:jc w:val="center"/>
              <w:rPr>
                <w:sz w:val="21"/>
                <w:szCs w:val="21"/>
                <w:lang w:val="en-US"/>
              </w:rPr>
            </w:pPr>
            <w:r>
              <w:rPr>
                <w:rFonts w:hint="eastAsia"/>
                <w:sz w:val="21"/>
                <w:szCs w:val="21"/>
                <w:lang w:val="en-US"/>
              </w:rPr>
              <w:t>定期巡查</w:t>
            </w:r>
          </w:p>
        </w:tc>
      </w:tr>
      <w:tr w14:paraId="0AD0804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101849E3">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环境监测</w:t>
            </w:r>
          </w:p>
        </w:tc>
        <w:tc>
          <w:tcPr>
            <w:tcW w:w="2631" w:type="pct"/>
            <w:vAlign w:val="center"/>
          </w:tcPr>
          <w:p w14:paraId="15DF7863">
            <w:pPr>
              <w:pStyle w:val="71"/>
              <w:adjustRightInd w:val="0"/>
              <w:spacing w:line="240" w:lineRule="auto"/>
              <w:ind w:firstLine="0" w:firstLineChars="0"/>
              <w:rPr>
                <w:sz w:val="21"/>
                <w:szCs w:val="21"/>
                <w:lang w:val="en-US"/>
              </w:rPr>
            </w:pPr>
            <w:r>
              <w:rPr>
                <w:rFonts w:hint="eastAsia"/>
                <w:sz w:val="21"/>
                <w:szCs w:val="21"/>
                <w:lang w:val="en-US"/>
              </w:rPr>
              <w:t>①施工期大气例行监测，每季度一次；</w:t>
            </w:r>
          </w:p>
          <w:p w14:paraId="086E933D">
            <w:pPr>
              <w:pStyle w:val="71"/>
              <w:adjustRightInd w:val="0"/>
              <w:spacing w:line="240" w:lineRule="auto"/>
              <w:ind w:firstLine="0" w:firstLineChars="0"/>
              <w:rPr>
                <w:sz w:val="21"/>
                <w:szCs w:val="21"/>
                <w:lang w:val="en-US"/>
              </w:rPr>
            </w:pPr>
            <w:r>
              <w:rPr>
                <w:rFonts w:hint="eastAsia"/>
                <w:sz w:val="21"/>
                <w:szCs w:val="21"/>
                <w:lang w:val="en-US"/>
              </w:rPr>
              <w:t>②施工期噪声监测，每季度一次；</w:t>
            </w:r>
          </w:p>
          <w:p w14:paraId="41B41BA0">
            <w:pPr>
              <w:pStyle w:val="71"/>
              <w:adjustRightInd w:val="0"/>
              <w:spacing w:line="240" w:lineRule="auto"/>
              <w:ind w:firstLine="0" w:firstLineChars="0"/>
              <w:rPr>
                <w:sz w:val="21"/>
                <w:szCs w:val="21"/>
                <w:lang w:val="en-US"/>
              </w:rPr>
            </w:pPr>
            <w:r>
              <w:rPr>
                <w:rFonts w:hint="eastAsia"/>
                <w:sz w:val="21"/>
                <w:szCs w:val="21"/>
                <w:lang w:val="en-US"/>
              </w:rPr>
              <w:t>③地下水跟踪监测，</w:t>
            </w:r>
            <w:r>
              <w:rPr>
                <w:rFonts w:hint="eastAsia"/>
                <w:kern w:val="2"/>
                <w:sz w:val="21"/>
                <w:szCs w:val="21"/>
                <w:lang w:val="en-US"/>
              </w:rPr>
              <w:t>每年在丰水期、枯水期各监测一次</w:t>
            </w:r>
            <w:r>
              <w:rPr>
                <w:rFonts w:hint="eastAsia"/>
                <w:sz w:val="21"/>
                <w:szCs w:val="21"/>
                <w:lang w:val="en-US"/>
              </w:rPr>
              <w:t>；</w:t>
            </w:r>
          </w:p>
          <w:p w14:paraId="15DE5F65">
            <w:pPr>
              <w:pStyle w:val="71"/>
              <w:adjustRightInd w:val="0"/>
              <w:spacing w:line="240" w:lineRule="auto"/>
              <w:ind w:firstLine="0" w:firstLineChars="0"/>
              <w:rPr>
                <w:sz w:val="21"/>
                <w:szCs w:val="21"/>
                <w:lang w:val="en-US"/>
              </w:rPr>
            </w:pPr>
            <w:r>
              <w:rPr>
                <w:rFonts w:hint="eastAsia"/>
                <w:sz w:val="21"/>
                <w:szCs w:val="21"/>
                <w:lang w:val="en-US"/>
              </w:rPr>
              <w:t>④地表水及渗滤液收集井水质监测，每季度一次；</w:t>
            </w:r>
          </w:p>
          <w:p w14:paraId="1D55DD70">
            <w:pPr>
              <w:pStyle w:val="71"/>
              <w:adjustRightInd w:val="0"/>
              <w:spacing w:line="240" w:lineRule="auto"/>
              <w:ind w:firstLine="0" w:firstLineChars="0"/>
              <w:rPr>
                <w:sz w:val="21"/>
                <w:szCs w:val="21"/>
                <w:lang w:val="en-US"/>
              </w:rPr>
            </w:pPr>
            <w:r>
              <w:rPr>
                <w:rFonts w:hint="eastAsia"/>
                <w:sz w:val="21"/>
                <w:szCs w:val="21"/>
                <w:lang w:val="en-US"/>
              </w:rPr>
              <w:t>⑤改性磷石膏生态修复材料监测，每批次监测，满足《改性磷石膏用于矿山废弃地生态修复回填技术规范》（DB53/T1269-2024）、《磷石膏的处理处置规范》（GB/T 32124-2024）相关要求；</w:t>
            </w:r>
          </w:p>
          <w:p w14:paraId="1289D68F">
            <w:pPr>
              <w:pStyle w:val="71"/>
              <w:adjustRightInd w:val="0"/>
              <w:spacing w:line="240" w:lineRule="auto"/>
              <w:ind w:firstLine="0" w:firstLineChars="0"/>
              <w:rPr>
                <w:sz w:val="21"/>
                <w:szCs w:val="21"/>
                <w:lang w:val="en-US"/>
              </w:rPr>
            </w:pPr>
            <w:r>
              <w:rPr>
                <w:rFonts w:hint="eastAsia"/>
                <w:sz w:val="21"/>
                <w:szCs w:val="21"/>
                <w:lang w:val="en-US"/>
              </w:rPr>
              <w:t>⑥耕植土购买时监测，项目外购耕植土须满足《土壤环境质量农用地土壤污染风险管控标准（试行）》（</w:t>
            </w:r>
            <w:r>
              <w:rPr>
                <w:sz w:val="21"/>
                <w:szCs w:val="21"/>
                <w:lang w:val="en-US"/>
              </w:rPr>
              <w:t>GB15618-2018</w:t>
            </w:r>
            <w:r>
              <w:rPr>
                <w:rFonts w:hint="eastAsia"/>
                <w:sz w:val="21"/>
                <w:szCs w:val="21"/>
                <w:lang w:val="en-US"/>
              </w:rPr>
              <w:t>）的要求</w:t>
            </w:r>
          </w:p>
        </w:tc>
        <w:tc>
          <w:tcPr>
            <w:tcW w:w="976" w:type="pct"/>
            <w:vAlign w:val="center"/>
          </w:tcPr>
          <w:p w14:paraId="307A4774">
            <w:pPr>
              <w:pStyle w:val="71"/>
              <w:adjustRightInd w:val="0"/>
              <w:spacing w:line="240" w:lineRule="auto"/>
              <w:ind w:firstLine="0" w:firstLineChars="0"/>
              <w:jc w:val="center"/>
              <w:rPr>
                <w:sz w:val="21"/>
                <w:szCs w:val="21"/>
                <w:lang w:val="en-US"/>
              </w:rPr>
            </w:pPr>
            <w:r>
              <w:rPr>
                <w:rFonts w:hint="eastAsia"/>
                <w:sz w:val="21"/>
                <w:szCs w:val="21"/>
                <w:lang w:val="en-US"/>
              </w:rPr>
              <w:t>提供大气、噪声、地表水、地下水、渗滤液、生态修复材料、耕植土等相关满足相关规范要求的检测报告</w:t>
            </w:r>
          </w:p>
        </w:tc>
        <w:tc>
          <w:tcPr>
            <w:tcW w:w="599" w:type="pct"/>
            <w:vAlign w:val="center"/>
          </w:tcPr>
          <w:p w14:paraId="0B99E219">
            <w:pPr>
              <w:pStyle w:val="71"/>
              <w:adjustRightInd w:val="0"/>
              <w:spacing w:line="240" w:lineRule="auto"/>
              <w:ind w:firstLine="0" w:firstLineChars="0"/>
              <w:jc w:val="center"/>
              <w:rPr>
                <w:sz w:val="21"/>
                <w:szCs w:val="21"/>
                <w:lang w:val="en-US"/>
              </w:rPr>
            </w:pPr>
            <w:r>
              <w:rPr>
                <w:rFonts w:hint="eastAsia"/>
                <w:sz w:val="21"/>
                <w:szCs w:val="21"/>
                <w:lang w:val="en-US"/>
              </w:rPr>
              <w:t>/</w:t>
            </w:r>
          </w:p>
        </w:tc>
        <w:tc>
          <w:tcPr>
            <w:tcW w:w="520" w:type="pct"/>
            <w:vAlign w:val="center"/>
          </w:tcPr>
          <w:p w14:paraId="5F251391">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w:t>
            </w:r>
          </w:p>
        </w:tc>
      </w:tr>
      <w:tr w14:paraId="31EC5E0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271" w:type="pct"/>
            <w:vAlign w:val="center"/>
          </w:tcPr>
          <w:p w14:paraId="1DD66954">
            <w:pPr>
              <w:pStyle w:val="35"/>
              <w:adjustRightInd w:val="0"/>
              <w:snapToGrid w:val="0"/>
              <w:spacing w:before="0" w:beforeAutospacing="0" w:after="0" w:afterAutospacing="0" w:line="240" w:lineRule="auto"/>
              <w:ind w:firstLine="0" w:firstLineChars="0"/>
              <w:jc w:val="center"/>
              <w:rPr>
                <w:rFonts w:ascii="Times New Roman" w:hAnsi="Times New Roman"/>
                <w:kern w:val="2"/>
                <w:sz w:val="21"/>
                <w:szCs w:val="21"/>
              </w:rPr>
            </w:pPr>
            <w:r>
              <w:rPr>
                <w:rFonts w:hint="eastAsia" w:ascii="Times New Roman" w:hAnsi="Times New Roman"/>
                <w:kern w:val="2"/>
                <w:sz w:val="21"/>
                <w:szCs w:val="21"/>
              </w:rPr>
              <w:t>其他</w:t>
            </w:r>
          </w:p>
        </w:tc>
        <w:tc>
          <w:tcPr>
            <w:tcW w:w="4728" w:type="pct"/>
            <w:gridSpan w:val="4"/>
            <w:vAlign w:val="center"/>
          </w:tcPr>
          <w:p w14:paraId="3D65E70C">
            <w:pPr>
              <w:pStyle w:val="71"/>
              <w:adjustRightInd w:val="0"/>
              <w:spacing w:line="240" w:lineRule="auto"/>
              <w:ind w:firstLine="0" w:firstLineChars="0"/>
              <w:jc w:val="both"/>
              <w:rPr>
                <w:kern w:val="2"/>
                <w:sz w:val="21"/>
                <w:szCs w:val="21"/>
                <w:lang w:val="en-US"/>
              </w:rPr>
            </w:pPr>
            <w:r>
              <w:rPr>
                <w:rFonts w:hint="eastAsia"/>
                <w:kern w:val="2"/>
                <w:sz w:val="21"/>
                <w:szCs w:val="21"/>
                <w:lang w:val="en-US"/>
              </w:rPr>
              <w:t>/</w:t>
            </w:r>
          </w:p>
        </w:tc>
      </w:tr>
    </w:tbl>
    <w:p w14:paraId="60F699B3">
      <w:pPr>
        <w:pStyle w:val="35"/>
        <w:adjustRightInd w:val="0"/>
        <w:snapToGrid w:val="0"/>
        <w:spacing w:before="0" w:beforeAutospacing="0" w:after="0" w:afterAutospacing="0"/>
        <w:ind w:firstLine="0" w:firstLineChars="0"/>
        <w:jc w:val="both"/>
        <w:rPr>
          <w:rFonts w:ascii="Times New Roman" w:hAnsi="Times New Roman"/>
          <w:snapToGrid w:val="0"/>
          <w:sz w:val="30"/>
          <w:szCs w:val="30"/>
        </w:rPr>
      </w:pPr>
    </w:p>
    <w:p w14:paraId="0F2D518F">
      <w:pPr>
        <w:pStyle w:val="35"/>
        <w:spacing w:before="192" w:beforeLines="80" w:beforeAutospacing="0"/>
        <w:ind w:firstLine="600"/>
        <w:jc w:val="center"/>
        <w:rPr>
          <w:rFonts w:ascii="Times New Roman" w:hAnsi="Times New Roman"/>
          <w:snapToGrid w:val="0"/>
          <w:sz w:val="30"/>
          <w:szCs w:val="30"/>
        </w:rPr>
        <w:sectPr>
          <w:pgSz w:w="16838" w:h="11906" w:orient="landscape"/>
          <w:pgMar w:top="1797" w:right="1440" w:bottom="1797" w:left="1440" w:header="851" w:footer="1077" w:gutter="0"/>
          <w:pgBorders>
            <w:top w:val="none" w:sz="0" w:space="0"/>
            <w:left w:val="none" w:sz="0" w:space="0"/>
            <w:bottom w:val="none" w:sz="0" w:space="0"/>
            <w:right w:val="none" w:sz="0" w:space="0"/>
          </w:pgBorders>
          <w:cols w:space="720" w:num="1"/>
          <w:docGrid w:linePitch="312" w:charSpace="0"/>
        </w:sectPr>
      </w:pPr>
    </w:p>
    <w:p w14:paraId="7B6309D3">
      <w:pPr>
        <w:pStyle w:val="35"/>
        <w:adjustRightInd w:val="0"/>
        <w:snapToGrid w:val="0"/>
        <w:spacing w:before="0" w:beforeAutospacing="0" w:after="0" w:afterAutospacing="0"/>
        <w:ind w:firstLine="0" w:firstLineChars="0"/>
        <w:jc w:val="center"/>
        <w:outlineLvl w:val="0"/>
        <w:rPr>
          <w:rFonts w:ascii="Times New Roman" w:hAnsi="Times New Roman"/>
          <w:snapToGrid w:val="0"/>
          <w:sz w:val="30"/>
          <w:szCs w:val="30"/>
        </w:rPr>
      </w:pPr>
      <w:bookmarkStart w:id="82" w:name="_Toc25796"/>
      <w:bookmarkStart w:id="83" w:name="_Toc27013"/>
      <w:r>
        <w:rPr>
          <w:rFonts w:hint="eastAsia" w:ascii="Times New Roman" w:hAnsi="Times New Roman"/>
          <w:snapToGrid w:val="0"/>
          <w:sz w:val="30"/>
          <w:szCs w:val="30"/>
        </w:rPr>
        <w:t>七、结论</w:t>
      </w:r>
      <w:bookmarkEnd w:id="82"/>
      <w:bookmarkEnd w:id="83"/>
    </w:p>
    <w:tbl>
      <w:tblPr>
        <w:tblStyle w:val="40"/>
        <w:tblW w:w="9289"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289"/>
      </w:tblGrid>
      <w:tr w14:paraId="461234C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2349" w:hRule="atLeast"/>
          <w:jc w:val="center"/>
        </w:trPr>
        <w:tc>
          <w:tcPr>
            <w:tcW w:w="9289" w:type="dxa"/>
          </w:tcPr>
          <w:p w14:paraId="7DFB85C4">
            <w:pPr>
              <w:widowControl/>
              <w:adjustRightInd w:val="0"/>
              <w:snapToGrid w:val="0"/>
              <w:ind w:firstLine="480"/>
            </w:pPr>
            <w:r>
              <w:rPr>
                <w:rFonts w:hint="eastAsia" w:ascii="宋体" w:hAnsi="宋体" w:cs="宋体"/>
                <w:kern w:val="0"/>
                <w:lang w:bidi="ar"/>
              </w:rPr>
              <w:t>项目属于废弃矿坑生态修复工程，项目使用的改性磷石膏生态修复材料满足</w:t>
            </w:r>
            <w:r>
              <w:rPr>
                <w:kern w:val="0"/>
                <w:lang w:bidi="ar"/>
              </w:rPr>
              <w:t>《改性磷石膏用于矿山废弃地生态修复回填技术规范》（DB53/T1269-2024）</w:t>
            </w:r>
            <w:r>
              <w:rPr>
                <w:rFonts w:hint="eastAsia"/>
                <w:kern w:val="0"/>
                <w:lang w:bidi="ar"/>
              </w:rPr>
              <w:t>规范</w:t>
            </w:r>
            <w:r>
              <w:rPr>
                <w:kern w:val="0"/>
                <w:lang w:bidi="ar"/>
              </w:rPr>
              <w:t>要求</w:t>
            </w:r>
            <w:r>
              <w:rPr>
                <w:rFonts w:hint="eastAsia" w:ascii="宋体" w:hAnsi="宋体" w:cs="宋体"/>
                <w:kern w:val="0"/>
                <w:lang w:bidi="ar"/>
              </w:rPr>
              <w:t>，项目施工期会产生一定的污染，在采取污染防治和控制措施后，项目实施对环境影响在可接受范围内。环境功能区质量能够满足相应标准要求，环境风险可控。</w:t>
            </w:r>
            <w:r>
              <w:rPr>
                <w:rFonts w:hint="eastAsia"/>
                <w:kern w:val="0"/>
                <w:lang w:bidi="ar"/>
              </w:rPr>
              <w:t>本项目修复区域不位于饮用水源地、天然滑坡泥石流地区、生态保护红线区、项目不占用永久基本农田；根据水文地质勘察报告，项目区岩溶中等发育，不存在较多落水洞和岩溶漏斗的区域与其他需要特别保护的区域内。项目不位于国务院有关部门及地方人民政府划定的生态保护红线区域、永久基本农田集中区域和其他需要特定保护的区域内，以及法律法规规定的其他禁止建设区域。根据相关查询意见，项目不涉及生态保护红线、永久基本农田，不在城镇开发边界内。项目建设符合《改性磷石膏用于矿山废弃地生态修复回填技术规范》（DB53/T1269-2024）、《改性磷石膏综合利用矿山生态修复环境风险评估规范》(DB5301/T98-2023)相关要求。</w:t>
            </w:r>
            <w:r>
              <w:rPr>
                <w:rFonts w:hint="eastAsia" w:ascii="宋体" w:hAnsi="宋体" w:cs="宋体"/>
                <w:kern w:val="0"/>
                <w:lang w:bidi="ar"/>
              </w:rPr>
              <w:t>从环保角度来看，项目实施后对区域生态环境恢复以及对提高区域改性磷石膏综合利用率具有积极作用，评价认为，在建设单位认真实施本环评提出的废水、废气、噪声、固体废物治理措施及生态保护措施，落实跟踪监测计划、环保各项投资、落实环境监理制度后项目建设在环境上可行。</w:t>
            </w:r>
          </w:p>
        </w:tc>
      </w:tr>
    </w:tbl>
    <w:p w14:paraId="62FC109B">
      <w:pPr>
        <w:ind w:firstLine="0" w:firstLineChars="0"/>
      </w:pPr>
    </w:p>
    <w:sectPr>
      <w:pgSz w:w="11906" w:h="16838"/>
      <w:pgMar w:top="1440" w:right="1800" w:bottom="1440" w:left="1800" w:header="851" w:footer="1077"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50"/>
    <w:family w:val="auto"/>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embedRegular r:id="rId1" w:fontKey="{9E7BC12F-907D-45A5-8701-325F1C0A8E28}"/>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Sendnya">
    <w:altName w:val="微软雅黑"/>
    <w:panose1 w:val="00000400000000000000"/>
    <w:charset w:val="01"/>
    <w:family w:val="roman"/>
    <w:pitch w:val="default"/>
    <w:sig w:usb0="00000000" w:usb1="00000000" w:usb2="00000000" w:usb3="00000000" w:csb0="00040001" w:csb1="00000000"/>
  </w:font>
  <w:font w:name="微软雅黑">
    <w:panose1 w:val="020B0503020204020204"/>
    <w:charset w:val="86"/>
    <w:family w:val="auto"/>
    <w:pitch w:val="default"/>
    <w:sig w:usb0="80000287" w:usb1="2ACF3C50" w:usb2="00000016" w:usb3="00000000" w:csb0="0004001F" w:csb1="00000000"/>
  </w:font>
  <w:font w:name="仿宋">
    <w:panose1 w:val="02010609060101010101"/>
    <w:charset w:val="86"/>
    <w:family w:val="modern"/>
    <w:pitch w:val="default"/>
    <w:sig w:usb0="800002BF" w:usb1="38CF7CFA" w:usb2="00000016" w:usb3="00000000" w:csb0="00040001" w:csb1="00000000"/>
    <w:embedRegular r:id="rId2" w:fontKey="{6DAADB28-F5AA-4808-AEEC-59FADD90A7B9}"/>
  </w:font>
  <w:font w:name="Wingdings 2">
    <w:panose1 w:val="05020102010507070707"/>
    <w:charset w:val="02"/>
    <w:family w:val="roman"/>
    <w:pitch w:val="default"/>
    <w:sig w:usb0="00000000" w:usb1="00000000" w:usb2="00000000" w:usb3="00000000" w:csb0="80000000" w:csb1="00000000"/>
  </w:font>
  <w:font w:name="方正仿宋_GB2312">
    <w:panose1 w:val="02000000000000000000"/>
    <w:charset w:val="86"/>
    <w:family w:val="auto"/>
    <w:pitch w:val="default"/>
    <w:sig w:usb0="A00002BF" w:usb1="184F6CFA" w:usb2="00000012" w:usb3="00000000" w:csb0="00040001" w:csb1="00000000"/>
    <w:embedRegular r:id="rId3" w:fontKey="{38266B90-DFE5-4F89-8536-EE4DAC102C33}"/>
  </w:font>
  <w:font w:name="CommercialPi BT">
    <w:altName w:val="Symbol"/>
    <w:panose1 w:val="05020102010206080802"/>
    <w:charset w:val="02"/>
    <w:family w:val="roman"/>
    <w:pitch w:val="default"/>
    <w:sig w:usb0="00000000" w:usb1="00000000" w:usb2="00000000" w:usb3="00000000" w:csb0="00000000" w:csb1="00000000"/>
    <w:embedRegular r:id="rId4" w:fontKey="{80EEA5C6-CFBF-46AC-B1A2-EA423AE1B6C9}"/>
  </w:font>
  <w:font w:name="MS PGothic">
    <w:panose1 w:val="020B0600070205080204"/>
    <w:charset w:val="80"/>
    <w:family w:val="auto"/>
    <w:pitch w:val="default"/>
    <w:sig w:usb0="E00002FF" w:usb1="6AC7FDFB" w:usb2="08000012" w:usb3="00000000" w:csb0="4002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3B4D46">
    <w:pPr>
      <w:pStyle w:val="30"/>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2DC899C">
    <w:pPr>
      <w:pStyle w:val="3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431800" cy="1828800"/>
              <wp:effectExtent l="0" t="0" r="0" b="0"/>
              <wp:wrapNone/>
              <wp:docPr id="42" name="文本框 9"/>
              <wp:cNvGraphicFramePr/>
              <a:graphic xmlns:a="http://schemas.openxmlformats.org/drawingml/2006/main">
                <a:graphicData uri="http://schemas.microsoft.com/office/word/2010/wordprocessingShape">
                  <wps:wsp>
                    <wps:cNvSpPr txBox="1"/>
                    <wps:spPr>
                      <a:xfrm>
                        <a:off x="0" y="0"/>
                        <a:ext cx="431800" cy="1828800"/>
                      </a:xfrm>
                      <a:prstGeom prst="rect">
                        <a:avLst/>
                      </a:prstGeom>
                      <a:noFill/>
                      <a:ln>
                        <a:noFill/>
                      </a:ln>
                    </wps:spPr>
                    <wps:txbx>
                      <w:txbxContent>
                        <w:p w14:paraId="61E073F0">
                          <w:pPr>
                            <w:pStyle w:val="30"/>
                            <w:ind w:firstLine="360"/>
                          </w:pPr>
                          <w:r>
                            <w:fldChar w:fldCharType="begin"/>
                          </w:r>
                          <w:r>
                            <w:instrText xml:space="preserve"> PAGE  \* MERGEFORMAT </w:instrText>
                          </w:r>
                          <w:r>
                            <w:fldChar w:fldCharType="separate"/>
                          </w:r>
                          <w:r>
                            <w:t>1</w:t>
                          </w:r>
                          <w:r>
                            <w:fldChar w:fldCharType="end"/>
                          </w:r>
                        </w:p>
                      </w:txbxContent>
                    </wps:txbx>
                    <wps:bodyPr vert="horz" wrap="square" lIns="0" tIns="0" rIns="0" bIns="0" anchor="t" anchorCtr="0">
                      <a:spAutoFit/>
                    </wps:bodyPr>
                  </wps:wsp>
                </a:graphicData>
              </a:graphic>
            </wp:anchor>
          </w:drawing>
        </mc:Choice>
        <mc:Fallback>
          <w:pict>
            <v:shape id="文本框 9" o:spid="_x0000_s1026" o:spt="202" type="#_x0000_t202" style="position:absolute;left:0pt;margin-top:0pt;height:144pt;width:34pt;mso-position-horizontal:center;mso-position-horizontal-relative:margin;z-index:251659264;mso-width-relative:page;mso-height-relative:page;" filled="f" stroked="f" coordsize="21600,21600" o:gfxdata="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">
              <v:fill on="f" focussize="0,0"/>
              <v:stroke on="f"/>
              <v:imagedata o:title=""/>
              <o:lock v:ext="edit" aspectratio="f"/>
              <v:textbox inset="0mm,0mm,0mm,0mm" style="mso-fit-shape-to-text:t;">
                <w:txbxContent>
                  <w:p w14:paraId="61E073F0">
                    <w:pPr>
                      <w:pStyle w:val="30"/>
                      <w:ind w:firstLine="36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DE75CAF">
    <w:pPr>
      <w:ind w:firstLine="48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21EA221"/>
    <w:multiLevelType w:val="singleLevel"/>
    <w:tmpl w:val="921EA221"/>
    <w:lvl w:ilvl="0" w:tentative="0">
      <w:start w:val="2"/>
      <w:numFmt w:val="decimal"/>
      <w:suff w:val="nothing"/>
      <w:lvlText w:val="（%1）"/>
      <w:lvlJc w:val="left"/>
    </w:lvl>
  </w:abstractNum>
  <w:abstractNum w:abstractNumId="1">
    <w:nsid w:val="A59F469C"/>
    <w:multiLevelType w:val="singleLevel"/>
    <w:tmpl w:val="A59F469C"/>
    <w:lvl w:ilvl="0" w:tentative="0">
      <w:start w:val="1"/>
      <w:numFmt w:val="bullet"/>
      <w:pStyle w:val="11"/>
      <w:lvlText w:val=""/>
      <w:lvlJc w:val="left"/>
      <w:pPr>
        <w:tabs>
          <w:tab w:val="left" w:pos="780"/>
        </w:tabs>
        <w:ind w:left="780" w:hanging="360"/>
      </w:pPr>
      <w:rPr>
        <w:rFonts w:hint="default" w:ascii="Wingdings" w:hAnsi="Wingdings"/>
      </w:rPr>
    </w:lvl>
  </w:abstractNum>
  <w:abstractNum w:abstractNumId="2">
    <w:nsid w:val="B00D17FD"/>
    <w:multiLevelType w:val="multilevel"/>
    <w:tmpl w:val="B00D17FD"/>
    <w:lvl w:ilvl="0" w:tentative="0">
      <w:start w:val="1"/>
      <w:numFmt w:val="decimal"/>
      <w:suff w:val="space"/>
      <w:lvlText w:val="%1"/>
      <w:lvlJc w:val="left"/>
      <w:pPr>
        <w:ind w:left="0" w:firstLine="0"/>
      </w:pPr>
      <w:rPr>
        <w:rFonts w:hint="default" w:ascii="Times New Roman" w:hAnsi="Times New Roman" w:eastAsia="宋体" w:cs="Times New Roman"/>
      </w:rPr>
    </w:lvl>
    <w:lvl w:ilvl="1" w:tentative="0">
      <w:start w:val="1"/>
      <w:numFmt w:val="decimal"/>
      <w:suff w:val="space"/>
      <w:lvlText w:val="%1.%2"/>
      <w:lvlJc w:val="left"/>
      <w:pPr>
        <w:ind w:left="0" w:firstLine="0"/>
      </w:pPr>
      <w:rPr>
        <w:rFonts w:hint="default" w:ascii="Times New Roman" w:hAnsi="Times New Roman" w:eastAsia="宋体" w:cs="Times New Roman"/>
        <w:sz w:val="30"/>
        <w:szCs w:val="30"/>
      </w:rPr>
    </w:lvl>
    <w:lvl w:ilvl="2" w:tentative="0">
      <w:start w:val="1"/>
      <w:numFmt w:val="decimal"/>
      <w:suff w:val="space"/>
      <w:lvlText w:val="%1.%2.%3"/>
      <w:lvlJc w:val="left"/>
      <w:pPr>
        <w:ind w:left="0" w:firstLine="0"/>
      </w:pPr>
    </w:lvl>
    <w:lvl w:ilvl="3" w:tentative="0">
      <w:start w:val="1"/>
      <w:numFmt w:val="decimal"/>
      <w:pStyle w:val="18"/>
      <w:suff w:val="space"/>
      <w:lvlText w:val="%1.%2.%3.%4"/>
      <w:lvlJc w:val="left"/>
      <w:pPr>
        <w:ind w:left="480" w:firstLine="0"/>
      </w:pP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u w:val="none"/>
        <w:vertAlign w:val="baseline"/>
      </w:rPr>
    </w:lvl>
    <w:lvl w:ilvl="4" w:tentative="0">
      <w:start w:val="1"/>
      <w:numFmt w:val="decimal"/>
      <w:lvlRestart w:val="2"/>
      <w:suff w:val="space"/>
      <w:lvlText w:val="表%1.%2-%5"/>
      <w:lvlJc w:val="left"/>
      <w:pPr>
        <w:ind w:left="2127" w:firstLine="0"/>
      </w:pPr>
      <w:rPr>
        <w:rFonts w:hint="eastAsia"/>
        <w:sz w:val="21"/>
        <w:vertAlign w:val="baseline"/>
      </w:rPr>
    </w:lvl>
    <w:lvl w:ilvl="5" w:tentative="0">
      <w:start w:val="1"/>
      <w:numFmt w:val="decimal"/>
      <w:lvlRestart w:val="2"/>
      <w:suff w:val="space"/>
      <w:lvlText w:val="图%1.%2-%6"/>
      <w:lvlJc w:val="left"/>
      <w:pPr>
        <w:ind w:left="0" w:firstLine="0"/>
      </w:pPr>
      <w:rPr>
        <w:rFonts w:hint="default" w:ascii="Times New Roman" w:hAnsi="Times New Roman" w:eastAsia="宋体" w:cs="宋体"/>
      </w:rPr>
    </w:lvl>
    <w:lvl w:ilvl="6" w:tentative="0">
      <w:start w:val="1"/>
      <w:numFmt w:val="none"/>
      <w:lvlRestart w:val="0"/>
      <w:suff w:val="nothing"/>
      <w:lvlText w:val=""/>
      <w:lvlJc w:val="left"/>
      <w:pPr>
        <w:ind w:left="0" w:firstLine="0"/>
      </w:pPr>
      <w:rPr>
        <w:rFonts w:hint="default" w:ascii="宋体" w:hAnsi="宋体" w:eastAsia="宋体" w:cs="Times New Roman"/>
      </w:rPr>
    </w:lvl>
    <w:lvl w:ilvl="7" w:tentative="0">
      <w:start w:val="1"/>
      <w:numFmt w:val="decimal"/>
      <w:lvlText w:val="%1.%2.%3.%4.%5.%6.%7.%8"/>
      <w:lvlJc w:val="left"/>
      <w:pPr>
        <w:tabs>
          <w:tab w:val="left" w:pos="1440"/>
        </w:tabs>
        <w:ind w:left="0" w:firstLine="0"/>
      </w:pPr>
      <w:rPr>
        <w:rFonts w:hint="eastAsia"/>
      </w:rPr>
    </w:lvl>
    <w:lvl w:ilvl="8" w:tentative="0">
      <w:start w:val="1"/>
      <w:numFmt w:val="decimal"/>
      <w:lvlText w:val="%1.%2.%3.%4.%5.%6.%7.%8.%9"/>
      <w:lvlJc w:val="left"/>
      <w:pPr>
        <w:tabs>
          <w:tab w:val="left" w:pos="1584"/>
        </w:tabs>
        <w:ind w:left="0" w:firstLine="0"/>
      </w:pPr>
      <w:rPr>
        <w:rFonts w:hint="eastAsia"/>
      </w:rPr>
    </w:lvl>
  </w:abstractNum>
  <w:abstractNum w:abstractNumId="3">
    <w:nsid w:val="DABB19F5"/>
    <w:multiLevelType w:val="singleLevel"/>
    <w:tmpl w:val="DABB19F5"/>
    <w:lvl w:ilvl="0" w:tentative="0">
      <w:start w:val="3"/>
      <w:numFmt w:val="chineseCounting"/>
      <w:suff w:val="nothing"/>
      <w:lvlText w:val="（%1）"/>
      <w:lvlJc w:val="left"/>
      <w:rPr>
        <w:rFonts w:hint="eastAsia"/>
      </w:rPr>
    </w:lvl>
  </w:abstractNum>
  <w:abstractNum w:abstractNumId="4">
    <w:nsid w:val="ECE8D5C5"/>
    <w:multiLevelType w:val="singleLevel"/>
    <w:tmpl w:val="ECE8D5C5"/>
    <w:lvl w:ilvl="0" w:tentative="0">
      <w:start w:val="3"/>
      <w:numFmt w:val="decimal"/>
      <w:suff w:val="nothing"/>
      <w:lvlText w:val="%1、"/>
      <w:lvlJc w:val="left"/>
    </w:lvl>
  </w:abstractNum>
  <w:abstractNum w:abstractNumId="5">
    <w:nsid w:val="098A2801"/>
    <w:multiLevelType w:val="multilevel"/>
    <w:tmpl w:val="098A2801"/>
    <w:lvl w:ilvl="0" w:tentative="0">
      <w:start w:val="1"/>
      <w:numFmt w:val="decimal"/>
      <w:suff w:val="space"/>
      <w:lvlText w:val="%1"/>
      <w:lvlJc w:val="left"/>
      <w:pPr>
        <w:ind w:left="0" w:firstLine="0"/>
      </w:pPr>
      <w:rPr>
        <w:rFonts w:hint="default" w:ascii="Times New Roman" w:hAnsi="Times New Roman" w:eastAsia="宋体" w:cs="Times New Roman"/>
      </w:rPr>
    </w:lvl>
    <w:lvl w:ilvl="1" w:tentative="0">
      <w:start w:val="1"/>
      <w:numFmt w:val="decimal"/>
      <w:suff w:val="space"/>
      <w:lvlText w:val="%1.%2"/>
      <w:lvlJc w:val="left"/>
      <w:pPr>
        <w:ind w:left="0" w:firstLine="0"/>
      </w:pPr>
      <w:rPr>
        <w:rFonts w:hint="default" w:ascii="Times New Roman" w:hAnsi="Times New Roman" w:eastAsia="宋体" w:cs="Times New Roman"/>
        <w:sz w:val="30"/>
        <w:szCs w:val="30"/>
      </w:rPr>
    </w:lvl>
    <w:lvl w:ilvl="2" w:tentative="0">
      <w:start w:val="1"/>
      <w:numFmt w:val="decimal"/>
      <w:suff w:val="space"/>
      <w:lvlText w:val="%1.%2.%3"/>
      <w:lvlJc w:val="left"/>
      <w:pPr>
        <w:ind w:left="0" w:firstLine="0"/>
      </w:pPr>
    </w:lvl>
    <w:lvl w:ilvl="3" w:tentative="0">
      <w:start w:val="1"/>
      <w:numFmt w:val="decimal"/>
      <w:suff w:val="space"/>
      <w:lvlText w:val="%1.%2.%3.%4"/>
      <w:lvlJc w:val="left"/>
      <w:pPr>
        <w:ind w:left="0" w:firstLine="0"/>
      </w:pP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u w:val="none"/>
        <w:vertAlign w:val="baseline"/>
      </w:rPr>
    </w:lvl>
    <w:lvl w:ilvl="4" w:tentative="0">
      <w:start w:val="1"/>
      <w:numFmt w:val="decimal"/>
      <w:lvlRestart w:val="2"/>
      <w:pStyle w:val="19"/>
      <w:suff w:val="space"/>
      <w:lvlText w:val="表%1.%2-%5"/>
      <w:lvlJc w:val="left"/>
      <w:pPr>
        <w:ind w:left="6687" w:firstLine="0"/>
      </w:pPr>
      <w:rPr>
        <w:rFonts w:hint="eastAsia"/>
        <w:sz w:val="21"/>
        <w:vertAlign w:val="baseline"/>
      </w:rPr>
    </w:lvl>
    <w:lvl w:ilvl="5" w:tentative="0">
      <w:start w:val="1"/>
      <w:numFmt w:val="decimal"/>
      <w:lvlRestart w:val="2"/>
      <w:suff w:val="space"/>
      <w:lvlText w:val="图%1.%2-%6"/>
      <w:lvlJc w:val="left"/>
      <w:pPr>
        <w:ind w:left="0" w:firstLine="0"/>
      </w:pPr>
      <w:rPr>
        <w:rFonts w:hint="default" w:ascii="Times New Roman" w:hAnsi="Times New Roman" w:eastAsia="宋体" w:cs="宋体"/>
      </w:rPr>
    </w:lvl>
    <w:lvl w:ilvl="6" w:tentative="0">
      <w:start w:val="1"/>
      <w:numFmt w:val="none"/>
      <w:lvlRestart w:val="0"/>
      <w:suff w:val="nothing"/>
      <w:lvlText w:val=""/>
      <w:lvlJc w:val="left"/>
      <w:pPr>
        <w:ind w:left="0" w:firstLine="0"/>
      </w:pPr>
      <w:rPr>
        <w:rFonts w:hint="default" w:ascii="宋体" w:hAnsi="宋体" w:eastAsia="宋体" w:cs="Times New Roman"/>
      </w:rPr>
    </w:lvl>
    <w:lvl w:ilvl="7" w:tentative="0">
      <w:start w:val="1"/>
      <w:numFmt w:val="decimal"/>
      <w:lvlText w:val="%1.%2.%3.%4.%5.%6.%7.%8"/>
      <w:lvlJc w:val="left"/>
      <w:pPr>
        <w:tabs>
          <w:tab w:val="left" w:pos="1440"/>
        </w:tabs>
        <w:ind w:left="0" w:firstLine="0"/>
      </w:pPr>
      <w:rPr>
        <w:rFonts w:hint="eastAsia"/>
      </w:rPr>
    </w:lvl>
    <w:lvl w:ilvl="8" w:tentative="0">
      <w:start w:val="1"/>
      <w:numFmt w:val="decimal"/>
      <w:lvlText w:val="%1.%2.%3.%4.%5.%6.%7.%8.%9"/>
      <w:lvlJc w:val="left"/>
      <w:pPr>
        <w:tabs>
          <w:tab w:val="left" w:pos="1584"/>
        </w:tabs>
        <w:ind w:left="0" w:firstLine="0"/>
      </w:pPr>
      <w:rPr>
        <w:rFonts w:hint="eastAsia"/>
      </w:rPr>
    </w:lvl>
  </w:abstractNum>
  <w:abstractNum w:abstractNumId="6">
    <w:nsid w:val="2E574A33"/>
    <w:multiLevelType w:val="singleLevel"/>
    <w:tmpl w:val="2E574A33"/>
    <w:lvl w:ilvl="0" w:tentative="0">
      <w:start w:val="3"/>
      <w:numFmt w:val="decimal"/>
      <w:suff w:val="nothing"/>
      <w:lvlText w:val="%1）"/>
      <w:lvlJc w:val="left"/>
    </w:lvl>
  </w:abstractNum>
  <w:abstractNum w:abstractNumId="7">
    <w:nsid w:val="59C9438F"/>
    <w:multiLevelType w:val="multilevel"/>
    <w:tmpl w:val="59C9438F"/>
    <w:lvl w:ilvl="0" w:tentative="0">
      <w:start w:val="1"/>
      <w:numFmt w:val="decimal"/>
      <w:suff w:val="space"/>
      <w:lvlText w:val="%1"/>
      <w:lvlJc w:val="left"/>
      <w:pPr>
        <w:ind w:left="0" w:firstLine="0"/>
      </w:pPr>
      <w:rPr>
        <w:rFonts w:hint="default" w:ascii="Times New Roman" w:hAnsi="Times New Roman" w:eastAsia="宋体" w:cs="Times New Roman"/>
      </w:rPr>
    </w:lvl>
    <w:lvl w:ilvl="1" w:tentative="0">
      <w:start w:val="1"/>
      <w:numFmt w:val="decimal"/>
      <w:pStyle w:val="16"/>
      <w:suff w:val="space"/>
      <w:lvlText w:val="%1.%2"/>
      <w:lvlJc w:val="left"/>
      <w:pPr>
        <w:ind w:left="0" w:firstLine="0"/>
      </w:pPr>
      <w:rPr>
        <w:rFonts w:hint="default" w:ascii="Times New Roman" w:hAnsi="Times New Roman" w:eastAsia="宋体" w:cs="Times New Roman"/>
        <w:sz w:val="30"/>
        <w:szCs w:val="30"/>
      </w:rPr>
    </w:lvl>
    <w:lvl w:ilvl="2" w:tentative="0">
      <w:start w:val="1"/>
      <w:numFmt w:val="decimal"/>
      <w:suff w:val="space"/>
      <w:lvlText w:val="%1.%2.%3"/>
      <w:lvlJc w:val="left"/>
      <w:pPr>
        <w:ind w:left="0" w:firstLine="0"/>
      </w:pPr>
    </w:lvl>
    <w:lvl w:ilvl="3" w:tentative="0">
      <w:start w:val="1"/>
      <w:numFmt w:val="decimal"/>
      <w:suff w:val="space"/>
      <w:lvlText w:val="%1.%2.%3.%4"/>
      <w:lvlJc w:val="left"/>
      <w:pPr>
        <w:ind w:left="0" w:firstLine="0"/>
      </w:pPr>
      <w:rPr>
        <w:rFonts w:hint="eastAsia" w:ascii="Times New Roman" w:hAnsi="Times New Roman" w:cs="Times New Roman"/>
        <w:bCs w:val="0"/>
        <w:i w:val="0"/>
        <w:iCs w:val="0"/>
        <w:caps w:val="0"/>
        <w:smallCaps w:val="0"/>
        <w:strike w:val="0"/>
        <w:dstrike w:val="0"/>
        <w:outline w:val="0"/>
        <w:shadow w:val="0"/>
        <w:emboss w:val="0"/>
        <w:imprint w:val="0"/>
        <w:vanish w:val="0"/>
        <w:spacing w:val="0"/>
        <w:position w:val="0"/>
        <w:u w:val="none"/>
        <w:vertAlign w:val="baseline"/>
      </w:rPr>
    </w:lvl>
    <w:lvl w:ilvl="4" w:tentative="0">
      <w:start w:val="1"/>
      <w:numFmt w:val="decimal"/>
      <w:lvlRestart w:val="2"/>
      <w:suff w:val="space"/>
      <w:lvlText w:val="表%1.%2-%5"/>
      <w:lvlJc w:val="left"/>
      <w:pPr>
        <w:ind w:left="2127" w:firstLine="0"/>
      </w:pPr>
      <w:rPr>
        <w:rFonts w:hint="eastAsia"/>
        <w:sz w:val="21"/>
        <w:vertAlign w:val="baseline"/>
      </w:rPr>
    </w:lvl>
    <w:lvl w:ilvl="5" w:tentative="0">
      <w:start w:val="1"/>
      <w:numFmt w:val="decimal"/>
      <w:lvlRestart w:val="2"/>
      <w:suff w:val="space"/>
      <w:lvlText w:val="图%1.%2-%6"/>
      <w:lvlJc w:val="left"/>
      <w:pPr>
        <w:ind w:left="0" w:firstLine="0"/>
      </w:pPr>
      <w:rPr>
        <w:rFonts w:hint="default" w:ascii="Times New Roman" w:hAnsi="Times New Roman" w:eastAsia="宋体" w:cs="宋体"/>
      </w:rPr>
    </w:lvl>
    <w:lvl w:ilvl="6" w:tentative="0">
      <w:start w:val="1"/>
      <w:numFmt w:val="none"/>
      <w:lvlRestart w:val="0"/>
      <w:suff w:val="nothing"/>
      <w:lvlText w:val=""/>
      <w:lvlJc w:val="left"/>
      <w:pPr>
        <w:ind w:left="0" w:firstLine="0"/>
      </w:pPr>
      <w:rPr>
        <w:rFonts w:hint="default" w:ascii="宋体" w:hAnsi="宋体" w:eastAsia="宋体" w:cs="Times New Roman"/>
      </w:rPr>
    </w:lvl>
    <w:lvl w:ilvl="7" w:tentative="0">
      <w:start w:val="1"/>
      <w:numFmt w:val="decimal"/>
      <w:lvlText w:val="%1.%2.%3.%4.%5.%6.%7.%8"/>
      <w:lvlJc w:val="left"/>
      <w:pPr>
        <w:tabs>
          <w:tab w:val="left" w:pos="1440"/>
        </w:tabs>
        <w:ind w:left="0" w:firstLine="0"/>
      </w:pPr>
      <w:rPr>
        <w:rFonts w:hint="eastAsia"/>
      </w:rPr>
    </w:lvl>
    <w:lvl w:ilvl="8" w:tentative="0">
      <w:start w:val="1"/>
      <w:numFmt w:val="decimal"/>
      <w:lvlText w:val="%1.%2.%3.%4.%5.%6.%7.%8.%9"/>
      <w:lvlJc w:val="left"/>
      <w:pPr>
        <w:tabs>
          <w:tab w:val="left" w:pos="1584"/>
        </w:tabs>
        <w:ind w:left="0" w:firstLine="0"/>
      </w:pPr>
      <w:rPr>
        <w:rFonts w:hint="eastAsia"/>
      </w:rPr>
    </w:lvl>
  </w:abstractNum>
  <w:num w:numId="1">
    <w:abstractNumId w:val="7"/>
  </w:num>
  <w:num w:numId="2">
    <w:abstractNumId w:val="2"/>
  </w:num>
  <w:num w:numId="3">
    <w:abstractNumId w:val="5"/>
  </w:num>
  <w:num w:numId="4">
    <w:abstractNumId w:val="1"/>
  </w:num>
  <w:num w:numId="5">
    <w:abstractNumId w:val="3"/>
  </w:num>
  <w:num w:numId="6">
    <w:abstractNumId w:val="0"/>
  </w:num>
  <w:num w:numId="7">
    <w:abstractNumId w:val="6"/>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3"/>
  <w:embedSystem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HorizontalSpacing w:val="105"/>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DEyMWI5MTUzMWI3YWI3NzBiZTMyYzQ0M2MxYzYyMjMifQ=="/>
    <w:docVar w:name="KSO_WPS_MARK_KEY" w:val="9aa10541-e8e9-4e28-9133-a2f050621c6b"/>
  </w:docVars>
  <w:rsids>
    <w:rsidRoot w:val="00172A27"/>
    <w:rsid w:val="00001CED"/>
    <w:rsid w:val="00001E67"/>
    <w:rsid w:val="00003CD8"/>
    <w:rsid w:val="000048AA"/>
    <w:rsid w:val="00005910"/>
    <w:rsid w:val="00006290"/>
    <w:rsid w:val="000068CE"/>
    <w:rsid w:val="00010EB5"/>
    <w:rsid w:val="00014965"/>
    <w:rsid w:val="00014E21"/>
    <w:rsid w:val="00014E37"/>
    <w:rsid w:val="0001523A"/>
    <w:rsid w:val="00016504"/>
    <w:rsid w:val="00016ECB"/>
    <w:rsid w:val="000177D7"/>
    <w:rsid w:val="000269F6"/>
    <w:rsid w:val="00031939"/>
    <w:rsid w:val="00032D25"/>
    <w:rsid w:val="00033798"/>
    <w:rsid w:val="000461D8"/>
    <w:rsid w:val="0005219D"/>
    <w:rsid w:val="000537E7"/>
    <w:rsid w:val="0005568F"/>
    <w:rsid w:val="000569B7"/>
    <w:rsid w:val="00060817"/>
    <w:rsid w:val="0006153D"/>
    <w:rsid w:val="00061B1F"/>
    <w:rsid w:val="0006253B"/>
    <w:rsid w:val="00063FBF"/>
    <w:rsid w:val="000664DB"/>
    <w:rsid w:val="0006748D"/>
    <w:rsid w:val="0007127D"/>
    <w:rsid w:val="00071AE5"/>
    <w:rsid w:val="00074783"/>
    <w:rsid w:val="000801E0"/>
    <w:rsid w:val="00082A29"/>
    <w:rsid w:val="0008331D"/>
    <w:rsid w:val="00083ACC"/>
    <w:rsid w:val="00083C18"/>
    <w:rsid w:val="00086AC7"/>
    <w:rsid w:val="00092899"/>
    <w:rsid w:val="00096C8D"/>
    <w:rsid w:val="000A0D9C"/>
    <w:rsid w:val="000A178E"/>
    <w:rsid w:val="000A557E"/>
    <w:rsid w:val="000B058F"/>
    <w:rsid w:val="000B517D"/>
    <w:rsid w:val="000B693F"/>
    <w:rsid w:val="000C09AC"/>
    <w:rsid w:val="000C0A63"/>
    <w:rsid w:val="000C3AF1"/>
    <w:rsid w:val="000C437E"/>
    <w:rsid w:val="000D2DB0"/>
    <w:rsid w:val="000E38F5"/>
    <w:rsid w:val="000E3FC3"/>
    <w:rsid w:val="000E5F16"/>
    <w:rsid w:val="000F4452"/>
    <w:rsid w:val="000F581A"/>
    <w:rsid w:val="000F6DA1"/>
    <w:rsid w:val="000F701B"/>
    <w:rsid w:val="00100BAB"/>
    <w:rsid w:val="00103FCE"/>
    <w:rsid w:val="001056A0"/>
    <w:rsid w:val="001128D0"/>
    <w:rsid w:val="00115279"/>
    <w:rsid w:val="00117459"/>
    <w:rsid w:val="0011749A"/>
    <w:rsid w:val="00120681"/>
    <w:rsid w:val="00127A68"/>
    <w:rsid w:val="0013076F"/>
    <w:rsid w:val="0013118C"/>
    <w:rsid w:val="00131A10"/>
    <w:rsid w:val="001347D4"/>
    <w:rsid w:val="0013482A"/>
    <w:rsid w:val="00140B13"/>
    <w:rsid w:val="00141B68"/>
    <w:rsid w:val="00143B7F"/>
    <w:rsid w:val="001466DA"/>
    <w:rsid w:val="00154DE1"/>
    <w:rsid w:val="00155B40"/>
    <w:rsid w:val="00157435"/>
    <w:rsid w:val="00157B74"/>
    <w:rsid w:val="00163EEA"/>
    <w:rsid w:val="00167A07"/>
    <w:rsid w:val="0017046A"/>
    <w:rsid w:val="001704A3"/>
    <w:rsid w:val="00172A27"/>
    <w:rsid w:val="0017504D"/>
    <w:rsid w:val="00175CFA"/>
    <w:rsid w:val="00177422"/>
    <w:rsid w:val="001809CA"/>
    <w:rsid w:val="00184F10"/>
    <w:rsid w:val="00185546"/>
    <w:rsid w:val="0019146B"/>
    <w:rsid w:val="00194398"/>
    <w:rsid w:val="001946F9"/>
    <w:rsid w:val="001A7D2A"/>
    <w:rsid w:val="001B574C"/>
    <w:rsid w:val="001B5ACD"/>
    <w:rsid w:val="001C0078"/>
    <w:rsid w:val="001C02B3"/>
    <w:rsid w:val="001C0AF9"/>
    <w:rsid w:val="001C155A"/>
    <w:rsid w:val="001C23BD"/>
    <w:rsid w:val="001C48C0"/>
    <w:rsid w:val="001D6726"/>
    <w:rsid w:val="001E1FE3"/>
    <w:rsid w:val="001E2AA4"/>
    <w:rsid w:val="001E6D4F"/>
    <w:rsid w:val="001F3347"/>
    <w:rsid w:val="001F4440"/>
    <w:rsid w:val="001F69E4"/>
    <w:rsid w:val="0020689E"/>
    <w:rsid w:val="00206A65"/>
    <w:rsid w:val="00212D31"/>
    <w:rsid w:val="002130C7"/>
    <w:rsid w:val="002218A8"/>
    <w:rsid w:val="0022306D"/>
    <w:rsid w:val="00226574"/>
    <w:rsid w:val="002278EC"/>
    <w:rsid w:val="002357C7"/>
    <w:rsid w:val="002367C4"/>
    <w:rsid w:val="002509A1"/>
    <w:rsid w:val="0025679E"/>
    <w:rsid w:val="00260C68"/>
    <w:rsid w:val="002648B0"/>
    <w:rsid w:val="00275271"/>
    <w:rsid w:val="0027535E"/>
    <w:rsid w:val="00275AA6"/>
    <w:rsid w:val="00276441"/>
    <w:rsid w:val="002807D5"/>
    <w:rsid w:val="002817B4"/>
    <w:rsid w:val="00282CCD"/>
    <w:rsid w:val="002969AA"/>
    <w:rsid w:val="00297738"/>
    <w:rsid w:val="002A168C"/>
    <w:rsid w:val="002A17C3"/>
    <w:rsid w:val="002A2C48"/>
    <w:rsid w:val="002A3EED"/>
    <w:rsid w:val="002A4A39"/>
    <w:rsid w:val="002A5A17"/>
    <w:rsid w:val="002A6425"/>
    <w:rsid w:val="002B407D"/>
    <w:rsid w:val="002B49E2"/>
    <w:rsid w:val="002B6531"/>
    <w:rsid w:val="002B7B00"/>
    <w:rsid w:val="002B7C44"/>
    <w:rsid w:val="002C1388"/>
    <w:rsid w:val="002C3C6A"/>
    <w:rsid w:val="002D3810"/>
    <w:rsid w:val="002D42DB"/>
    <w:rsid w:val="002E1F3A"/>
    <w:rsid w:val="002E298A"/>
    <w:rsid w:val="002E3B02"/>
    <w:rsid w:val="002E4AA7"/>
    <w:rsid w:val="002E5B5E"/>
    <w:rsid w:val="002F02A4"/>
    <w:rsid w:val="002F272B"/>
    <w:rsid w:val="002F7181"/>
    <w:rsid w:val="002F7C6D"/>
    <w:rsid w:val="003027E4"/>
    <w:rsid w:val="0030332C"/>
    <w:rsid w:val="00304088"/>
    <w:rsid w:val="00312296"/>
    <w:rsid w:val="0031340E"/>
    <w:rsid w:val="00314856"/>
    <w:rsid w:val="0031557C"/>
    <w:rsid w:val="00316464"/>
    <w:rsid w:val="0032073A"/>
    <w:rsid w:val="00321D8E"/>
    <w:rsid w:val="00334996"/>
    <w:rsid w:val="0033666A"/>
    <w:rsid w:val="00336969"/>
    <w:rsid w:val="00336C52"/>
    <w:rsid w:val="0034111D"/>
    <w:rsid w:val="00341B3E"/>
    <w:rsid w:val="00341B42"/>
    <w:rsid w:val="003437E7"/>
    <w:rsid w:val="00345154"/>
    <w:rsid w:val="0034515C"/>
    <w:rsid w:val="0034560E"/>
    <w:rsid w:val="00350523"/>
    <w:rsid w:val="00352975"/>
    <w:rsid w:val="00356868"/>
    <w:rsid w:val="0036437E"/>
    <w:rsid w:val="0036485B"/>
    <w:rsid w:val="00367FD9"/>
    <w:rsid w:val="00372ADF"/>
    <w:rsid w:val="00373B0D"/>
    <w:rsid w:val="00374F9E"/>
    <w:rsid w:val="00376988"/>
    <w:rsid w:val="003804BF"/>
    <w:rsid w:val="00381A72"/>
    <w:rsid w:val="003A1948"/>
    <w:rsid w:val="003B152A"/>
    <w:rsid w:val="003B545B"/>
    <w:rsid w:val="003C18FE"/>
    <w:rsid w:val="003C54EA"/>
    <w:rsid w:val="003D0A7C"/>
    <w:rsid w:val="003D3EE9"/>
    <w:rsid w:val="003E4509"/>
    <w:rsid w:val="003E6AE3"/>
    <w:rsid w:val="003E7400"/>
    <w:rsid w:val="003E7681"/>
    <w:rsid w:val="003F0809"/>
    <w:rsid w:val="003F2F6E"/>
    <w:rsid w:val="003F4BD6"/>
    <w:rsid w:val="003F611C"/>
    <w:rsid w:val="003F755C"/>
    <w:rsid w:val="00402808"/>
    <w:rsid w:val="00406F01"/>
    <w:rsid w:val="00411B36"/>
    <w:rsid w:val="004121D7"/>
    <w:rsid w:val="00416D50"/>
    <w:rsid w:val="00417772"/>
    <w:rsid w:val="00420E6A"/>
    <w:rsid w:val="00423920"/>
    <w:rsid w:val="00424502"/>
    <w:rsid w:val="00431BDB"/>
    <w:rsid w:val="00433CA9"/>
    <w:rsid w:val="0043521D"/>
    <w:rsid w:val="00442024"/>
    <w:rsid w:val="0044254C"/>
    <w:rsid w:val="00442A69"/>
    <w:rsid w:val="004439BA"/>
    <w:rsid w:val="00443F6A"/>
    <w:rsid w:val="00450A17"/>
    <w:rsid w:val="00455951"/>
    <w:rsid w:val="00462649"/>
    <w:rsid w:val="00465208"/>
    <w:rsid w:val="00466321"/>
    <w:rsid w:val="004672AF"/>
    <w:rsid w:val="004727B0"/>
    <w:rsid w:val="004729E3"/>
    <w:rsid w:val="00474701"/>
    <w:rsid w:val="00475187"/>
    <w:rsid w:val="00480247"/>
    <w:rsid w:val="0048081D"/>
    <w:rsid w:val="0048117E"/>
    <w:rsid w:val="00483806"/>
    <w:rsid w:val="0048417B"/>
    <w:rsid w:val="004855F6"/>
    <w:rsid w:val="00486F0C"/>
    <w:rsid w:val="00494352"/>
    <w:rsid w:val="00494670"/>
    <w:rsid w:val="004A0EB4"/>
    <w:rsid w:val="004A3823"/>
    <w:rsid w:val="004A4148"/>
    <w:rsid w:val="004A59BB"/>
    <w:rsid w:val="004A7059"/>
    <w:rsid w:val="004B2DAA"/>
    <w:rsid w:val="004B43A3"/>
    <w:rsid w:val="004B4C49"/>
    <w:rsid w:val="004B58A5"/>
    <w:rsid w:val="004B63D9"/>
    <w:rsid w:val="004C0882"/>
    <w:rsid w:val="004C55BE"/>
    <w:rsid w:val="004D1CC9"/>
    <w:rsid w:val="004E02AA"/>
    <w:rsid w:val="004E1899"/>
    <w:rsid w:val="004E5B30"/>
    <w:rsid w:val="004E76C2"/>
    <w:rsid w:val="004F0779"/>
    <w:rsid w:val="004F1230"/>
    <w:rsid w:val="004F173F"/>
    <w:rsid w:val="004F177C"/>
    <w:rsid w:val="004F2DCE"/>
    <w:rsid w:val="004F40FA"/>
    <w:rsid w:val="004F6FAA"/>
    <w:rsid w:val="005039CB"/>
    <w:rsid w:val="0050558F"/>
    <w:rsid w:val="005057E0"/>
    <w:rsid w:val="00506286"/>
    <w:rsid w:val="00510813"/>
    <w:rsid w:val="00511DE0"/>
    <w:rsid w:val="00512CFD"/>
    <w:rsid w:val="00517F02"/>
    <w:rsid w:val="0052106F"/>
    <w:rsid w:val="00523532"/>
    <w:rsid w:val="00524547"/>
    <w:rsid w:val="005258A2"/>
    <w:rsid w:val="00530F7C"/>
    <w:rsid w:val="00533190"/>
    <w:rsid w:val="00534567"/>
    <w:rsid w:val="00534F43"/>
    <w:rsid w:val="00535A84"/>
    <w:rsid w:val="00536889"/>
    <w:rsid w:val="00542E07"/>
    <w:rsid w:val="00547A15"/>
    <w:rsid w:val="005534B6"/>
    <w:rsid w:val="00554A7B"/>
    <w:rsid w:val="0055572C"/>
    <w:rsid w:val="0056064F"/>
    <w:rsid w:val="005610E3"/>
    <w:rsid w:val="00561B84"/>
    <w:rsid w:val="0056622A"/>
    <w:rsid w:val="00571D98"/>
    <w:rsid w:val="005720AE"/>
    <w:rsid w:val="00577557"/>
    <w:rsid w:val="0058030D"/>
    <w:rsid w:val="00582045"/>
    <w:rsid w:val="00586504"/>
    <w:rsid w:val="00590AE3"/>
    <w:rsid w:val="005913EC"/>
    <w:rsid w:val="00591530"/>
    <w:rsid w:val="005918F1"/>
    <w:rsid w:val="00591FEC"/>
    <w:rsid w:val="00592AED"/>
    <w:rsid w:val="005A06B7"/>
    <w:rsid w:val="005A1759"/>
    <w:rsid w:val="005A7B27"/>
    <w:rsid w:val="005A7EE7"/>
    <w:rsid w:val="005B56F8"/>
    <w:rsid w:val="005B6FA0"/>
    <w:rsid w:val="005D0369"/>
    <w:rsid w:val="005D2935"/>
    <w:rsid w:val="005D53FE"/>
    <w:rsid w:val="005D7A0F"/>
    <w:rsid w:val="005E0438"/>
    <w:rsid w:val="005E0959"/>
    <w:rsid w:val="005E0AA6"/>
    <w:rsid w:val="005E1791"/>
    <w:rsid w:val="005E2CE6"/>
    <w:rsid w:val="005E31AB"/>
    <w:rsid w:val="005E4F97"/>
    <w:rsid w:val="005E6324"/>
    <w:rsid w:val="005F228B"/>
    <w:rsid w:val="005F29CD"/>
    <w:rsid w:val="005F4DFB"/>
    <w:rsid w:val="005F6CC0"/>
    <w:rsid w:val="00603E5B"/>
    <w:rsid w:val="00604BC8"/>
    <w:rsid w:val="006130F9"/>
    <w:rsid w:val="006143E5"/>
    <w:rsid w:val="00615B4C"/>
    <w:rsid w:val="00615B5D"/>
    <w:rsid w:val="0061631B"/>
    <w:rsid w:val="00620C7C"/>
    <w:rsid w:val="00620ECB"/>
    <w:rsid w:val="0062146F"/>
    <w:rsid w:val="0063134F"/>
    <w:rsid w:val="006343AF"/>
    <w:rsid w:val="0063634A"/>
    <w:rsid w:val="0064250D"/>
    <w:rsid w:val="006535EB"/>
    <w:rsid w:val="00660E12"/>
    <w:rsid w:val="00663016"/>
    <w:rsid w:val="00673A32"/>
    <w:rsid w:val="00674605"/>
    <w:rsid w:val="006748B8"/>
    <w:rsid w:val="0068010D"/>
    <w:rsid w:val="0068535B"/>
    <w:rsid w:val="0068736E"/>
    <w:rsid w:val="0069290A"/>
    <w:rsid w:val="00693D49"/>
    <w:rsid w:val="00695FBC"/>
    <w:rsid w:val="00697032"/>
    <w:rsid w:val="006975AC"/>
    <w:rsid w:val="0069775C"/>
    <w:rsid w:val="00697B39"/>
    <w:rsid w:val="006A04EA"/>
    <w:rsid w:val="006A15FB"/>
    <w:rsid w:val="006A72BF"/>
    <w:rsid w:val="006B332A"/>
    <w:rsid w:val="006B33BD"/>
    <w:rsid w:val="006B6C6D"/>
    <w:rsid w:val="006C1D2C"/>
    <w:rsid w:val="006C3F75"/>
    <w:rsid w:val="006D170E"/>
    <w:rsid w:val="006D6FF7"/>
    <w:rsid w:val="006E06AF"/>
    <w:rsid w:val="006E0F6C"/>
    <w:rsid w:val="006F1789"/>
    <w:rsid w:val="006F3E2B"/>
    <w:rsid w:val="006F59BD"/>
    <w:rsid w:val="006F630C"/>
    <w:rsid w:val="00704336"/>
    <w:rsid w:val="00706C5D"/>
    <w:rsid w:val="007118E6"/>
    <w:rsid w:val="007119B5"/>
    <w:rsid w:val="00712ADD"/>
    <w:rsid w:val="007225C9"/>
    <w:rsid w:val="00730A25"/>
    <w:rsid w:val="00735CD7"/>
    <w:rsid w:val="007421A8"/>
    <w:rsid w:val="00750F67"/>
    <w:rsid w:val="00754034"/>
    <w:rsid w:val="00754BF1"/>
    <w:rsid w:val="00755A30"/>
    <w:rsid w:val="00755E1C"/>
    <w:rsid w:val="00756556"/>
    <w:rsid w:val="007604D0"/>
    <w:rsid w:val="0076132B"/>
    <w:rsid w:val="0076157E"/>
    <w:rsid w:val="007623AE"/>
    <w:rsid w:val="00770B19"/>
    <w:rsid w:val="00774FA0"/>
    <w:rsid w:val="00775B96"/>
    <w:rsid w:val="0077616F"/>
    <w:rsid w:val="00776620"/>
    <w:rsid w:val="00777B6D"/>
    <w:rsid w:val="00784855"/>
    <w:rsid w:val="00784F39"/>
    <w:rsid w:val="0078545C"/>
    <w:rsid w:val="0078623C"/>
    <w:rsid w:val="007906C4"/>
    <w:rsid w:val="00790B56"/>
    <w:rsid w:val="007940EA"/>
    <w:rsid w:val="007964A5"/>
    <w:rsid w:val="007967E8"/>
    <w:rsid w:val="007A0ED7"/>
    <w:rsid w:val="007A4750"/>
    <w:rsid w:val="007A63F2"/>
    <w:rsid w:val="007B5F2D"/>
    <w:rsid w:val="007B68DE"/>
    <w:rsid w:val="007C06A3"/>
    <w:rsid w:val="007C0887"/>
    <w:rsid w:val="007C1857"/>
    <w:rsid w:val="007C514F"/>
    <w:rsid w:val="007C717F"/>
    <w:rsid w:val="007D0F95"/>
    <w:rsid w:val="007D2C17"/>
    <w:rsid w:val="007D603D"/>
    <w:rsid w:val="007D7ECB"/>
    <w:rsid w:val="007E1AA8"/>
    <w:rsid w:val="007E25A1"/>
    <w:rsid w:val="007E4BD2"/>
    <w:rsid w:val="007E7145"/>
    <w:rsid w:val="007F385C"/>
    <w:rsid w:val="007F3916"/>
    <w:rsid w:val="00801179"/>
    <w:rsid w:val="00802479"/>
    <w:rsid w:val="00805372"/>
    <w:rsid w:val="00805B7B"/>
    <w:rsid w:val="0081293E"/>
    <w:rsid w:val="00814FFB"/>
    <w:rsid w:val="00820568"/>
    <w:rsid w:val="00821EEC"/>
    <w:rsid w:val="00825B9D"/>
    <w:rsid w:val="00826E32"/>
    <w:rsid w:val="00831A80"/>
    <w:rsid w:val="008332C8"/>
    <w:rsid w:val="00833743"/>
    <w:rsid w:val="008340A4"/>
    <w:rsid w:val="00836799"/>
    <w:rsid w:val="00837028"/>
    <w:rsid w:val="00837131"/>
    <w:rsid w:val="008402EC"/>
    <w:rsid w:val="00841E0E"/>
    <w:rsid w:val="00842BC6"/>
    <w:rsid w:val="00844862"/>
    <w:rsid w:val="00845F57"/>
    <w:rsid w:val="008521E0"/>
    <w:rsid w:val="008525B0"/>
    <w:rsid w:val="00861204"/>
    <w:rsid w:val="00867CBC"/>
    <w:rsid w:val="00870365"/>
    <w:rsid w:val="0087269C"/>
    <w:rsid w:val="00875F91"/>
    <w:rsid w:val="00876C30"/>
    <w:rsid w:val="00876DBA"/>
    <w:rsid w:val="00877017"/>
    <w:rsid w:val="008773C0"/>
    <w:rsid w:val="00880364"/>
    <w:rsid w:val="00886C4C"/>
    <w:rsid w:val="0088711C"/>
    <w:rsid w:val="00892E6B"/>
    <w:rsid w:val="00892ECF"/>
    <w:rsid w:val="00892F06"/>
    <w:rsid w:val="00894285"/>
    <w:rsid w:val="008A40AE"/>
    <w:rsid w:val="008A450C"/>
    <w:rsid w:val="008A4E19"/>
    <w:rsid w:val="008A67C5"/>
    <w:rsid w:val="008B22E1"/>
    <w:rsid w:val="008B3C78"/>
    <w:rsid w:val="008B4AE9"/>
    <w:rsid w:val="008B7A7E"/>
    <w:rsid w:val="008C30AD"/>
    <w:rsid w:val="008C3CB1"/>
    <w:rsid w:val="008C7A00"/>
    <w:rsid w:val="008D068E"/>
    <w:rsid w:val="008D0EC9"/>
    <w:rsid w:val="008D0F7A"/>
    <w:rsid w:val="008D63BE"/>
    <w:rsid w:val="008E0CFF"/>
    <w:rsid w:val="008E5D6B"/>
    <w:rsid w:val="008E689B"/>
    <w:rsid w:val="008E76F0"/>
    <w:rsid w:val="008F15FE"/>
    <w:rsid w:val="008F2A94"/>
    <w:rsid w:val="008F5187"/>
    <w:rsid w:val="008F6B03"/>
    <w:rsid w:val="008F709C"/>
    <w:rsid w:val="0090312B"/>
    <w:rsid w:val="00904961"/>
    <w:rsid w:val="00904B9B"/>
    <w:rsid w:val="009076F3"/>
    <w:rsid w:val="00911E67"/>
    <w:rsid w:val="0091736D"/>
    <w:rsid w:val="00924B69"/>
    <w:rsid w:val="00930365"/>
    <w:rsid w:val="00931001"/>
    <w:rsid w:val="00931863"/>
    <w:rsid w:val="0093289B"/>
    <w:rsid w:val="00933065"/>
    <w:rsid w:val="00933524"/>
    <w:rsid w:val="00936A6A"/>
    <w:rsid w:val="0094278D"/>
    <w:rsid w:val="009479BB"/>
    <w:rsid w:val="0095308A"/>
    <w:rsid w:val="00955AEE"/>
    <w:rsid w:val="00956C53"/>
    <w:rsid w:val="00956F14"/>
    <w:rsid w:val="009620FD"/>
    <w:rsid w:val="0096247A"/>
    <w:rsid w:val="00965F4B"/>
    <w:rsid w:val="00970C19"/>
    <w:rsid w:val="00970F8A"/>
    <w:rsid w:val="009715E2"/>
    <w:rsid w:val="00971FB5"/>
    <w:rsid w:val="00972D2A"/>
    <w:rsid w:val="00973FB8"/>
    <w:rsid w:val="00975CC5"/>
    <w:rsid w:val="00976328"/>
    <w:rsid w:val="00976B4E"/>
    <w:rsid w:val="00984458"/>
    <w:rsid w:val="00985283"/>
    <w:rsid w:val="00987322"/>
    <w:rsid w:val="009877F9"/>
    <w:rsid w:val="00991C03"/>
    <w:rsid w:val="00993F69"/>
    <w:rsid w:val="009A0F3B"/>
    <w:rsid w:val="009A4099"/>
    <w:rsid w:val="009A4826"/>
    <w:rsid w:val="009A72C7"/>
    <w:rsid w:val="009B0897"/>
    <w:rsid w:val="009B1B73"/>
    <w:rsid w:val="009B7A9E"/>
    <w:rsid w:val="009C0B61"/>
    <w:rsid w:val="009C7C3D"/>
    <w:rsid w:val="009D0852"/>
    <w:rsid w:val="009D1FBF"/>
    <w:rsid w:val="009E399C"/>
    <w:rsid w:val="009E43C1"/>
    <w:rsid w:val="009E5347"/>
    <w:rsid w:val="009E604E"/>
    <w:rsid w:val="009E7E95"/>
    <w:rsid w:val="009F116F"/>
    <w:rsid w:val="009F329E"/>
    <w:rsid w:val="009F7ED3"/>
    <w:rsid w:val="00A02D00"/>
    <w:rsid w:val="00A03602"/>
    <w:rsid w:val="00A03607"/>
    <w:rsid w:val="00A047FF"/>
    <w:rsid w:val="00A04FEF"/>
    <w:rsid w:val="00A122CD"/>
    <w:rsid w:val="00A12A32"/>
    <w:rsid w:val="00A14248"/>
    <w:rsid w:val="00A14947"/>
    <w:rsid w:val="00A23DC5"/>
    <w:rsid w:val="00A34028"/>
    <w:rsid w:val="00A35568"/>
    <w:rsid w:val="00A37056"/>
    <w:rsid w:val="00A408B2"/>
    <w:rsid w:val="00A41695"/>
    <w:rsid w:val="00A4358F"/>
    <w:rsid w:val="00A46F67"/>
    <w:rsid w:val="00A51B41"/>
    <w:rsid w:val="00A54AA1"/>
    <w:rsid w:val="00A568FF"/>
    <w:rsid w:val="00A601FF"/>
    <w:rsid w:val="00A61496"/>
    <w:rsid w:val="00A61833"/>
    <w:rsid w:val="00A624C6"/>
    <w:rsid w:val="00A63CEC"/>
    <w:rsid w:val="00A7031E"/>
    <w:rsid w:val="00A728B1"/>
    <w:rsid w:val="00A755E9"/>
    <w:rsid w:val="00A763DE"/>
    <w:rsid w:val="00A803D6"/>
    <w:rsid w:val="00A81282"/>
    <w:rsid w:val="00A8713F"/>
    <w:rsid w:val="00A91167"/>
    <w:rsid w:val="00A9171C"/>
    <w:rsid w:val="00A92FFD"/>
    <w:rsid w:val="00A95975"/>
    <w:rsid w:val="00A96CA1"/>
    <w:rsid w:val="00A9708D"/>
    <w:rsid w:val="00AA2C17"/>
    <w:rsid w:val="00AA4172"/>
    <w:rsid w:val="00AA659C"/>
    <w:rsid w:val="00AA70FC"/>
    <w:rsid w:val="00AB0ECB"/>
    <w:rsid w:val="00AB1914"/>
    <w:rsid w:val="00AB343F"/>
    <w:rsid w:val="00AB5330"/>
    <w:rsid w:val="00AB7747"/>
    <w:rsid w:val="00AB7A64"/>
    <w:rsid w:val="00AC2532"/>
    <w:rsid w:val="00AC4085"/>
    <w:rsid w:val="00AD1507"/>
    <w:rsid w:val="00AD5A70"/>
    <w:rsid w:val="00AD738B"/>
    <w:rsid w:val="00AE1BF4"/>
    <w:rsid w:val="00AE5D97"/>
    <w:rsid w:val="00AE6794"/>
    <w:rsid w:val="00B01110"/>
    <w:rsid w:val="00B02262"/>
    <w:rsid w:val="00B03CEC"/>
    <w:rsid w:val="00B05904"/>
    <w:rsid w:val="00B059EF"/>
    <w:rsid w:val="00B1209F"/>
    <w:rsid w:val="00B12AD0"/>
    <w:rsid w:val="00B14320"/>
    <w:rsid w:val="00B152A5"/>
    <w:rsid w:val="00B24F30"/>
    <w:rsid w:val="00B31ABF"/>
    <w:rsid w:val="00B335AE"/>
    <w:rsid w:val="00B37CE1"/>
    <w:rsid w:val="00B40ACF"/>
    <w:rsid w:val="00B46BAA"/>
    <w:rsid w:val="00B50B5F"/>
    <w:rsid w:val="00B54128"/>
    <w:rsid w:val="00B55826"/>
    <w:rsid w:val="00B56E19"/>
    <w:rsid w:val="00B60426"/>
    <w:rsid w:val="00B608C9"/>
    <w:rsid w:val="00B622DD"/>
    <w:rsid w:val="00B62E4B"/>
    <w:rsid w:val="00B63522"/>
    <w:rsid w:val="00B63D11"/>
    <w:rsid w:val="00B76F1D"/>
    <w:rsid w:val="00B77A13"/>
    <w:rsid w:val="00B80D10"/>
    <w:rsid w:val="00B820A5"/>
    <w:rsid w:val="00B862BF"/>
    <w:rsid w:val="00B92A19"/>
    <w:rsid w:val="00B9544C"/>
    <w:rsid w:val="00BA29E9"/>
    <w:rsid w:val="00BA5485"/>
    <w:rsid w:val="00BB3618"/>
    <w:rsid w:val="00BC0C9E"/>
    <w:rsid w:val="00BC2937"/>
    <w:rsid w:val="00BC32DC"/>
    <w:rsid w:val="00BD00C1"/>
    <w:rsid w:val="00BD1B51"/>
    <w:rsid w:val="00BD47F6"/>
    <w:rsid w:val="00BE205E"/>
    <w:rsid w:val="00BE312D"/>
    <w:rsid w:val="00BE3FCA"/>
    <w:rsid w:val="00C05719"/>
    <w:rsid w:val="00C10578"/>
    <w:rsid w:val="00C14658"/>
    <w:rsid w:val="00C17D62"/>
    <w:rsid w:val="00C21EB0"/>
    <w:rsid w:val="00C21FDC"/>
    <w:rsid w:val="00C2487A"/>
    <w:rsid w:val="00C24EE7"/>
    <w:rsid w:val="00C2596A"/>
    <w:rsid w:val="00C271BE"/>
    <w:rsid w:val="00C27425"/>
    <w:rsid w:val="00C328FE"/>
    <w:rsid w:val="00C3319F"/>
    <w:rsid w:val="00C33A05"/>
    <w:rsid w:val="00C3484E"/>
    <w:rsid w:val="00C3726E"/>
    <w:rsid w:val="00C416AA"/>
    <w:rsid w:val="00C42500"/>
    <w:rsid w:val="00C4409D"/>
    <w:rsid w:val="00C455BE"/>
    <w:rsid w:val="00C51E5F"/>
    <w:rsid w:val="00C528D4"/>
    <w:rsid w:val="00C5688E"/>
    <w:rsid w:val="00C61E4B"/>
    <w:rsid w:val="00C62E3A"/>
    <w:rsid w:val="00C64503"/>
    <w:rsid w:val="00C64A1F"/>
    <w:rsid w:val="00C64BFF"/>
    <w:rsid w:val="00C763C9"/>
    <w:rsid w:val="00C80057"/>
    <w:rsid w:val="00C800DF"/>
    <w:rsid w:val="00C82C79"/>
    <w:rsid w:val="00C84753"/>
    <w:rsid w:val="00C8523B"/>
    <w:rsid w:val="00C91611"/>
    <w:rsid w:val="00C9196E"/>
    <w:rsid w:val="00C95748"/>
    <w:rsid w:val="00CA3585"/>
    <w:rsid w:val="00CA3D5A"/>
    <w:rsid w:val="00CA4C7C"/>
    <w:rsid w:val="00CB0183"/>
    <w:rsid w:val="00CB1EA3"/>
    <w:rsid w:val="00CB3AED"/>
    <w:rsid w:val="00CB552C"/>
    <w:rsid w:val="00CB6A9E"/>
    <w:rsid w:val="00CB77BE"/>
    <w:rsid w:val="00CC0B88"/>
    <w:rsid w:val="00CC6181"/>
    <w:rsid w:val="00CD2BCD"/>
    <w:rsid w:val="00CD36AA"/>
    <w:rsid w:val="00CD3791"/>
    <w:rsid w:val="00CD65B0"/>
    <w:rsid w:val="00CD78B3"/>
    <w:rsid w:val="00CE02CD"/>
    <w:rsid w:val="00CE10E9"/>
    <w:rsid w:val="00CF2C5E"/>
    <w:rsid w:val="00D0072E"/>
    <w:rsid w:val="00D14E6E"/>
    <w:rsid w:val="00D15727"/>
    <w:rsid w:val="00D16332"/>
    <w:rsid w:val="00D1725D"/>
    <w:rsid w:val="00D24972"/>
    <w:rsid w:val="00D24D3F"/>
    <w:rsid w:val="00D2515E"/>
    <w:rsid w:val="00D308ED"/>
    <w:rsid w:val="00D3231A"/>
    <w:rsid w:val="00D56178"/>
    <w:rsid w:val="00D56CF0"/>
    <w:rsid w:val="00D56F5C"/>
    <w:rsid w:val="00D704B1"/>
    <w:rsid w:val="00D70B63"/>
    <w:rsid w:val="00D72179"/>
    <w:rsid w:val="00D72B92"/>
    <w:rsid w:val="00D72ED4"/>
    <w:rsid w:val="00D73F61"/>
    <w:rsid w:val="00D754C0"/>
    <w:rsid w:val="00D776A2"/>
    <w:rsid w:val="00D801C4"/>
    <w:rsid w:val="00D81FD1"/>
    <w:rsid w:val="00D8405B"/>
    <w:rsid w:val="00D90836"/>
    <w:rsid w:val="00D95896"/>
    <w:rsid w:val="00D95CC6"/>
    <w:rsid w:val="00D96FEF"/>
    <w:rsid w:val="00DA2DA3"/>
    <w:rsid w:val="00DA6615"/>
    <w:rsid w:val="00DA76AE"/>
    <w:rsid w:val="00DB181E"/>
    <w:rsid w:val="00DB1C7A"/>
    <w:rsid w:val="00DB2983"/>
    <w:rsid w:val="00DB343D"/>
    <w:rsid w:val="00DB5579"/>
    <w:rsid w:val="00DB5CFE"/>
    <w:rsid w:val="00DB7301"/>
    <w:rsid w:val="00DC24AD"/>
    <w:rsid w:val="00DC72A6"/>
    <w:rsid w:val="00DD2113"/>
    <w:rsid w:val="00DD265E"/>
    <w:rsid w:val="00DE1B7F"/>
    <w:rsid w:val="00DE53DC"/>
    <w:rsid w:val="00DF1930"/>
    <w:rsid w:val="00DF514A"/>
    <w:rsid w:val="00E01839"/>
    <w:rsid w:val="00E0358D"/>
    <w:rsid w:val="00E06327"/>
    <w:rsid w:val="00E14AA2"/>
    <w:rsid w:val="00E14E23"/>
    <w:rsid w:val="00E16FE2"/>
    <w:rsid w:val="00E2064B"/>
    <w:rsid w:val="00E22410"/>
    <w:rsid w:val="00E242FC"/>
    <w:rsid w:val="00E25239"/>
    <w:rsid w:val="00E265B1"/>
    <w:rsid w:val="00E275B0"/>
    <w:rsid w:val="00E325B3"/>
    <w:rsid w:val="00E412D0"/>
    <w:rsid w:val="00E47CDB"/>
    <w:rsid w:val="00E537ED"/>
    <w:rsid w:val="00E566BC"/>
    <w:rsid w:val="00E60982"/>
    <w:rsid w:val="00E60C8D"/>
    <w:rsid w:val="00E6162F"/>
    <w:rsid w:val="00E6311B"/>
    <w:rsid w:val="00E65D97"/>
    <w:rsid w:val="00E67EFD"/>
    <w:rsid w:val="00E702DC"/>
    <w:rsid w:val="00E71FFB"/>
    <w:rsid w:val="00E73AE4"/>
    <w:rsid w:val="00E76D1D"/>
    <w:rsid w:val="00E806F8"/>
    <w:rsid w:val="00E8214F"/>
    <w:rsid w:val="00E8288C"/>
    <w:rsid w:val="00E839F8"/>
    <w:rsid w:val="00E87752"/>
    <w:rsid w:val="00E8793B"/>
    <w:rsid w:val="00E90F81"/>
    <w:rsid w:val="00E91A6D"/>
    <w:rsid w:val="00E9242D"/>
    <w:rsid w:val="00E962BC"/>
    <w:rsid w:val="00EA24BB"/>
    <w:rsid w:val="00EB041C"/>
    <w:rsid w:val="00EB4D75"/>
    <w:rsid w:val="00EB7291"/>
    <w:rsid w:val="00EB7B9B"/>
    <w:rsid w:val="00EC3949"/>
    <w:rsid w:val="00EC5874"/>
    <w:rsid w:val="00ED192D"/>
    <w:rsid w:val="00ED30B4"/>
    <w:rsid w:val="00ED31F5"/>
    <w:rsid w:val="00ED6FD8"/>
    <w:rsid w:val="00EF2759"/>
    <w:rsid w:val="00EF45EB"/>
    <w:rsid w:val="00EF5099"/>
    <w:rsid w:val="00EF5B16"/>
    <w:rsid w:val="00EF5E33"/>
    <w:rsid w:val="00F00075"/>
    <w:rsid w:val="00F07822"/>
    <w:rsid w:val="00F15C95"/>
    <w:rsid w:val="00F16AB9"/>
    <w:rsid w:val="00F22985"/>
    <w:rsid w:val="00F241AB"/>
    <w:rsid w:val="00F308E2"/>
    <w:rsid w:val="00F31382"/>
    <w:rsid w:val="00F33238"/>
    <w:rsid w:val="00F35829"/>
    <w:rsid w:val="00F40839"/>
    <w:rsid w:val="00F42868"/>
    <w:rsid w:val="00F465A7"/>
    <w:rsid w:val="00F50B7C"/>
    <w:rsid w:val="00F5202D"/>
    <w:rsid w:val="00F52CF6"/>
    <w:rsid w:val="00F54496"/>
    <w:rsid w:val="00F61097"/>
    <w:rsid w:val="00F65D06"/>
    <w:rsid w:val="00F74345"/>
    <w:rsid w:val="00F74441"/>
    <w:rsid w:val="00F77F30"/>
    <w:rsid w:val="00F82589"/>
    <w:rsid w:val="00F82B19"/>
    <w:rsid w:val="00F846BA"/>
    <w:rsid w:val="00F90AA7"/>
    <w:rsid w:val="00F9212D"/>
    <w:rsid w:val="00FA301A"/>
    <w:rsid w:val="00FA406A"/>
    <w:rsid w:val="00FA5CB6"/>
    <w:rsid w:val="00FB07D6"/>
    <w:rsid w:val="00FC66AC"/>
    <w:rsid w:val="00FD18F4"/>
    <w:rsid w:val="00FD74B4"/>
    <w:rsid w:val="00FE0E92"/>
    <w:rsid w:val="00FE73DE"/>
    <w:rsid w:val="00FE7A5D"/>
    <w:rsid w:val="00FF2204"/>
    <w:rsid w:val="00FF26E1"/>
    <w:rsid w:val="00FF64AD"/>
    <w:rsid w:val="00FF6FCE"/>
    <w:rsid w:val="00FF7518"/>
    <w:rsid w:val="00FF7FD8"/>
    <w:rsid w:val="010A3464"/>
    <w:rsid w:val="010C3ADF"/>
    <w:rsid w:val="010D7DD7"/>
    <w:rsid w:val="01141165"/>
    <w:rsid w:val="01176EA7"/>
    <w:rsid w:val="012A0989"/>
    <w:rsid w:val="01510884"/>
    <w:rsid w:val="016D4D19"/>
    <w:rsid w:val="0181458A"/>
    <w:rsid w:val="018856AF"/>
    <w:rsid w:val="018A0F14"/>
    <w:rsid w:val="018C0765"/>
    <w:rsid w:val="01A324E9"/>
    <w:rsid w:val="01B42948"/>
    <w:rsid w:val="01B62E2C"/>
    <w:rsid w:val="01CF5159"/>
    <w:rsid w:val="01D31873"/>
    <w:rsid w:val="01E75CDB"/>
    <w:rsid w:val="01EF572E"/>
    <w:rsid w:val="01F46C6A"/>
    <w:rsid w:val="01FB2325"/>
    <w:rsid w:val="020C62E0"/>
    <w:rsid w:val="020E3E06"/>
    <w:rsid w:val="022655F4"/>
    <w:rsid w:val="02337D11"/>
    <w:rsid w:val="02405A0D"/>
    <w:rsid w:val="025811AF"/>
    <w:rsid w:val="02672F4B"/>
    <w:rsid w:val="02707F17"/>
    <w:rsid w:val="027653BD"/>
    <w:rsid w:val="02820350"/>
    <w:rsid w:val="02851BD8"/>
    <w:rsid w:val="0292348F"/>
    <w:rsid w:val="02AF6C05"/>
    <w:rsid w:val="02B52A48"/>
    <w:rsid w:val="02DA1F3A"/>
    <w:rsid w:val="02DF57A3"/>
    <w:rsid w:val="03036374"/>
    <w:rsid w:val="0314369E"/>
    <w:rsid w:val="031C69F7"/>
    <w:rsid w:val="031D7830"/>
    <w:rsid w:val="03245DB2"/>
    <w:rsid w:val="0332621A"/>
    <w:rsid w:val="033C0E47"/>
    <w:rsid w:val="034E1DBA"/>
    <w:rsid w:val="034F5D29"/>
    <w:rsid w:val="03525F75"/>
    <w:rsid w:val="03722143"/>
    <w:rsid w:val="037C6C4B"/>
    <w:rsid w:val="039268A9"/>
    <w:rsid w:val="039B087C"/>
    <w:rsid w:val="039B3DC0"/>
    <w:rsid w:val="03A964DC"/>
    <w:rsid w:val="03AC1B29"/>
    <w:rsid w:val="03AC52B5"/>
    <w:rsid w:val="03B804CE"/>
    <w:rsid w:val="03C86237"/>
    <w:rsid w:val="03D14550"/>
    <w:rsid w:val="03E43FA7"/>
    <w:rsid w:val="03EE0393"/>
    <w:rsid w:val="03F45D7F"/>
    <w:rsid w:val="03FB03BA"/>
    <w:rsid w:val="040A1242"/>
    <w:rsid w:val="041871BE"/>
    <w:rsid w:val="04191ABA"/>
    <w:rsid w:val="04234F58"/>
    <w:rsid w:val="04300633"/>
    <w:rsid w:val="0438160E"/>
    <w:rsid w:val="043D242C"/>
    <w:rsid w:val="044E498E"/>
    <w:rsid w:val="045102C3"/>
    <w:rsid w:val="046C12B8"/>
    <w:rsid w:val="046C750A"/>
    <w:rsid w:val="04717BA9"/>
    <w:rsid w:val="04C6374F"/>
    <w:rsid w:val="04DA26C6"/>
    <w:rsid w:val="04E15802"/>
    <w:rsid w:val="04EB6681"/>
    <w:rsid w:val="04F41EFB"/>
    <w:rsid w:val="04F83355"/>
    <w:rsid w:val="05045912"/>
    <w:rsid w:val="050E43BF"/>
    <w:rsid w:val="05121E5F"/>
    <w:rsid w:val="052120A3"/>
    <w:rsid w:val="052D4EEB"/>
    <w:rsid w:val="0548762F"/>
    <w:rsid w:val="05681381"/>
    <w:rsid w:val="056B77C2"/>
    <w:rsid w:val="056E36D4"/>
    <w:rsid w:val="05705DB7"/>
    <w:rsid w:val="05742AC8"/>
    <w:rsid w:val="0577196F"/>
    <w:rsid w:val="05776166"/>
    <w:rsid w:val="0584418A"/>
    <w:rsid w:val="05BD613B"/>
    <w:rsid w:val="05C82A29"/>
    <w:rsid w:val="05EE467B"/>
    <w:rsid w:val="05EF03F3"/>
    <w:rsid w:val="06007623"/>
    <w:rsid w:val="060A2B37"/>
    <w:rsid w:val="06277ED4"/>
    <w:rsid w:val="062B48CF"/>
    <w:rsid w:val="06316315"/>
    <w:rsid w:val="06352F05"/>
    <w:rsid w:val="0639166E"/>
    <w:rsid w:val="063E7D85"/>
    <w:rsid w:val="065A1D10"/>
    <w:rsid w:val="066C1A43"/>
    <w:rsid w:val="067642A4"/>
    <w:rsid w:val="06783F44"/>
    <w:rsid w:val="067C6A21"/>
    <w:rsid w:val="068C5093"/>
    <w:rsid w:val="069A210C"/>
    <w:rsid w:val="06A765D7"/>
    <w:rsid w:val="06AC65AF"/>
    <w:rsid w:val="06AD0181"/>
    <w:rsid w:val="06B75171"/>
    <w:rsid w:val="06BC0F70"/>
    <w:rsid w:val="06C57E6F"/>
    <w:rsid w:val="06CC603E"/>
    <w:rsid w:val="06E72CB0"/>
    <w:rsid w:val="06F7130D"/>
    <w:rsid w:val="07084972"/>
    <w:rsid w:val="070875E0"/>
    <w:rsid w:val="071719AF"/>
    <w:rsid w:val="071D689A"/>
    <w:rsid w:val="07293586"/>
    <w:rsid w:val="07295285"/>
    <w:rsid w:val="0749236A"/>
    <w:rsid w:val="07770C56"/>
    <w:rsid w:val="07794418"/>
    <w:rsid w:val="077C55BA"/>
    <w:rsid w:val="07854B6B"/>
    <w:rsid w:val="078C54F9"/>
    <w:rsid w:val="078D6F37"/>
    <w:rsid w:val="079F0AA0"/>
    <w:rsid w:val="07B83CFD"/>
    <w:rsid w:val="07C600D1"/>
    <w:rsid w:val="07CF5DE6"/>
    <w:rsid w:val="07D94835"/>
    <w:rsid w:val="07E21FBD"/>
    <w:rsid w:val="07EC6298"/>
    <w:rsid w:val="07ED0240"/>
    <w:rsid w:val="07F341CA"/>
    <w:rsid w:val="07F4584C"/>
    <w:rsid w:val="08044AD5"/>
    <w:rsid w:val="080F704F"/>
    <w:rsid w:val="08230990"/>
    <w:rsid w:val="08296CA4"/>
    <w:rsid w:val="083A10B9"/>
    <w:rsid w:val="084408D6"/>
    <w:rsid w:val="08567150"/>
    <w:rsid w:val="085A5FF7"/>
    <w:rsid w:val="088F5575"/>
    <w:rsid w:val="08A9103C"/>
    <w:rsid w:val="08AF3CFA"/>
    <w:rsid w:val="08CE0793"/>
    <w:rsid w:val="08CE609D"/>
    <w:rsid w:val="08D00E36"/>
    <w:rsid w:val="08F21CF9"/>
    <w:rsid w:val="091F4B4B"/>
    <w:rsid w:val="092217DD"/>
    <w:rsid w:val="0926412B"/>
    <w:rsid w:val="09302C3D"/>
    <w:rsid w:val="09320D22"/>
    <w:rsid w:val="09385C0D"/>
    <w:rsid w:val="093A7294"/>
    <w:rsid w:val="09727371"/>
    <w:rsid w:val="09842C00"/>
    <w:rsid w:val="09A236BF"/>
    <w:rsid w:val="09BA02A1"/>
    <w:rsid w:val="09C55650"/>
    <w:rsid w:val="0A1C108A"/>
    <w:rsid w:val="0A377A8F"/>
    <w:rsid w:val="0A5F7DCC"/>
    <w:rsid w:val="0A6C7BC0"/>
    <w:rsid w:val="0A6F38B0"/>
    <w:rsid w:val="0A7A32A8"/>
    <w:rsid w:val="0A7E1D45"/>
    <w:rsid w:val="0A7E6E75"/>
    <w:rsid w:val="0A801619"/>
    <w:rsid w:val="0A901DFD"/>
    <w:rsid w:val="0A9357F1"/>
    <w:rsid w:val="0A936B58"/>
    <w:rsid w:val="0A951569"/>
    <w:rsid w:val="0AA5064D"/>
    <w:rsid w:val="0AAD755F"/>
    <w:rsid w:val="0AAE43D8"/>
    <w:rsid w:val="0AB319EF"/>
    <w:rsid w:val="0AB45767"/>
    <w:rsid w:val="0ACE05D7"/>
    <w:rsid w:val="0AE222D4"/>
    <w:rsid w:val="0AE61AEF"/>
    <w:rsid w:val="0B065FC2"/>
    <w:rsid w:val="0B0E1FDD"/>
    <w:rsid w:val="0B1A6C98"/>
    <w:rsid w:val="0B1C0AEA"/>
    <w:rsid w:val="0B3A06A9"/>
    <w:rsid w:val="0B3E5FBA"/>
    <w:rsid w:val="0B436C9C"/>
    <w:rsid w:val="0B490912"/>
    <w:rsid w:val="0B5A630E"/>
    <w:rsid w:val="0B863C62"/>
    <w:rsid w:val="0B9510F4"/>
    <w:rsid w:val="0B9628F8"/>
    <w:rsid w:val="0B9A495D"/>
    <w:rsid w:val="0B9D6D88"/>
    <w:rsid w:val="0BA13F4A"/>
    <w:rsid w:val="0BAE488A"/>
    <w:rsid w:val="0BB772BD"/>
    <w:rsid w:val="0BB91287"/>
    <w:rsid w:val="0BC90E28"/>
    <w:rsid w:val="0BD27BF6"/>
    <w:rsid w:val="0BDA11FD"/>
    <w:rsid w:val="0BDE4D19"/>
    <w:rsid w:val="0BE45BC4"/>
    <w:rsid w:val="0BE81B6C"/>
    <w:rsid w:val="0BED101D"/>
    <w:rsid w:val="0C033E63"/>
    <w:rsid w:val="0C134F7E"/>
    <w:rsid w:val="0C272694"/>
    <w:rsid w:val="0C2C2F68"/>
    <w:rsid w:val="0C6C00A7"/>
    <w:rsid w:val="0C797D50"/>
    <w:rsid w:val="0C8A49D1"/>
    <w:rsid w:val="0C8C24F7"/>
    <w:rsid w:val="0CB722F5"/>
    <w:rsid w:val="0CC55A09"/>
    <w:rsid w:val="0CD0362A"/>
    <w:rsid w:val="0CD55045"/>
    <w:rsid w:val="0CE916F8"/>
    <w:rsid w:val="0CF06F2A"/>
    <w:rsid w:val="0D0A4DDC"/>
    <w:rsid w:val="0D0C3638"/>
    <w:rsid w:val="0D103128"/>
    <w:rsid w:val="0D116EA1"/>
    <w:rsid w:val="0D1733CB"/>
    <w:rsid w:val="0D1B7D7B"/>
    <w:rsid w:val="0D2512DC"/>
    <w:rsid w:val="0D272220"/>
    <w:rsid w:val="0D3E26CF"/>
    <w:rsid w:val="0D4903E8"/>
    <w:rsid w:val="0D5E3267"/>
    <w:rsid w:val="0D682563"/>
    <w:rsid w:val="0D6B4803"/>
    <w:rsid w:val="0D7C3B01"/>
    <w:rsid w:val="0D7C4FAB"/>
    <w:rsid w:val="0D8633EB"/>
    <w:rsid w:val="0D8A64FB"/>
    <w:rsid w:val="0D8D2673"/>
    <w:rsid w:val="0D933D59"/>
    <w:rsid w:val="0DA23FE2"/>
    <w:rsid w:val="0DA33F9D"/>
    <w:rsid w:val="0DBE0DD6"/>
    <w:rsid w:val="0DC51F28"/>
    <w:rsid w:val="0DCD726B"/>
    <w:rsid w:val="0DE255F7"/>
    <w:rsid w:val="0DFB0EEC"/>
    <w:rsid w:val="0E110D06"/>
    <w:rsid w:val="0E15651D"/>
    <w:rsid w:val="0E1A3B33"/>
    <w:rsid w:val="0E230C39"/>
    <w:rsid w:val="0E4D5CB6"/>
    <w:rsid w:val="0E5352C3"/>
    <w:rsid w:val="0E581D00"/>
    <w:rsid w:val="0E6A6868"/>
    <w:rsid w:val="0E6D6359"/>
    <w:rsid w:val="0E7C47EE"/>
    <w:rsid w:val="0E800256"/>
    <w:rsid w:val="0E835B7C"/>
    <w:rsid w:val="0E875C90"/>
    <w:rsid w:val="0E9438E5"/>
    <w:rsid w:val="0EAD2BF9"/>
    <w:rsid w:val="0EBA3D28"/>
    <w:rsid w:val="0EC95C85"/>
    <w:rsid w:val="0ED525D1"/>
    <w:rsid w:val="0ED800D2"/>
    <w:rsid w:val="0ED818B2"/>
    <w:rsid w:val="0EDD34DE"/>
    <w:rsid w:val="0EE749C6"/>
    <w:rsid w:val="0EEC4678"/>
    <w:rsid w:val="0EFF16A6"/>
    <w:rsid w:val="0F073DDF"/>
    <w:rsid w:val="0F13775A"/>
    <w:rsid w:val="0F183558"/>
    <w:rsid w:val="0F192FFD"/>
    <w:rsid w:val="0F1F58A5"/>
    <w:rsid w:val="0F2922CC"/>
    <w:rsid w:val="0F3B6457"/>
    <w:rsid w:val="0F491C79"/>
    <w:rsid w:val="0F5D0D44"/>
    <w:rsid w:val="0F9A112B"/>
    <w:rsid w:val="0FA77648"/>
    <w:rsid w:val="1009024C"/>
    <w:rsid w:val="100B45DD"/>
    <w:rsid w:val="100C40A0"/>
    <w:rsid w:val="102173FB"/>
    <w:rsid w:val="10246EEB"/>
    <w:rsid w:val="10286214"/>
    <w:rsid w:val="103C2486"/>
    <w:rsid w:val="103E1D5B"/>
    <w:rsid w:val="1045758D"/>
    <w:rsid w:val="104D4694"/>
    <w:rsid w:val="106D2F64"/>
    <w:rsid w:val="107472AF"/>
    <w:rsid w:val="107D4233"/>
    <w:rsid w:val="10854C8B"/>
    <w:rsid w:val="10915F18"/>
    <w:rsid w:val="10936346"/>
    <w:rsid w:val="10A861E6"/>
    <w:rsid w:val="10AA7782"/>
    <w:rsid w:val="10B36C33"/>
    <w:rsid w:val="10B63710"/>
    <w:rsid w:val="10C761F4"/>
    <w:rsid w:val="10DE48CA"/>
    <w:rsid w:val="10E30B54"/>
    <w:rsid w:val="10E51C66"/>
    <w:rsid w:val="111A3B43"/>
    <w:rsid w:val="111C2F7A"/>
    <w:rsid w:val="113013DE"/>
    <w:rsid w:val="11337864"/>
    <w:rsid w:val="114F313B"/>
    <w:rsid w:val="11551A52"/>
    <w:rsid w:val="116422AD"/>
    <w:rsid w:val="1170063A"/>
    <w:rsid w:val="117F262B"/>
    <w:rsid w:val="11800151"/>
    <w:rsid w:val="11845E93"/>
    <w:rsid w:val="119838F5"/>
    <w:rsid w:val="11AA463D"/>
    <w:rsid w:val="11B147AE"/>
    <w:rsid w:val="11BA3663"/>
    <w:rsid w:val="11D566EF"/>
    <w:rsid w:val="11F50B3F"/>
    <w:rsid w:val="12054DD5"/>
    <w:rsid w:val="121F5BBC"/>
    <w:rsid w:val="122356AC"/>
    <w:rsid w:val="122B06C2"/>
    <w:rsid w:val="12395518"/>
    <w:rsid w:val="1245309B"/>
    <w:rsid w:val="124675EC"/>
    <w:rsid w:val="124E7C83"/>
    <w:rsid w:val="125A606E"/>
    <w:rsid w:val="125B6DD1"/>
    <w:rsid w:val="125C16B0"/>
    <w:rsid w:val="125D297E"/>
    <w:rsid w:val="12704669"/>
    <w:rsid w:val="127F665A"/>
    <w:rsid w:val="12B1012B"/>
    <w:rsid w:val="12B674BA"/>
    <w:rsid w:val="12BA6738"/>
    <w:rsid w:val="12D2223E"/>
    <w:rsid w:val="12DE51F0"/>
    <w:rsid w:val="12EC7E23"/>
    <w:rsid w:val="12EF12A4"/>
    <w:rsid w:val="12F25FF2"/>
    <w:rsid w:val="12F40DF6"/>
    <w:rsid w:val="12FC3DBC"/>
    <w:rsid w:val="12FD00AD"/>
    <w:rsid w:val="13021765"/>
    <w:rsid w:val="130B7EEE"/>
    <w:rsid w:val="130C25E4"/>
    <w:rsid w:val="13113756"/>
    <w:rsid w:val="132D1F38"/>
    <w:rsid w:val="13370CE3"/>
    <w:rsid w:val="13385187"/>
    <w:rsid w:val="1340747B"/>
    <w:rsid w:val="13627064"/>
    <w:rsid w:val="136F6EA1"/>
    <w:rsid w:val="1379754E"/>
    <w:rsid w:val="13891875"/>
    <w:rsid w:val="139323BD"/>
    <w:rsid w:val="13951726"/>
    <w:rsid w:val="13954F26"/>
    <w:rsid w:val="139E1CBE"/>
    <w:rsid w:val="139F1F37"/>
    <w:rsid w:val="13AF2F6F"/>
    <w:rsid w:val="13C133CE"/>
    <w:rsid w:val="13D55C3B"/>
    <w:rsid w:val="13E0137B"/>
    <w:rsid w:val="13E1581F"/>
    <w:rsid w:val="13E96D1A"/>
    <w:rsid w:val="13F60B9E"/>
    <w:rsid w:val="13FA41EA"/>
    <w:rsid w:val="1404150D"/>
    <w:rsid w:val="141259D8"/>
    <w:rsid w:val="142F3046"/>
    <w:rsid w:val="14396509"/>
    <w:rsid w:val="1447165C"/>
    <w:rsid w:val="1454110D"/>
    <w:rsid w:val="14641C7C"/>
    <w:rsid w:val="14684D4E"/>
    <w:rsid w:val="146A14F7"/>
    <w:rsid w:val="146E6986"/>
    <w:rsid w:val="147E12BF"/>
    <w:rsid w:val="147E55D3"/>
    <w:rsid w:val="14936873"/>
    <w:rsid w:val="14956609"/>
    <w:rsid w:val="14AC2BA5"/>
    <w:rsid w:val="14AD5701"/>
    <w:rsid w:val="14CA1E1F"/>
    <w:rsid w:val="14E904B0"/>
    <w:rsid w:val="14F21366"/>
    <w:rsid w:val="14FD0846"/>
    <w:rsid w:val="15051099"/>
    <w:rsid w:val="150D43F1"/>
    <w:rsid w:val="151032C4"/>
    <w:rsid w:val="151F3D97"/>
    <w:rsid w:val="152922EE"/>
    <w:rsid w:val="15292FC5"/>
    <w:rsid w:val="153059CB"/>
    <w:rsid w:val="15316332"/>
    <w:rsid w:val="15412B4F"/>
    <w:rsid w:val="1561245B"/>
    <w:rsid w:val="156C76B7"/>
    <w:rsid w:val="157978DA"/>
    <w:rsid w:val="158E4707"/>
    <w:rsid w:val="158F54FE"/>
    <w:rsid w:val="159B360E"/>
    <w:rsid w:val="159B3EAF"/>
    <w:rsid w:val="159B4585"/>
    <w:rsid w:val="15A82B61"/>
    <w:rsid w:val="15AD7F2C"/>
    <w:rsid w:val="15AF6136"/>
    <w:rsid w:val="15BC0979"/>
    <w:rsid w:val="15CE3B81"/>
    <w:rsid w:val="15E40814"/>
    <w:rsid w:val="15EC4007"/>
    <w:rsid w:val="15EF5777"/>
    <w:rsid w:val="15FA6724"/>
    <w:rsid w:val="16007AB2"/>
    <w:rsid w:val="160F07DB"/>
    <w:rsid w:val="161A6DC6"/>
    <w:rsid w:val="161B48EC"/>
    <w:rsid w:val="1633527A"/>
    <w:rsid w:val="163A2FC4"/>
    <w:rsid w:val="163D20FF"/>
    <w:rsid w:val="16440055"/>
    <w:rsid w:val="16563C07"/>
    <w:rsid w:val="165E1285"/>
    <w:rsid w:val="166938A9"/>
    <w:rsid w:val="168D4AF4"/>
    <w:rsid w:val="1697220B"/>
    <w:rsid w:val="16B17C2B"/>
    <w:rsid w:val="16C876C0"/>
    <w:rsid w:val="16DE4297"/>
    <w:rsid w:val="16E3540A"/>
    <w:rsid w:val="170B3FA4"/>
    <w:rsid w:val="170F26A3"/>
    <w:rsid w:val="171862D1"/>
    <w:rsid w:val="171A491F"/>
    <w:rsid w:val="172249FA"/>
    <w:rsid w:val="17294D2C"/>
    <w:rsid w:val="17296F6C"/>
    <w:rsid w:val="1733791F"/>
    <w:rsid w:val="17365E81"/>
    <w:rsid w:val="174D6D27"/>
    <w:rsid w:val="174F3B50"/>
    <w:rsid w:val="17525194"/>
    <w:rsid w:val="17735226"/>
    <w:rsid w:val="177A213A"/>
    <w:rsid w:val="177F4246"/>
    <w:rsid w:val="178B57DB"/>
    <w:rsid w:val="17991F6C"/>
    <w:rsid w:val="17A74689"/>
    <w:rsid w:val="17AA4179"/>
    <w:rsid w:val="17B44FF8"/>
    <w:rsid w:val="17B70821"/>
    <w:rsid w:val="17BD4E01"/>
    <w:rsid w:val="17C92852"/>
    <w:rsid w:val="17D24696"/>
    <w:rsid w:val="17D65929"/>
    <w:rsid w:val="17E86A50"/>
    <w:rsid w:val="17E916C3"/>
    <w:rsid w:val="17FD115A"/>
    <w:rsid w:val="17FE5DC6"/>
    <w:rsid w:val="18023FB5"/>
    <w:rsid w:val="18026A60"/>
    <w:rsid w:val="18037914"/>
    <w:rsid w:val="180B23B7"/>
    <w:rsid w:val="180E4708"/>
    <w:rsid w:val="18131D1F"/>
    <w:rsid w:val="183165FB"/>
    <w:rsid w:val="183D6D9C"/>
    <w:rsid w:val="18493992"/>
    <w:rsid w:val="1853036D"/>
    <w:rsid w:val="18581E27"/>
    <w:rsid w:val="185D6C94"/>
    <w:rsid w:val="18753D1E"/>
    <w:rsid w:val="187566B9"/>
    <w:rsid w:val="18846779"/>
    <w:rsid w:val="18856978"/>
    <w:rsid w:val="18B31489"/>
    <w:rsid w:val="18B43089"/>
    <w:rsid w:val="18C15C1F"/>
    <w:rsid w:val="18C27E7F"/>
    <w:rsid w:val="18C66D91"/>
    <w:rsid w:val="18D019BE"/>
    <w:rsid w:val="18D426C3"/>
    <w:rsid w:val="18DD6CDC"/>
    <w:rsid w:val="18E15979"/>
    <w:rsid w:val="18E35B95"/>
    <w:rsid w:val="18E72983"/>
    <w:rsid w:val="190B50EC"/>
    <w:rsid w:val="190D676E"/>
    <w:rsid w:val="19245318"/>
    <w:rsid w:val="19257F5C"/>
    <w:rsid w:val="19333C3D"/>
    <w:rsid w:val="1934225B"/>
    <w:rsid w:val="193B3B10"/>
    <w:rsid w:val="193B777F"/>
    <w:rsid w:val="195919B3"/>
    <w:rsid w:val="195D1737"/>
    <w:rsid w:val="19697608"/>
    <w:rsid w:val="19811B18"/>
    <w:rsid w:val="199E2BFC"/>
    <w:rsid w:val="19A679D2"/>
    <w:rsid w:val="19AF0C44"/>
    <w:rsid w:val="19B17A41"/>
    <w:rsid w:val="19B23720"/>
    <w:rsid w:val="19C257AA"/>
    <w:rsid w:val="19D76D70"/>
    <w:rsid w:val="19F95134"/>
    <w:rsid w:val="1A0D279E"/>
    <w:rsid w:val="1A1C66C0"/>
    <w:rsid w:val="1A3D3083"/>
    <w:rsid w:val="1A42393B"/>
    <w:rsid w:val="1A444411"/>
    <w:rsid w:val="1A642D06"/>
    <w:rsid w:val="1A6802CD"/>
    <w:rsid w:val="1A7D5B75"/>
    <w:rsid w:val="1A94120D"/>
    <w:rsid w:val="1A97157D"/>
    <w:rsid w:val="1A9D6217"/>
    <w:rsid w:val="1AA06A87"/>
    <w:rsid w:val="1AA66184"/>
    <w:rsid w:val="1AB772D9"/>
    <w:rsid w:val="1AC217DA"/>
    <w:rsid w:val="1AC45552"/>
    <w:rsid w:val="1AC77D0E"/>
    <w:rsid w:val="1AC90DBB"/>
    <w:rsid w:val="1AD251B4"/>
    <w:rsid w:val="1ADF413A"/>
    <w:rsid w:val="1AEF6A73"/>
    <w:rsid w:val="1AF37BE5"/>
    <w:rsid w:val="1B046F80"/>
    <w:rsid w:val="1B096E2E"/>
    <w:rsid w:val="1B097409"/>
    <w:rsid w:val="1B1026EE"/>
    <w:rsid w:val="1B1B5294"/>
    <w:rsid w:val="1B3267B5"/>
    <w:rsid w:val="1B3C77DE"/>
    <w:rsid w:val="1B5A7C65"/>
    <w:rsid w:val="1B5E78FC"/>
    <w:rsid w:val="1B634D6B"/>
    <w:rsid w:val="1B8151F1"/>
    <w:rsid w:val="1B851185"/>
    <w:rsid w:val="1B8B2D9F"/>
    <w:rsid w:val="1B917B2A"/>
    <w:rsid w:val="1B9D5DED"/>
    <w:rsid w:val="1BA27539"/>
    <w:rsid w:val="1BBF6165"/>
    <w:rsid w:val="1BC25DC8"/>
    <w:rsid w:val="1BC577D4"/>
    <w:rsid w:val="1C2362A8"/>
    <w:rsid w:val="1C475483"/>
    <w:rsid w:val="1C4F5E80"/>
    <w:rsid w:val="1C587FB0"/>
    <w:rsid w:val="1C5E7925"/>
    <w:rsid w:val="1C6128E9"/>
    <w:rsid w:val="1C712EC9"/>
    <w:rsid w:val="1C887FC8"/>
    <w:rsid w:val="1C981895"/>
    <w:rsid w:val="1C992D0E"/>
    <w:rsid w:val="1C9A5DF9"/>
    <w:rsid w:val="1CAB47FA"/>
    <w:rsid w:val="1CAE3674"/>
    <w:rsid w:val="1CC21F65"/>
    <w:rsid w:val="1D046041"/>
    <w:rsid w:val="1D1E53EE"/>
    <w:rsid w:val="1D4E55A7"/>
    <w:rsid w:val="1D4E7279"/>
    <w:rsid w:val="1D513780"/>
    <w:rsid w:val="1D5675F2"/>
    <w:rsid w:val="1D5D5662"/>
    <w:rsid w:val="1D5F6196"/>
    <w:rsid w:val="1D6132A5"/>
    <w:rsid w:val="1D752B34"/>
    <w:rsid w:val="1D771777"/>
    <w:rsid w:val="1D8E29C0"/>
    <w:rsid w:val="1D8E56D5"/>
    <w:rsid w:val="1D924FD8"/>
    <w:rsid w:val="1DA17DCD"/>
    <w:rsid w:val="1DA20C31"/>
    <w:rsid w:val="1DB16262"/>
    <w:rsid w:val="1DBA2C3C"/>
    <w:rsid w:val="1DFB128B"/>
    <w:rsid w:val="1E122A78"/>
    <w:rsid w:val="1E285DF8"/>
    <w:rsid w:val="1E2B7E0D"/>
    <w:rsid w:val="1E332531"/>
    <w:rsid w:val="1E33639B"/>
    <w:rsid w:val="1E366767"/>
    <w:rsid w:val="1E3A3BD5"/>
    <w:rsid w:val="1E4D0963"/>
    <w:rsid w:val="1E594203"/>
    <w:rsid w:val="1E5B2ED9"/>
    <w:rsid w:val="1E6432D4"/>
    <w:rsid w:val="1E674B72"/>
    <w:rsid w:val="1E6908EA"/>
    <w:rsid w:val="1E7A43DA"/>
    <w:rsid w:val="1EAA4A5F"/>
    <w:rsid w:val="1EB12291"/>
    <w:rsid w:val="1EB148C1"/>
    <w:rsid w:val="1EB277FE"/>
    <w:rsid w:val="1EB65FB7"/>
    <w:rsid w:val="1EC352E4"/>
    <w:rsid w:val="1EC51899"/>
    <w:rsid w:val="1EC55994"/>
    <w:rsid w:val="1ED241B0"/>
    <w:rsid w:val="1ED81A83"/>
    <w:rsid w:val="1EDA5344"/>
    <w:rsid w:val="1EF735B7"/>
    <w:rsid w:val="1EFD1033"/>
    <w:rsid w:val="1F0020BC"/>
    <w:rsid w:val="1F0B19A2"/>
    <w:rsid w:val="1F533349"/>
    <w:rsid w:val="1F74219C"/>
    <w:rsid w:val="1FA71066"/>
    <w:rsid w:val="1FC97167"/>
    <w:rsid w:val="1FD75D28"/>
    <w:rsid w:val="1FE30F60"/>
    <w:rsid w:val="1FE7539E"/>
    <w:rsid w:val="1FF64400"/>
    <w:rsid w:val="2009699D"/>
    <w:rsid w:val="201C308A"/>
    <w:rsid w:val="202964C4"/>
    <w:rsid w:val="202B1BD0"/>
    <w:rsid w:val="202C3EC3"/>
    <w:rsid w:val="20463C39"/>
    <w:rsid w:val="205630F0"/>
    <w:rsid w:val="206B5702"/>
    <w:rsid w:val="208F03B0"/>
    <w:rsid w:val="20963CB8"/>
    <w:rsid w:val="20B07FB6"/>
    <w:rsid w:val="20BB1D43"/>
    <w:rsid w:val="20BB4530"/>
    <w:rsid w:val="20C847C5"/>
    <w:rsid w:val="20D12B0B"/>
    <w:rsid w:val="20F070A1"/>
    <w:rsid w:val="21004E0A"/>
    <w:rsid w:val="211A0AC8"/>
    <w:rsid w:val="21262AC3"/>
    <w:rsid w:val="21294361"/>
    <w:rsid w:val="21297A3C"/>
    <w:rsid w:val="213B74B1"/>
    <w:rsid w:val="215A2310"/>
    <w:rsid w:val="21661111"/>
    <w:rsid w:val="216B7D9C"/>
    <w:rsid w:val="216D40E2"/>
    <w:rsid w:val="216E6218"/>
    <w:rsid w:val="217B4CDE"/>
    <w:rsid w:val="217E7584"/>
    <w:rsid w:val="21A659B2"/>
    <w:rsid w:val="21A954A2"/>
    <w:rsid w:val="21B207FA"/>
    <w:rsid w:val="21B7196D"/>
    <w:rsid w:val="21BC6F83"/>
    <w:rsid w:val="21C127EB"/>
    <w:rsid w:val="21C67E1E"/>
    <w:rsid w:val="21CF4F08"/>
    <w:rsid w:val="21DE318A"/>
    <w:rsid w:val="21DF2C72"/>
    <w:rsid w:val="21EF5B80"/>
    <w:rsid w:val="21FA5580"/>
    <w:rsid w:val="221548E5"/>
    <w:rsid w:val="224B5175"/>
    <w:rsid w:val="2254749D"/>
    <w:rsid w:val="22576990"/>
    <w:rsid w:val="2261255A"/>
    <w:rsid w:val="226A4C31"/>
    <w:rsid w:val="2273035C"/>
    <w:rsid w:val="22821F7B"/>
    <w:rsid w:val="22877591"/>
    <w:rsid w:val="22963C78"/>
    <w:rsid w:val="229879F0"/>
    <w:rsid w:val="229C4EAB"/>
    <w:rsid w:val="22A243CB"/>
    <w:rsid w:val="22BC602F"/>
    <w:rsid w:val="22C81958"/>
    <w:rsid w:val="22C9020A"/>
    <w:rsid w:val="22D4098D"/>
    <w:rsid w:val="22D43C89"/>
    <w:rsid w:val="22D541E0"/>
    <w:rsid w:val="22D87DED"/>
    <w:rsid w:val="22EC3898"/>
    <w:rsid w:val="22F34C27"/>
    <w:rsid w:val="230914A3"/>
    <w:rsid w:val="230C2C7B"/>
    <w:rsid w:val="23260675"/>
    <w:rsid w:val="233D2CBA"/>
    <w:rsid w:val="234D6B54"/>
    <w:rsid w:val="234E00AF"/>
    <w:rsid w:val="23522813"/>
    <w:rsid w:val="236448B7"/>
    <w:rsid w:val="237925D6"/>
    <w:rsid w:val="23812232"/>
    <w:rsid w:val="23931F66"/>
    <w:rsid w:val="239F377F"/>
    <w:rsid w:val="23A1214F"/>
    <w:rsid w:val="23A44173"/>
    <w:rsid w:val="23A45829"/>
    <w:rsid w:val="23AB3753"/>
    <w:rsid w:val="23B31D5F"/>
    <w:rsid w:val="23BC326A"/>
    <w:rsid w:val="23CB4743"/>
    <w:rsid w:val="23D700A4"/>
    <w:rsid w:val="23DE52C6"/>
    <w:rsid w:val="23E7405F"/>
    <w:rsid w:val="24003A9F"/>
    <w:rsid w:val="240B41F2"/>
    <w:rsid w:val="240D3609"/>
    <w:rsid w:val="2420516C"/>
    <w:rsid w:val="24244D9A"/>
    <w:rsid w:val="242F6C30"/>
    <w:rsid w:val="24305014"/>
    <w:rsid w:val="24621831"/>
    <w:rsid w:val="24643484"/>
    <w:rsid w:val="24783510"/>
    <w:rsid w:val="248A09E5"/>
    <w:rsid w:val="248B469D"/>
    <w:rsid w:val="24A24B56"/>
    <w:rsid w:val="24A65CC9"/>
    <w:rsid w:val="24C85C3F"/>
    <w:rsid w:val="24CE164F"/>
    <w:rsid w:val="24D56066"/>
    <w:rsid w:val="24D70E1D"/>
    <w:rsid w:val="24DE1906"/>
    <w:rsid w:val="24E8008F"/>
    <w:rsid w:val="24ED38F7"/>
    <w:rsid w:val="24F829C8"/>
    <w:rsid w:val="24FE5B05"/>
    <w:rsid w:val="250B6EE6"/>
    <w:rsid w:val="251175E6"/>
    <w:rsid w:val="251D6203"/>
    <w:rsid w:val="25201F1F"/>
    <w:rsid w:val="252D53FE"/>
    <w:rsid w:val="252F3F10"/>
    <w:rsid w:val="25427252"/>
    <w:rsid w:val="254479BB"/>
    <w:rsid w:val="2549584E"/>
    <w:rsid w:val="254C061E"/>
    <w:rsid w:val="25565941"/>
    <w:rsid w:val="255821DB"/>
    <w:rsid w:val="2564139D"/>
    <w:rsid w:val="257A525F"/>
    <w:rsid w:val="259F1096"/>
    <w:rsid w:val="25A83A70"/>
    <w:rsid w:val="25AD0680"/>
    <w:rsid w:val="25AE752B"/>
    <w:rsid w:val="25BC1C48"/>
    <w:rsid w:val="25D57534"/>
    <w:rsid w:val="25D845A8"/>
    <w:rsid w:val="25DA0E81"/>
    <w:rsid w:val="25E35426"/>
    <w:rsid w:val="25EB7E37"/>
    <w:rsid w:val="25EC2D81"/>
    <w:rsid w:val="25F405BF"/>
    <w:rsid w:val="262E5F76"/>
    <w:rsid w:val="26301CEE"/>
    <w:rsid w:val="26344532"/>
    <w:rsid w:val="264528BD"/>
    <w:rsid w:val="26720558"/>
    <w:rsid w:val="2674607E"/>
    <w:rsid w:val="26802C75"/>
    <w:rsid w:val="268838D8"/>
    <w:rsid w:val="26895B50"/>
    <w:rsid w:val="269009DE"/>
    <w:rsid w:val="26A1499A"/>
    <w:rsid w:val="26A14AA0"/>
    <w:rsid w:val="26AD2296"/>
    <w:rsid w:val="26AF355A"/>
    <w:rsid w:val="26B4013F"/>
    <w:rsid w:val="26BC7A25"/>
    <w:rsid w:val="26BE72FA"/>
    <w:rsid w:val="26C03072"/>
    <w:rsid w:val="26DD7F7F"/>
    <w:rsid w:val="26E15B99"/>
    <w:rsid w:val="26EA2865"/>
    <w:rsid w:val="26EE2F31"/>
    <w:rsid w:val="27010E83"/>
    <w:rsid w:val="271E2BEC"/>
    <w:rsid w:val="272A2BE1"/>
    <w:rsid w:val="273B32E9"/>
    <w:rsid w:val="27421CD9"/>
    <w:rsid w:val="274E2D73"/>
    <w:rsid w:val="27550681"/>
    <w:rsid w:val="276B714E"/>
    <w:rsid w:val="276C144B"/>
    <w:rsid w:val="27743E5C"/>
    <w:rsid w:val="278422F1"/>
    <w:rsid w:val="2786213D"/>
    <w:rsid w:val="278C05ED"/>
    <w:rsid w:val="278F6696"/>
    <w:rsid w:val="27922388"/>
    <w:rsid w:val="27925A1E"/>
    <w:rsid w:val="27987D44"/>
    <w:rsid w:val="279D605E"/>
    <w:rsid w:val="27A277B4"/>
    <w:rsid w:val="27A6495D"/>
    <w:rsid w:val="27B65DA8"/>
    <w:rsid w:val="27BF3F2A"/>
    <w:rsid w:val="27CB7F20"/>
    <w:rsid w:val="27D15DD1"/>
    <w:rsid w:val="27F03410"/>
    <w:rsid w:val="27F356C9"/>
    <w:rsid w:val="281B5EBF"/>
    <w:rsid w:val="282610DE"/>
    <w:rsid w:val="282619A3"/>
    <w:rsid w:val="283748D1"/>
    <w:rsid w:val="283917B1"/>
    <w:rsid w:val="283C77D9"/>
    <w:rsid w:val="285940BD"/>
    <w:rsid w:val="285A17C2"/>
    <w:rsid w:val="28650375"/>
    <w:rsid w:val="28680D51"/>
    <w:rsid w:val="287700A8"/>
    <w:rsid w:val="28941167"/>
    <w:rsid w:val="28A76295"/>
    <w:rsid w:val="28B371CD"/>
    <w:rsid w:val="28D267A4"/>
    <w:rsid w:val="28D5129B"/>
    <w:rsid w:val="28D948BF"/>
    <w:rsid w:val="28DE0127"/>
    <w:rsid w:val="28E121E2"/>
    <w:rsid w:val="28EB2D30"/>
    <w:rsid w:val="28F528E4"/>
    <w:rsid w:val="28F811E9"/>
    <w:rsid w:val="2915596A"/>
    <w:rsid w:val="29170E8E"/>
    <w:rsid w:val="291853E7"/>
    <w:rsid w:val="29206EB8"/>
    <w:rsid w:val="292B00DB"/>
    <w:rsid w:val="292F4BD6"/>
    <w:rsid w:val="29387837"/>
    <w:rsid w:val="29435C48"/>
    <w:rsid w:val="29495E18"/>
    <w:rsid w:val="294E4BC1"/>
    <w:rsid w:val="295201CD"/>
    <w:rsid w:val="295D0F0E"/>
    <w:rsid w:val="296715D4"/>
    <w:rsid w:val="29683EFE"/>
    <w:rsid w:val="296E6940"/>
    <w:rsid w:val="29852351"/>
    <w:rsid w:val="299E16B4"/>
    <w:rsid w:val="29AC5B2F"/>
    <w:rsid w:val="29AE18A7"/>
    <w:rsid w:val="29B83B80"/>
    <w:rsid w:val="29BF0635"/>
    <w:rsid w:val="29D54965"/>
    <w:rsid w:val="29DF6672"/>
    <w:rsid w:val="29E325E0"/>
    <w:rsid w:val="29E7300B"/>
    <w:rsid w:val="29EF54DA"/>
    <w:rsid w:val="29F00D73"/>
    <w:rsid w:val="29FD7E09"/>
    <w:rsid w:val="2A077209"/>
    <w:rsid w:val="2A181417"/>
    <w:rsid w:val="2A1A0087"/>
    <w:rsid w:val="2A224043"/>
    <w:rsid w:val="2A225F57"/>
    <w:rsid w:val="2A261D85"/>
    <w:rsid w:val="2A452503"/>
    <w:rsid w:val="2A4A3DDF"/>
    <w:rsid w:val="2A522B7B"/>
    <w:rsid w:val="2A5B21A6"/>
    <w:rsid w:val="2A61691A"/>
    <w:rsid w:val="2A663F30"/>
    <w:rsid w:val="2A954815"/>
    <w:rsid w:val="2A984622"/>
    <w:rsid w:val="2AD81DD6"/>
    <w:rsid w:val="2AE00186"/>
    <w:rsid w:val="2AEC3063"/>
    <w:rsid w:val="2B0055AE"/>
    <w:rsid w:val="2B0C45AE"/>
    <w:rsid w:val="2B0D12EA"/>
    <w:rsid w:val="2B1011E2"/>
    <w:rsid w:val="2B1044E5"/>
    <w:rsid w:val="2B442FF1"/>
    <w:rsid w:val="2B54022C"/>
    <w:rsid w:val="2B5446D0"/>
    <w:rsid w:val="2B762899"/>
    <w:rsid w:val="2B940F71"/>
    <w:rsid w:val="2B9864EF"/>
    <w:rsid w:val="2B9E3B11"/>
    <w:rsid w:val="2BA54F2C"/>
    <w:rsid w:val="2BA67144"/>
    <w:rsid w:val="2BA936A8"/>
    <w:rsid w:val="2BAA69F8"/>
    <w:rsid w:val="2BB138D1"/>
    <w:rsid w:val="2BD77907"/>
    <w:rsid w:val="2BED2084"/>
    <w:rsid w:val="2BEE5268"/>
    <w:rsid w:val="2BF51A0F"/>
    <w:rsid w:val="2BFB0EC8"/>
    <w:rsid w:val="2C0B2FE1"/>
    <w:rsid w:val="2C217F97"/>
    <w:rsid w:val="2C2E04E6"/>
    <w:rsid w:val="2C315A5A"/>
    <w:rsid w:val="2C351E0C"/>
    <w:rsid w:val="2C4B162F"/>
    <w:rsid w:val="2C631D41"/>
    <w:rsid w:val="2C7030A2"/>
    <w:rsid w:val="2C786181"/>
    <w:rsid w:val="2C7F0052"/>
    <w:rsid w:val="2C7F577D"/>
    <w:rsid w:val="2C8E4B62"/>
    <w:rsid w:val="2CA156F3"/>
    <w:rsid w:val="2CA57561"/>
    <w:rsid w:val="2CB113E6"/>
    <w:rsid w:val="2CB87DBF"/>
    <w:rsid w:val="2CBD7C60"/>
    <w:rsid w:val="2CD52468"/>
    <w:rsid w:val="2CDB5DAC"/>
    <w:rsid w:val="2CE27F15"/>
    <w:rsid w:val="2CEC5E40"/>
    <w:rsid w:val="2CEF2903"/>
    <w:rsid w:val="2CFB569E"/>
    <w:rsid w:val="2CFE2B46"/>
    <w:rsid w:val="2D0615B8"/>
    <w:rsid w:val="2D0D6D43"/>
    <w:rsid w:val="2D177764"/>
    <w:rsid w:val="2D1E4F96"/>
    <w:rsid w:val="2D3A1A8B"/>
    <w:rsid w:val="2D4331C7"/>
    <w:rsid w:val="2D55028C"/>
    <w:rsid w:val="2D5B085C"/>
    <w:rsid w:val="2D5F4233"/>
    <w:rsid w:val="2D821D81"/>
    <w:rsid w:val="2D8D3ECA"/>
    <w:rsid w:val="2D93624A"/>
    <w:rsid w:val="2D97311F"/>
    <w:rsid w:val="2D9C2F7E"/>
    <w:rsid w:val="2D9E56F5"/>
    <w:rsid w:val="2DCC2611"/>
    <w:rsid w:val="2DCF7851"/>
    <w:rsid w:val="2DE25FC3"/>
    <w:rsid w:val="2DE53D06"/>
    <w:rsid w:val="2DED6716"/>
    <w:rsid w:val="2E0777D8"/>
    <w:rsid w:val="2E24482E"/>
    <w:rsid w:val="2E321B98"/>
    <w:rsid w:val="2E405A49"/>
    <w:rsid w:val="2E525AC4"/>
    <w:rsid w:val="2E5642BC"/>
    <w:rsid w:val="2E667F96"/>
    <w:rsid w:val="2E701821"/>
    <w:rsid w:val="2E7B108D"/>
    <w:rsid w:val="2E8226AB"/>
    <w:rsid w:val="2E8402B7"/>
    <w:rsid w:val="2E8B0409"/>
    <w:rsid w:val="2E9F3EB4"/>
    <w:rsid w:val="2EB77450"/>
    <w:rsid w:val="2EC03CB2"/>
    <w:rsid w:val="2ED022C0"/>
    <w:rsid w:val="2ED2428A"/>
    <w:rsid w:val="2EDC6EB7"/>
    <w:rsid w:val="2EF778D3"/>
    <w:rsid w:val="2EFA5DF4"/>
    <w:rsid w:val="2F01691D"/>
    <w:rsid w:val="2F0361F1"/>
    <w:rsid w:val="2F1228D8"/>
    <w:rsid w:val="2F274283"/>
    <w:rsid w:val="2F2F55AF"/>
    <w:rsid w:val="2F360741"/>
    <w:rsid w:val="2F387B0D"/>
    <w:rsid w:val="2F562170"/>
    <w:rsid w:val="2F566C69"/>
    <w:rsid w:val="2F5B427F"/>
    <w:rsid w:val="2F7B047E"/>
    <w:rsid w:val="2F7C5FA4"/>
    <w:rsid w:val="2F832C79"/>
    <w:rsid w:val="2F897F15"/>
    <w:rsid w:val="2F99381C"/>
    <w:rsid w:val="2FB251DF"/>
    <w:rsid w:val="2FC811E9"/>
    <w:rsid w:val="2FD61B58"/>
    <w:rsid w:val="2FEA115F"/>
    <w:rsid w:val="2FED1556"/>
    <w:rsid w:val="2FEF2D58"/>
    <w:rsid w:val="2FFC44A6"/>
    <w:rsid w:val="2FFE3624"/>
    <w:rsid w:val="2FFF63F9"/>
    <w:rsid w:val="301303EC"/>
    <w:rsid w:val="301A13F4"/>
    <w:rsid w:val="301B2D20"/>
    <w:rsid w:val="302369A0"/>
    <w:rsid w:val="30244700"/>
    <w:rsid w:val="30251E7B"/>
    <w:rsid w:val="30350259"/>
    <w:rsid w:val="303F6BFA"/>
    <w:rsid w:val="30580BC9"/>
    <w:rsid w:val="306C26A5"/>
    <w:rsid w:val="306F77B8"/>
    <w:rsid w:val="307373A7"/>
    <w:rsid w:val="309612E7"/>
    <w:rsid w:val="30961EF6"/>
    <w:rsid w:val="30A6332F"/>
    <w:rsid w:val="30A92DC8"/>
    <w:rsid w:val="30BC0D4E"/>
    <w:rsid w:val="30BF083E"/>
    <w:rsid w:val="30C10490"/>
    <w:rsid w:val="30C65728"/>
    <w:rsid w:val="30CA04AF"/>
    <w:rsid w:val="30D616E4"/>
    <w:rsid w:val="30D86B55"/>
    <w:rsid w:val="30E6401D"/>
    <w:rsid w:val="30FA1876"/>
    <w:rsid w:val="31083606"/>
    <w:rsid w:val="31183989"/>
    <w:rsid w:val="31191AA6"/>
    <w:rsid w:val="311E2ED7"/>
    <w:rsid w:val="312406A1"/>
    <w:rsid w:val="312565F0"/>
    <w:rsid w:val="31375948"/>
    <w:rsid w:val="313E79B5"/>
    <w:rsid w:val="31490108"/>
    <w:rsid w:val="314F1BC2"/>
    <w:rsid w:val="3154611C"/>
    <w:rsid w:val="31562CFE"/>
    <w:rsid w:val="315736D8"/>
    <w:rsid w:val="315760F4"/>
    <w:rsid w:val="315C449C"/>
    <w:rsid w:val="31612F97"/>
    <w:rsid w:val="316C5020"/>
    <w:rsid w:val="31752ADB"/>
    <w:rsid w:val="318C4BC4"/>
    <w:rsid w:val="31921AAF"/>
    <w:rsid w:val="319F0414"/>
    <w:rsid w:val="31A62D61"/>
    <w:rsid w:val="31AB124D"/>
    <w:rsid w:val="31B25CAD"/>
    <w:rsid w:val="31B639EF"/>
    <w:rsid w:val="31B82709"/>
    <w:rsid w:val="31BE6E53"/>
    <w:rsid w:val="31C205E6"/>
    <w:rsid w:val="31C3610C"/>
    <w:rsid w:val="31C86ABC"/>
    <w:rsid w:val="31CB6D6E"/>
    <w:rsid w:val="31CF4AB1"/>
    <w:rsid w:val="31DD4FFF"/>
    <w:rsid w:val="31ED3189"/>
    <w:rsid w:val="320457A2"/>
    <w:rsid w:val="32193F7E"/>
    <w:rsid w:val="322F37A1"/>
    <w:rsid w:val="32400B34"/>
    <w:rsid w:val="324101D6"/>
    <w:rsid w:val="32421947"/>
    <w:rsid w:val="32550EA6"/>
    <w:rsid w:val="325927DB"/>
    <w:rsid w:val="32666042"/>
    <w:rsid w:val="327A2C6E"/>
    <w:rsid w:val="32803FFD"/>
    <w:rsid w:val="328533C1"/>
    <w:rsid w:val="328E62DD"/>
    <w:rsid w:val="32987598"/>
    <w:rsid w:val="329B0E37"/>
    <w:rsid w:val="329E6876"/>
    <w:rsid w:val="32C739DA"/>
    <w:rsid w:val="32D65350"/>
    <w:rsid w:val="32ED7014"/>
    <w:rsid w:val="32F10A57"/>
    <w:rsid w:val="331935FC"/>
    <w:rsid w:val="331F0BAF"/>
    <w:rsid w:val="3344502A"/>
    <w:rsid w:val="335C05C6"/>
    <w:rsid w:val="33600DAB"/>
    <w:rsid w:val="337A0A4C"/>
    <w:rsid w:val="338F274A"/>
    <w:rsid w:val="339D7865"/>
    <w:rsid w:val="339E7474"/>
    <w:rsid w:val="33AB32FB"/>
    <w:rsid w:val="33AF1889"/>
    <w:rsid w:val="33CD5020"/>
    <w:rsid w:val="33D934D4"/>
    <w:rsid w:val="33F7209D"/>
    <w:rsid w:val="33FE2F6A"/>
    <w:rsid w:val="342033A2"/>
    <w:rsid w:val="3422222F"/>
    <w:rsid w:val="343706EB"/>
    <w:rsid w:val="34452D8A"/>
    <w:rsid w:val="34474078"/>
    <w:rsid w:val="34496D9C"/>
    <w:rsid w:val="345136DB"/>
    <w:rsid w:val="345F6138"/>
    <w:rsid w:val="34657462"/>
    <w:rsid w:val="34687C50"/>
    <w:rsid w:val="34711E4F"/>
    <w:rsid w:val="34723EB6"/>
    <w:rsid w:val="347507BC"/>
    <w:rsid w:val="347D4D3B"/>
    <w:rsid w:val="34965062"/>
    <w:rsid w:val="34C40D15"/>
    <w:rsid w:val="34CA3750"/>
    <w:rsid w:val="34DA0A32"/>
    <w:rsid w:val="34DB0A44"/>
    <w:rsid w:val="34E73EBF"/>
    <w:rsid w:val="34FC2127"/>
    <w:rsid w:val="350606FD"/>
    <w:rsid w:val="351B1DBB"/>
    <w:rsid w:val="3531125E"/>
    <w:rsid w:val="353E374D"/>
    <w:rsid w:val="354B6B44"/>
    <w:rsid w:val="35675949"/>
    <w:rsid w:val="35683252"/>
    <w:rsid w:val="35687E40"/>
    <w:rsid w:val="356F0F35"/>
    <w:rsid w:val="357E0CC8"/>
    <w:rsid w:val="358838F4"/>
    <w:rsid w:val="35A40002"/>
    <w:rsid w:val="35A43A11"/>
    <w:rsid w:val="35B82687"/>
    <w:rsid w:val="35D52735"/>
    <w:rsid w:val="35DB6085"/>
    <w:rsid w:val="35F66AB0"/>
    <w:rsid w:val="35F94327"/>
    <w:rsid w:val="36074A7F"/>
    <w:rsid w:val="365D08DD"/>
    <w:rsid w:val="366817A6"/>
    <w:rsid w:val="366A4DA8"/>
    <w:rsid w:val="366C4FC4"/>
    <w:rsid w:val="36775057"/>
    <w:rsid w:val="36791EB6"/>
    <w:rsid w:val="36852CE8"/>
    <w:rsid w:val="368F0CB2"/>
    <w:rsid w:val="368F3F76"/>
    <w:rsid w:val="36923549"/>
    <w:rsid w:val="369A4E21"/>
    <w:rsid w:val="36A57545"/>
    <w:rsid w:val="36A662F0"/>
    <w:rsid w:val="36B75FBF"/>
    <w:rsid w:val="36BD312A"/>
    <w:rsid w:val="36EE057B"/>
    <w:rsid w:val="36F530E8"/>
    <w:rsid w:val="36F6488E"/>
    <w:rsid w:val="36FB4891"/>
    <w:rsid w:val="370818B2"/>
    <w:rsid w:val="37112DDD"/>
    <w:rsid w:val="374A4272"/>
    <w:rsid w:val="374D73FE"/>
    <w:rsid w:val="37527104"/>
    <w:rsid w:val="378B7ED8"/>
    <w:rsid w:val="379A790F"/>
    <w:rsid w:val="379E1FAB"/>
    <w:rsid w:val="379E6472"/>
    <w:rsid w:val="37BF4AA8"/>
    <w:rsid w:val="37C2544D"/>
    <w:rsid w:val="37C4673A"/>
    <w:rsid w:val="37CD3840"/>
    <w:rsid w:val="38002096"/>
    <w:rsid w:val="38017A45"/>
    <w:rsid w:val="380B168F"/>
    <w:rsid w:val="382B5AE9"/>
    <w:rsid w:val="383B2EA0"/>
    <w:rsid w:val="383D31EA"/>
    <w:rsid w:val="38727227"/>
    <w:rsid w:val="387622A7"/>
    <w:rsid w:val="3885236D"/>
    <w:rsid w:val="38C06F01"/>
    <w:rsid w:val="38DD3F57"/>
    <w:rsid w:val="38EA6FCF"/>
    <w:rsid w:val="38F12CD3"/>
    <w:rsid w:val="38F511AE"/>
    <w:rsid w:val="38F94775"/>
    <w:rsid w:val="390B7A49"/>
    <w:rsid w:val="39131727"/>
    <w:rsid w:val="392751D2"/>
    <w:rsid w:val="39294E48"/>
    <w:rsid w:val="392971ED"/>
    <w:rsid w:val="39502CE1"/>
    <w:rsid w:val="3951224F"/>
    <w:rsid w:val="395D2765"/>
    <w:rsid w:val="396106E4"/>
    <w:rsid w:val="39623CF1"/>
    <w:rsid w:val="396300AA"/>
    <w:rsid w:val="397367C5"/>
    <w:rsid w:val="3987255E"/>
    <w:rsid w:val="399A5E03"/>
    <w:rsid w:val="39D619B3"/>
    <w:rsid w:val="39D972DA"/>
    <w:rsid w:val="39E430C3"/>
    <w:rsid w:val="39E50FF9"/>
    <w:rsid w:val="39ED1F78"/>
    <w:rsid w:val="3A125B37"/>
    <w:rsid w:val="3A1304A1"/>
    <w:rsid w:val="3A1D7307"/>
    <w:rsid w:val="3A267723"/>
    <w:rsid w:val="3A2B3CC2"/>
    <w:rsid w:val="3A2E433E"/>
    <w:rsid w:val="3A316EDF"/>
    <w:rsid w:val="3A325BDD"/>
    <w:rsid w:val="3A325D32"/>
    <w:rsid w:val="3A375645"/>
    <w:rsid w:val="3A3F6E8C"/>
    <w:rsid w:val="3A4B6C9E"/>
    <w:rsid w:val="3A500759"/>
    <w:rsid w:val="3A5F65DC"/>
    <w:rsid w:val="3A7461F5"/>
    <w:rsid w:val="3A79072A"/>
    <w:rsid w:val="3A7A7CE8"/>
    <w:rsid w:val="3A7B1683"/>
    <w:rsid w:val="3AA50AA5"/>
    <w:rsid w:val="3AA86E5C"/>
    <w:rsid w:val="3ABC7B9C"/>
    <w:rsid w:val="3AD36221"/>
    <w:rsid w:val="3AD725D5"/>
    <w:rsid w:val="3AF51FAE"/>
    <w:rsid w:val="3AFF6974"/>
    <w:rsid w:val="3B02024B"/>
    <w:rsid w:val="3B0D0B61"/>
    <w:rsid w:val="3B100982"/>
    <w:rsid w:val="3B1479D8"/>
    <w:rsid w:val="3B2B6C54"/>
    <w:rsid w:val="3B334302"/>
    <w:rsid w:val="3B3763D1"/>
    <w:rsid w:val="3B4B164C"/>
    <w:rsid w:val="3B55589E"/>
    <w:rsid w:val="3B5B2830"/>
    <w:rsid w:val="3B5B73B5"/>
    <w:rsid w:val="3B610E3A"/>
    <w:rsid w:val="3B6967B2"/>
    <w:rsid w:val="3B6A55BB"/>
    <w:rsid w:val="3B806E1C"/>
    <w:rsid w:val="3B8A2193"/>
    <w:rsid w:val="3B8C44D6"/>
    <w:rsid w:val="3B915C47"/>
    <w:rsid w:val="3B9C1479"/>
    <w:rsid w:val="3BA42B0A"/>
    <w:rsid w:val="3BAA3FB1"/>
    <w:rsid w:val="3BB32120"/>
    <w:rsid w:val="3BB93BC1"/>
    <w:rsid w:val="3BC949FA"/>
    <w:rsid w:val="3BD11425"/>
    <w:rsid w:val="3BD771D7"/>
    <w:rsid w:val="3BE530FA"/>
    <w:rsid w:val="3BF05D4F"/>
    <w:rsid w:val="3BF57AD9"/>
    <w:rsid w:val="3C0C2E19"/>
    <w:rsid w:val="3C1C3D9E"/>
    <w:rsid w:val="3C273396"/>
    <w:rsid w:val="3C2E0626"/>
    <w:rsid w:val="3C300842"/>
    <w:rsid w:val="3C314235"/>
    <w:rsid w:val="3C344617"/>
    <w:rsid w:val="3C35598B"/>
    <w:rsid w:val="3C4131D2"/>
    <w:rsid w:val="3C430575"/>
    <w:rsid w:val="3C447E49"/>
    <w:rsid w:val="3C5207B8"/>
    <w:rsid w:val="3C566B00"/>
    <w:rsid w:val="3C575DCE"/>
    <w:rsid w:val="3C5C2C55"/>
    <w:rsid w:val="3C636521"/>
    <w:rsid w:val="3C663209"/>
    <w:rsid w:val="3C8618CD"/>
    <w:rsid w:val="3CAE307C"/>
    <w:rsid w:val="3CB42EE8"/>
    <w:rsid w:val="3CC77C5B"/>
    <w:rsid w:val="3CCF005B"/>
    <w:rsid w:val="3CD43F35"/>
    <w:rsid w:val="3CD45671"/>
    <w:rsid w:val="3CDA245A"/>
    <w:rsid w:val="3CDA396C"/>
    <w:rsid w:val="3CEE0A37"/>
    <w:rsid w:val="3CF12399"/>
    <w:rsid w:val="3D0B0176"/>
    <w:rsid w:val="3D0C7570"/>
    <w:rsid w:val="3D2C764F"/>
    <w:rsid w:val="3D2E2080"/>
    <w:rsid w:val="3D374762"/>
    <w:rsid w:val="3D42082D"/>
    <w:rsid w:val="3D424758"/>
    <w:rsid w:val="3D621347"/>
    <w:rsid w:val="3D6215E7"/>
    <w:rsid w:val="3D672041"/>
    <w:rsid w:val="3D6A38DF"/>
    <w:rsid w:val="3D766728"/>
    <w:rsid w:val="3D7D6168"/>
    <w:rsid w:val="3D830794"/>
    <w:rsid w:val="3D8A580B"/>
    <w:rsid w:val="3D955EF1"/>
    <w:rsid w:val="3D9646D4"/>
    <w:rsid w:val="3DA27781"/>
    <w:rsid w:val="3DA908AC"/>
    <w:rsid w:val="3DB334D8"/>
    <w:rsid w:val="3DBB446A"/>
    <w:rsid w:val="3DBF5D22"/>
    <w:rsid w:val="3DC2371B"/>
    <w:rsid w:val="3DCB0822"/>
    <w:rsid w:val="3DD1395F"/>
    <w:rsid w:val="3DDD2303"/>
    <w:rsid w:val="3DF323C8"/>
    <w:rsid w:val="3E1509D8"/>
    <w:rsid w:val="3E4E3201"/>
    <w:rsid w:val="3E5527E2"/>
    <w:rsid w:val="3E576115"/>
    <w:rsid w:val="3E627067"/>
    <w:rsid w:val="3E94004B"/>
    <w:rsid w:val="3EA12549"/>
    <w:rsid w:val="3EAD58EC"/>
    <w:rsid w:val="3EB069C3"/>
    <w:rsid w:val="3EBD3CCB"/>
    <w:rsid w:val="3EDA5B7D"/>
    <w:rsid w:val="3EF26466"/>
    <w:rsid w:val="3EF618CF"/>
    <w:rsid w:val="3F025137"/>
    <w:rsid w:val="3F0D420A"/>
    <w:rsid w:val="3F1735F3"/>
    <w:rsid w:val="3F2F3033"/>
    <w:rsid w:val="3F30190B"/>
    <w:rsid w:val="3F370BCB"/>
    <w:rsid w:val="3F5648A0"/>
    <w:rsid w:val="3F660E74"/>
    <w:rsid w:val="3F6A7BC7"/>
    <w:rsid w:val="3F8073EA"/>
    <w:rsid w:val="3F892FBC"/>
    <w:rsid w:val="3F9924CC"/>
    <w:rsid w:val="3FA70E1B"/>
    <w:rsid w:val="3FAA090B"/>
    <w:rsid w:val="3FAF6A7A"/>
    <w:rsid w:val="3FB02111"/>
    <w:rsid w:val="3FB86B84"/>
    <w:rsid w:val="3FC4377B"/>
    <w:rsid w:val="3FE2019B"/>
    <w:rsid w:val="3FE43E1D"/>
    <w:rsid w:val="3FE45BCB"/>
    <w:rsid w:val="3FE756BB"/>
    <w:rsid w:val="3FFD4EDF"/>
    <w:rsid w:val="40050660"/>
    <w:rsid w:val="401A783F"/>
    <w:rsid w:val="40223343"/>
    <w:rsid w:val="40224945"/>
    <w:rsid w:val="403311B0"/>
    <w:rsid w:val="403C77B5"/>
    <w:rsid w:val="404E74E8"/>
    <w:rsid w:val="40694322"/>
    <w:rsid w:val="40721A55"/>
    <w:rsid w:val="40730CFD"/>
    <w:rsid w:val="40752CC7"/>
    <w:rsid w:val="407A6407"/>
    <w:rsid w:val="407F36A6"/>
    <w:rsid w:val="407F4BE6"/>
    <w:rsid w:val="409B3F0C"/>
    <w:rsid w:val="40A44114"/>
    <w:rsid w:val="40A619A4"/>
    <w:rsid w:val="40A72962"/>
    <w:rsid w:val="40A92971"/>
    <w:rsid w:val="40AB3370"/>
    <w:rsid w:val="40AF5E65"/>
    <w:rsid w:val="40BA72C4"/>
    <w:rsid w:val="40BC08F6"/>
    <w:rsid w:val="40BD5A4E"/>
    <w:rsid w:val="40C77C97"/>
    <w:rsid w:val="40CB718C"/>
    <w:rsid w:val="40D43E92"/>
    <w:rsid w:val="40E13EB9"/>
    <w:rsid w:val="40E46846"/>
    <w:rsid w:val="4101455B"/>
    <w:rsid w:val="41021214"/>
    <w:rsid w:val="410A45DD"/>
    <w:rsid w:val="41320BB8"/>
    <w:rsid w:val="4137363C"/>
    <w:rsid w:val="413C3FE6"/>
    <w:rsid w:val="413C5593"/>
    <w:rsid w:val="4142704D"/>
    <w:rsid w:val="4147390C"/>
    <w:rsid w:val="41827323"/>
    <w:rsid w:val="418A09F4"/>
    <w:rsid w:val="41D6508F"/>
    <w:rsid w:val="41F33FC2"/>
    <w:rsid w:val="41F65B4A"/>
    <w:rsid w:val="41FB71FC"/>
    <w:rsid w:val="420C67D1"/>
    <w:rsid w:val="42137699"/>
    <w:rsid w:val="423A3BCC"/>
    <w:rsid w:val="423F358D"/>
    <w:rsid w:val="42621071"/>
    <w:rsid w:val="426C1EA8"/>
    <w:rsid w:val="42795EA7"/>
    <w:rsid w:val="427B5868"/>
    <w:rsid w:val="427C747D"/>
    <w:rsid w:val="427F3D18"/>
    <w:rsid w:val="42832E2D"/>
    <w:rsid w:val="42891A60"/>
    <w:rsid w:val="428E6874"/>
    <w:rsid w:val="429338D2"/>
    <w:rsid w:val="42935686"/>
    <w:rsid w:val="42A81CA0"/>
    <w:rsid w:val="42AB2039"/>
    <w:rsid w:val="42AD499A"/>
    <w:rsid w:val="42BF022A"/>
    <w:rsid w:val="42C501DA"/>
    <w:rsid w:val="42C5318D"/>
    <w:rsid w:val="42C67B8D"/>
    <w:rsid w:val="42CE616B"/>
    <w:rsid w:val="42E4099C"/>
    <w:rsid w:val="42E45EE2"/>
    <w:rsid w:val="43035923"/>
    <w:rsid w:val="43051503"/>
    <w:rsid w:val="43065E58"/>
    <w:rsid w:val="430F56AE"/>
    <w:rsid w:val="43155968"/>
    <w:rsid w:val="432261CE"/>
    <w:rsid w:val="4329746D"/>
    <w:rsid w:val="433A6FE6"/>
    <w:rsid w:val="43463194"/>
    <w:rsid w:val="43486471"/>
    <w:rsid w:val="4350713C"/>
    <w:rsid w:val="436653E0"/>
    <w:rsid w:val="43764BF9"/>
    <w:rsid w:val="439B4160"/>
    <w:rsid w:val="43AB7A8A"/>
    <w:rsid w:val="43AD7DB2"/>
    <w:rsid w:val="43C02E3F"/>
    <w:rsid w:val="43C867AC"/>
    <w:rsid w:val="43CF0940"/>
    <w:rsid w:val="43D1290A"/>
    <w:rsid w:val="43EA338A"/>
    <w:rsid w:val="43FB34E3"/>
    <w:rsid w:val="440A0C04"/>
    <w:rsid w:val="442B0E36"/>
    <w:rsid w:val="443C17FD"/>
    <w:rsid w:val="44557FB3"/>
    <w:rsid w:val="44627A06"/>
    <w:rsid w:val="44643203"/>
    <w:rsid w:val="446B7CB5"/>
    <w:rsid w:val="44797F00"/>
    <w:rsid w:val="448F7150"/>
    <w:rsid w:val="449B0822"/>
    <w:rsid w:val="44AE49FA"/>
    <w:rsid w:val="44B61C2D"/>
    <w:rsid w:val="44C5317E"/>
    <w:rsid w:val="44CD14E0"/>
    <w:rsid w:val="44D75EDF"/>
    <w:rsid w:val="44DE4C0B"/>
    <w:rsid w:val="44ED54DE"/>
    <w:rsid w:val="44FC65D5"/>
    <w:rsid w:val="45091C30"/>
    <w:rsid w:val="452D3B70"/>
    <w:rsid w:val="452F508E"/>
    <w:rsid w:val="45350C77"/>
    <w:rsid w:val="45383EA0"/>
    <w:rsid w:val="453E552E"/>
    <w:rsid w:val="45482758"/>
    <w:rsid w:val="455D5537"/>
    <w:rsid w:val="456362F5"/>
    <w:rsid w:val="458012DF"/>
    <w:rsid w:val="458946E9"/>
    <w:rsid w:val="458D460F"/>
    <w:rsid w:val="45A02594"/>
    <w:rsid w:val="45A71B75"/>
    <w:rsid w:val="45B04295"/>
    <w:rsid w:val="45D478E4"/>
    <w:rsid w:val="45D54C12"/>
    <w:rsid w:val="45DE4E6B"/>
    <w:rsid w:val="45E306D3"/>
    <w:rsid w:val="45F72487"/>
    <w:rsid w:val="45F91CA4"/>
    <w:rsid w:val="45FC0CDF"/>
    <w:rsid w:val="46080139"/>
    <w:rsid w:val="46220F1F"/>
    <w:rsid w:val="4662410F"/>
    <w:rsid w:val="46647A66"/>
    <w:rsid w:val="46775A0F"/>
    <w:rsid w:val="467D4684"/>
    <w:rsid w:val="46921389"/>
    <w:rsid w:val="46B67076"/>
    <w:rsid w:val="46BA58D8"/>
    <w:rsid w:val="46BF4C9C"/>
    <w:rsid w:val="46D7435A"/>
    <w:rsid w:val="46D955A7"/>
    <w:rsid w:val="46DD43F0"/>
    <w:rsid w:val="46E40E87"/>
    <w:rsid w:val="46E4358A"/>
    <w:rsid w:val="46F56910"/>
    <w:rsid w:val="46F81F5C"/>
    <w:rsid w:val="4712105C"/>
    <w:rsid w:val="47133957"/>
    <w:rsid w:val="4717258D"/>
    <w:rsid w:val="471E7C15"/>
    <w:rsid w:val="47246A79"/>
    <w:rsid w:val="47314D4D"/>
    <w:rsid w:val="474F5CEF"/>
    <w:rsid w:val="4779329E"/>
    <w:rsid w:val="478F4065"/>
    <w:rsid w:val="47A07E0C"/>
    <w:rsid w:val="47A4791A"/>
    <w:rsid w:val="47AD71EA"/>
    <w:rsid w:val="47B16CDB"/>
    <w:rsid w:val="47D26C51"/>
    <w:rsid w:val="47DB78B4"/>
    <w:rsid w:val="47E756FB"/>
    <w:rsid w:val="47EA17B7"/>
    <w:rsid w:val="47F31538"/>
    <w:rsid w:val="47F60B91"/>
    <w:rsid w:val="47FA4C87"/>
    <w:rsid w:val="4817543D"/>
    <w:rsid w:val="48382F58"/>
    <w:rsid w:val="4838675C"/>
    <w:rsid w:val="483919CC"/>
    <w:rsid w:val="4847590E"/>
    <w:rsid w:val="48561630"/>
    <w:rsid w:val="486A50DB"/>
    <w:rsid w:val="486C4563"/>
    <w:rsid w:val="486F6565"/>
    <w:rsid w:val="4870272E"/>
    <w:rsid w:val="48763314"/>
    <w:rsid w:val="487B2E45"/>
    <w:rsid w:val="48965ED0"/>
    <w:rsid w:val="48A03392"/>
    <w:rsid w:val="48A4075F"/>
    <w:rsid w:val="48AC71BA"/>
    <w:rsid w:val="48AE740B"/>
    <w:rsid w:val="48B87BF5"/>
    <w:rsid w:val="48BF5427"/>
    <w:rsid w:val="48D43A0A"/>
    <w:rsid w:val="48DB1EBA"/>
    <w:rsid w:val="48E67908"/>
    <w:rsid w:val="48EE094E"/>
    <w:rsid w:val="48FD385A"/>
    <w:rsid w:val="490F7AD2"/>
    <w:rsid w:val="49151BA7"/>
    <w:rsid w:val="491A0FE8"/>
    <w:rsid w:val="492928A1"/>
    <w:rsid w:val="492E2815"/>
    <w:rsid w:val="4932269D"/>
    <w:rsid w:val="495A5150"/>
    <w:rsid w:val="496916B2"/>
    <w:rsid w:val="499E503D"/>
    <w:rsid w:val="49B46D87"/>
    <w:rsid w:val="49BB1CB5"/>
    <w:rsid w:val="49C43AD2"/>
    <w:rsid w:val="49D76DB1"/>
    <w:rsid w:val="49DC7715"/>
    <w:rsid w:val="49DE23C0"/>
    <w:rsid w:val="49E014BA"/>
    <w:rsid w:val="49E04914"/>
    <w:rsid w:val="49FC1D3A"/>
    <w:rsid w:val="4A023139"/>
    <w:rsid w:val="4A0550BC"/>
    <w:rsid w:val="4A0F158E"/>
    <w:rsid w:val="4A143551"/>
    <w:rsid w:val="4A1A60FD"/>
    <w:rsid w:val="4A204788"/>
    <w:rsid w:val="4A365275"/>
    <w:rsid w:val="4A4831FA"/>
    <w:rsid w:val="4A567A71"/>
    <w:rsid w:val="4A5B2F2E"/>
    <w:rsid w:val="4A61619B"/>
    <w:rsid w:val="4A6C6EE9"/>
    <w:rsid w:val="4A7B576F"/>
    <w:rsid w:val="4A82495E"/>
    <w:rsid w:val="4A845FDD"/>
    <w:rsid w:val="4A8E3303"/>
    <w:rsid w:val="4A930919"/>
    <w:rsid w:val="4A993A56"/>
    <w:rsid w:val="4AC9433B"/>
    <w:rsid w:val="4AD03969"/>
    <w:rsid w:val="4AD403F5"/>
    <w:rsid w:val="4AE41175"/>
    <w:rsid w:val="4AFF1B0B"/>
    <w:rsid w:val="4B0C247A"/>
    <w:rsid w:val="4B30404A"/>
    <w:rsid w:val="4B323C18"/>
    <w:rsid w:val="4B335C59"/>
    <w:rsid w:val="4B377B13"/>
    <w:rsid w:val="4B412124"/>
    <w:rsid w:val="4B414BEA"/>
    <w:rsid w:val="4B490FD8"/>
    <w:rsid w:val="4B5300A9"/>
    <w:rsid w:val="4B5C52CD"/>
    <w:rsid w:val="4B746DBF"/>
    <w:rsid w:val="4B9618A6"/>
    <w:rsid w:val="4B9A66C0"/>
    <w:rsid w:val="4BA81148"/>
    <w:rsid w:val="4BB41D73"/>
    <w:rsid w:val="4BD20FCE"/>
    <w:rsid w:val="4BEA27BB"/>
    <w:rsid w:val="4C4A0649"/>
    <w:rsid w:val="4C5365DE"/>
    <w:rsid w:val="4C5B45B9"/>
    <w:rsid w:val="4C660909"/>
    <w:rsid w:val="4C806C7C"/>
    <w:rsid w:val="4C9F3127"/>
    <w:rsid w:val="4CA31598"/>
    <w:rsid w:val="4CA61360"/>
    <w:rsid w:val="4CA92A3D"/>
    <w:rsid w:val="4CAA3CF8"/>
    <w:rsid w:val="4CAF57B3"/>
    <w:rsid w:val="4CB3778E"/>
    <w:rsid w:val="4CC132CB"/>
    <w:rsid w:val="4CC90623"/>
    <w:rsid w:val="4CDE2382"/>
    <w:rsid w:val="4CE470D3"/>
    <w:rsid w:val="4CE8031A"/>
    <w:rsid w:val="4D0553D3"/>
    <w:rsid w:val="4D0F5105"/>
    <w:rsid w:val="4D1879C1"/>
    <w:rsid w:val="4D1D3D65"/>
    <w:rsid w:val="4D24438D"/>
    <w:rsid w:val="4D4723CF"/>
    <w:rsid w:val="4D504FAC"/>
    <w:rsid w:val="4D5A571F"/>
    <w:rsid w:val="4D5F2D35"/>
    <w:rsid w:val="4D602609"/>
    <w:rsid w:val="4D697710"/>
    <w:rsid w:val="4D706CF0"/>
    <w:rsid w:val="4D76426D"/>
    <w:rsid w:val="4D9E12A3"/>
    <w:rsid w:val="4D9F055C"/>
    <w:rsid w:val="4DA1334D"/>
    <w:rsid w:val="4DAE5A6A"/>
    <w:rsid w:val="4DCB6F06"/>
    <w:rsid w:val="4DD92F6D"/>
    <w:rsid w:val="4DEC4FB0"/>
    <w:rsid w:val="4E0039F5"/>
    <w:rsid w:val="4E075D8A"/>
    <w:rsid w:val="4E0B4C6B"/>
    <w:rsid w:val="4E110281"/>
    <w:rsid w:val="4E1F4272"/>
    <w:rsid w:val="4E213D88"/>
    <w:rsid w:val="4E374A3F"/>
    <w:rsid w:val="4E4E414A"/>
    <w:rsid w:val="4E65467D"/>
    <w:rsid w:val="4E6574E2"/>
    <w:rsid w:val="4E802B2D"/>
    <w:rsid w:val="4EAD5D22"/>
    <w:rsid w:val="4EC81323"/>
    <w:rsid w:val="4ECF6F50"/>
    <w:rsid w:val="4ED80FF1"/>
    <w:rsid w:val="4ED85F42"/>
    <w:rsid w:val="4EE03A01"/>
    <w:rsid w:val="4EF37BD9"/>
    <w:rsid w:val="4F0516BA"/>
    <w:rsid w:val="4F067A8F"/>
    <w:rsid w:val="4F2736A2"/>
    <w:rsid w:val="4F3B50DC"/>
    <w:rsid w:val="4F460A77"/>
    <w:rsid w:val="4F495A4B"/>
    <w:rsid w:val="4F5F526E"/>
    <w:rsid w:val="4F677E15"/>
    <w:rsid w:val="4F7725B8"/>
    <w:rsid w:val="4F8053FC"/>
    <w:rsid w:val="4F885D2B"/>
    <w:rsid w:val="4F904A1A"/>
    <w:rsid w:val="4F9A6216"/>
    <w:rsid w:val="4FAC695F"/>
    <w:rsid w:val="4FAE58AE"/>
    <w:rsid w:val="4FBC621D"/>
    <w:rsid w:val="4FC151B1"/>
    <w:rsid w:val="4FC275AB"/>
    <w:rsid w:val="4FC62A8C"/>
    <w:rsid w:val="4FD13549"/>
    <w:rsid w:val="4FD712A8"/>
    <w:rsid w:val="4FDA1E85"/>
    <w:rsid w:val="4FE20F0D"/>
    <w:rsid w:val="4FE623E8"/>
    <w:rsid w:val="4FF10AAF"/>
    <w:rsid w:val="4FF9121F"/>
    <w:rsid w:val="4FFE59CD"/>
    <w:rsid w:val="50037BD1"/>
    <w:rsid w:val="5019541D"/>
    <w:rsid w:val="502E69EF"/>
    <w:rsid w:val="50330BC6"/>
    <w:rsid w:val="503A5393"/>
    <w:rsid w:val="504023D9"/>
    <w:rsid w:val="50504C4B"/>
    <w:rsid w:val="50555492"/>
    <w:rsid w:val="50601B7A"/>
    <w:rsid w:val="50744992"/>
    <w:rsid w:val="50845E48"/>
    <w:rsid w:val="508C2093"/>
    <w:rsid w:val="50903205"/>
    <w:rsid w:val="509C6E7C"/>
    <w:rsid w:val="50A349B5"/>
    <w:rsid w:val="50B82E88"/>
    <w:rsid w:val="50BF6BDE"/>
    <w:rsid w:val="50C730CB"/>
    <w:rsid w:val="50DC591D"/>
    <w:rsid w:val="50E00F7F"/>
    <w:rsid w:val="50F679C1"/>
    <w:rsid w:val="51071986"/>
    <w:rsid w:val="510A745C"/>
    <w:rsid w:val="511D718F"/>
    <w:rsid w:val="513069E6"/>
    <w:rsid w:val="514566E6"/>
    <w:rsid w:val="51542485"/>
    <w:rsid w:val="51586F4E"/>
    <w:rsid w:val="515C538B"/>
    <w:rsid w:val="5162104E"/>
    <w:rsid w:val="51654692"/>
    <w:rsid w:val="517843C5"/>
    <w:rsid w:val="517C45F8"/>
    <w:rsid w:val="518D64DB"/>
    <w:rsid w:val="51944027"/>
    <w:rsid w:val="51954A02"/>
    <w:rsid w:val="51A26DCD"/>
    <w:rsid w:val="51B757D0"/>
    <w:rsid w:val="51C25640"/>
    <w:rsid w:val="51E63A25"/>
    <w:rsid w:val="51F24178"/>
    <w:rsid w:val="51F61CE0"/>
    <w:rsid w:val="522E0F28"/>
    <w:rsid w:val="523C53F3"/>
    <w:rsid w:val="523E70FE"/>
    <w:rsid w:val="5245699D"/>
    <w:rsid w:val="524751DF"/>
    <w:rsid w:val="52522E68"/>
    <w:rsid w:val="52576539"/>
    <w:rsid w:val="525A6314"/>
    <w:rsid w:val="526037D7"/>
    <w:rsid w:val="526430F9"/>
    <w:rsid w:val="52783526"/>
    <w:rsid w:val="527A5F1B"/>
    <w:rsid w:val="527E13D3"/>
    <w:rsid w:val="52834F24"/>
    <w:rsid w:val="52885CA8"/>
    <w:rsid w:val="528F5286"/>
    <w:rsid w:val="529214B7"/>
    <w:rsid w:val="5293624F"/>
    <w:rsid w:val="52992845"/>
    <w:rsid w:val="529C265F"/>
    <w:rsid w:val="52A47B79"/>
    <w:rsid w:val="52C673C7"/>
    <w:rsid w:val="52E10F88"/>
    <w:rsid w:val="52E33AC0"/>
    <w:rsid w:val="52EC6E19"/>
    <w:rsid w:val="53081779"/>
    <w:rsid w:val="530A57CE"/>
    <w:rsid w:val="531445C2"/>
    <w:rsid w:val="53184E30"/>
    <w:rsid w:val="532F27EE"/>
    <w:rsid w:val="533B1B4E"/>
    <w:rsid w:val="53402FC3"/>
    <w:rsid w:val="53486019"/>
    <w:rsid w:val="537F56AD"/>
    <w:rsid w:val="538452A3"/>
    <w:rsid w:val="53A039CC"/>
    <w:rsid w:val="53A1505A"/>
    <w:rsid w:val="53A63921"/>
    <w:rsid w:val="53AA2830"/>
    <w:rsid w:val="53B626A7"/>
    <w:rsid w:val="53BA4E02"/>
    <w:rsid w:val="53CE4770"/>
    <w:rsid w:val="53D2506A"/>
    <w:rsid w:val="53DF552A"/>
    <w:rsid w:val="53EB35B5"/>
    <w:rsid w:val="53F8359B"/>
    <w:rsid w:val="54063E08"/>
    <w:rsid w:val="54244390"/>
    <w:rsid w:val="54254A6D"/>
    <w:rsid w:val="542F72A2"/>
    <w:rsid w:val="543437E8"/>
    <w:rsid w:val="54382594"/>
    <w:rsid w:val="54484523"/>
    <w:rsid w:val="545B6043"/>
    <w:rsid w:val="545D0467"/>
    <w:rsid w:val="546E44B5"/>
    <w:rsid w:val="54705100"/>
    <w:rsid w:val="54816D63"/>
    <w:rsid w:val="549D01C5"/>
    <w:rsid w:val="54A0435F"/>
    <w:rsid w:val="54A11E85"/>
    <w:rsid w:val="54B51E36"/>
    <w:rsid w:val="54B576DE"/>
    <w:rsid w:val="54CC6D14"/>
    <w:rsid w:val="54E168AB"/>
    <w:rsid w:val="54E862B0"/>
    <w:rsid w:val="54F00716"/>
    <w:rsid w:val="550B72FE"/>
    <w:rsid w:val="551B1C37"/>
    <w:rsid w:val="55272665"/>
    <w:rsid w:val="552A59D6"/>
    <w:rsid w:val="552E03B1"/>
    <w:rsid w:val="552E2619"/>
    <w:rsid w:val="5537030C"/>
    <w:rsid w:val="553B4087"/>
    <w:rsid w:val="55432F3C"/>
    <w:rsid w:val="554A7E27"/>
    <w:rsid w:val="55515248"/>
    <w:rsid w:val="55620D75"/>
    <w:rsid w:val="55782BE6"/>
    <w:rsid w:val="5579070C"/>
    <w:rsid w:val="558D1E6B"/>
    <w:rsid w:val="55904B7D"/>
    <w:rsid w:val="559B174B"/>
    <w:rsid w:val="55A002E1"/>
    <w:rsid w:val="55C21289"/>
    <w:rsid w:val="55CB1B59"/>
    <w:rsid w:val="55CE0CF4"/>
    <w:rsid w:val="55E42029"/>
    <w:rsid w:val="55FB2647"/>
    <w:rsid w:val="55FF7FE5"/>
    <w:rsid w:val="561A1EEF"/>
    <w:rsid w:val="5640122A"/>
    <w:rsid w:val="564362A7"/>
    <w:rsid w:val="564615AB"/>
    <w:rsid w:val="565023B2"/>
    <w:rsid w:val="56503C3D"/>
    <w:rsid w:val="565847C5"/>
    <w:rsid w:val="565F7902"/>
    <w:rsid w:val="56673BDC"/>
    <w:rsid w:val="567012F9"/>
    <w:rsid w:val="56783445"/>
    <w:rsid w:val="567C6706"/>
    <w:rsid w:val="567D7990"/>
    <w:rsid w:val="56877819"/>
    <w:rsid w:val="56900255"/>
    <w:rsid w:val="56905D0D"/>
    <w:rsid w:val="56A812AE"/>
    <w:rsid w:val="56B22A9C"/>
    <w:rsid w:val="56B80FD4"/>
    <w:rsid w:val="56C40DB5"/>
    <w:rsid w:val="56C63E25"/>
    <w:rsid w:val="56D24578"/>
    <w:rsid w:val="56D402F0"/>
    <w:rsid w:val="56F60F76"/>
    <w:rsid w:val="56FC53E6"/>
    <w:rsid w:val="56FE27B8"/>
    <w:rsid w:val="56FE536D"/>
    <w:rsid w:val="570566FB"/>
    <w:rsid w:val="571050A0"/>
    <w:rsid w:val="57117823"/>
    <w:rsid w:val="57231423"/>
    <w:rsid w:val="572D203D"/>
    <w:rsid w:val="573945F7"/>
    <w:rsid w:val="573C40E7"/>
    <w:rsid w:val="574014E1"/>
    <w:rsid w:val="574B60D8"/>
    <w:rsid w:val="57554D6E"/>
    <w:rsid w:val="575651A9"/>
    <w:rsid w:val="57706A31"/>
    <w:rsid w:val="57772E5A"/>
    <w:rsid w:val="57821C5F"/>
    <w:rsid w:val="578735B4"/>
    <w:rsid w:val="57882E88"/>
    <w:rsid w:val="579139FB"/>
    <w:rsid w:val="57995095"/>
    <w:rsid w:val="579C55B7"/>
    <w:rsid w:val="579E26AC"/>
    <w:rsid w:val="57B72A76"/>
    <w:rsid w:val="57E2085B"/>
    <w:rsid w:val="57E502DB"/>
    <w:rsid w:val="58005114"/>
    <w:rsid w:val="58093FC9"/>
    <w:rsid w:val="581A4428"/>
    <w:rsid w:val="5825174F"/>
    <w:rsid w:val="58294241"/>
    <w:rsid w:val="582B03E3"/>
    <w:rsid w:val="583077A8"/>
    <w:rsid w:val="583A27BA"/>
    <w:rsid w:val="58403763"/>
    <w:rsid w:val="584E1FBB"/>
    <w:rsid w:val="584E5E80"/>
    <w:rsid w:val="58627B7D"/>
    <w:rsid w:val="586C7E58"/>
    <w:rsid w:val="587358E6"/>
    <w:rsid w:val="588B2C30"/>
    <w:rsid w:val="58A67C1C"/>
    <w:rsid w:val="58B90639"/>
    <w:rsid w:val="58D11441"/>
    <w:rsid w:val="58D81BED"/>
    <w:rsid w:val="58DF1EA0"/>
    <w:rsid w:val="58EE31BF"/>
    <w:rsid w:val="59083F15"/>
    <w:rsid w:val="590A39FA"/>
    <w:rsid w:val="59161258"/>
    <w:rsid w:val="59330A45"/>
    <w:rsid w:val="59352B56"/>
    <w:rsid w:val="59411541"/>
    <w:rsid w:val="59486D73"/>
    <w:rsid w:val="595B4CF8"/>
    <w:rsid w:val="59600F4B"/>
    <w:rsid w:val="59886A06"/>
    <w:rsid w:val="598C197E"/>
    <w:rsid w:val="59974DE6"/>
    <w:rsid w:val="59A0270B"/>
    <w:rsid w:val="59A02B41"/>
    <w:rsid w:val="59C2148F"/>
    <w:rsid w:val="59C54C85"/>
    <w:rsid w:val="59D10B16"/>
    <w:rsid w:val="59FD7B5D"/>
    <w:rsid w:val="59FE56A9"/>
    <w:rsid w:val="5A1C45BD"/>
    <w:rsid w:val="5A2748B5"/>
    <w:rsid w:val="5A2A0227"/>
    <w:rsid w:val="5A3C747D"/>
    <w:rsid w:val="5A623D90"/>
    <w:rsid w:val="5A6E704A"/>
    <w:rsid w:val="5A783688"/>
    <w:rsid w:val="5A7B0A82"/>
    <w:rsid w:val="5A902780"/>
    <w:rsid w:val="5A9C7376"/>
    <w:rsid w:val="5ABA15AB"/>
    <w:rsid w:val="5ABE2233"/>
    <w:rsid w:val="5AFA6F68"/>
    <w:rsid w:val="5AFB7D2F"/>
    <w:rsid w:val="5B044F1C"/>
    <w:rsid w:val="5B106EAE"/>
    <w:rsid w:val="5B120263"/>
    <w:rsid w:val="5B276D18"/>
    <w:rsid w:val="5B28056C"/>
    <w:rsid w:val="5B56343D"/>
    <w:rsid w:val="5B590DC3"/>
    <w:rsid w:val="5B593BA8"/>
    <w:rsid w:val="5B8F0C89"/>
    <w:rsid w:val="5B922527"/>
    <w:rsid w:val="5BB5460B"/>
    <w:rsid w:val="5BBB382C"/>
    <w:rsid w:val="5BC85F49"/>
    <w:rsid w:val="5BCD20F1"/>
    <w:rsid w:val="5BD70683"/>
    <w:rsid w:val="5BDF5D95"/>
    <w:rsid w:val="5C0C4088"/>
    <w:rsid w:val="5C1E2E18"/>
    <w:rsid w:val="5C2E163D"/>
    <w:rsid w:val="5C310F4A"/>
    <w:rsid w:val="5C5767C2"/>
    <w:rsid w:val="5C687049"/>
    <w:rsid w:val="5C732359"/>
    <w:rsid w:val="5C7F75E3"/>
    <w:rsid w:val="5C9347A9"/>
    <w:rsid w:val="5C9D1184"/>
    <w:rsid w:val="5C9F4EFC"/>
    <w:rsid w:val="5CA802DB"/>
    <w:rsid w:val="5CB14C2F"/>
    <w:rsid w:val="5CB90DC1"/>
    <w:rsid w:val="5CBF734C"/>
    <w:rsid w:val="5CD50CB1"/>
    <w:rsid w:val="5CEA1173"/>
    <w:rsid w:val="5D1276EC"/>
    <w:rsid w:val="5D1450ED"/>
    <w:rsid w:val="5D1458EA"/>
    <w:rsid w:val="5D246832"/>
    <w:rsid w:val="5D2670AC"/>
    <w:rsid w:val="5D2C42B6"/>
    <w:rsid w:val="5D380EAD"/>
    <w:rsid w:val="5D521F6E"/>
    <w:rsid w:val="5D55380D"/>
    <w:rsid w:val="5D665A1A"/>
    <w:rsid w:val="5D667DE3"/>
    <w:rsid w:val="5D6C282E"/>
    <w:rsid w:val="5D6E4CAC"/>
    <w:rsid w:val="5D752101"/>
    <w:rsid w:val="5D821D20"/>
    <w:rsid w:val="5DA54E78"/>
    <w:rsid w:val="5DA550B9"/>
    <w:rsid w:val="5DB449D7"/>
    <w:rsid w:val="5DB54E6D"/>
    <w:rsid w:val="5DB744C7"/>
    <w:rsid w:val="5DBF4F47"/>
    <w:rsid w:val="5DCB3ACF"/>
    <w:rsid w:val="5DD85D7E"/>
    <w:rsid w:val="5DDE6F83"/>
    <w:rsid w:val="5DE60909"/>
    <w:rsid w:val="5DF87A0F"/>
    <w:rsid w:val="5DFC3DAE"/>
    <w:rsid w:val="5DFE3EA4"/>
    <w:rsid w:val="5E080A84"/>
    <w:rsid w:val="5E14592A"/>
    <w:rsid w:val="5E1B2CA8"/>
    <w:rsid w:val="5E2D4789"/>
    <w:rsid w:val="5E364A4E"/>
    <w:rsid w:val="5E40706E"/>
    <w:rsid w:val="5E453881"/>
    <w:rsid w:val="5E705F80"/>
    <w:rsid w:val="5E7E508A"/>
    <w:rsid w:val="5E827618"/>
    <w:rsid w:val="5EA0107D"/>
    <w:rsid w:val="5EA52572"/>
    <w:rsid w:val="5EB033F0"/>
    <w:rsid w:val="5EB153BA"/>
    <w:rsid w:val="5EBA7C8A"/>
    <w:rsid w:val="5EC37AEA"/>
    <w:rsid w:val="5EEC3359"/>
    <w:rsid w:val="5EF32E58"/>
    <w:rsid w:val="5F0C25F1"/>
    <w:rsid w:val="5F104D39"/>
    <w:rsid w:val="5F1A2B43"/>
    <w:rsid w:val="5F3F4774"/>
    <w:rsid w:val="5F412CC2"/>
    <w:rsid w:val="5F5A0513"/>
    <w:rsid w:val="5F7408C2"/>
    <w:rsid w:val="5F847960"/>
    <w:rsid w:val="5F8F74AA"/>
    <w:rsid w:val="5F9745B0"/>
    <w:rsid w:val="5F9A19AB"/>
    <w:rsid w:val="5FB837BB"/>
    <w:rsid w:val="5FC657DD"/>
    <w:rsid w:val="5FCD57DA"/>
    <w:rsid w:val="5FDB26EF"/>
    <w:rsid w:val="5FDD698C"/>
    <w:rsid w:val="5FDF40EC"/>
    <w:rsid w:val="5FEA0B84"/>
    <w:rsid w:val="5FEB1832"/>
    <w:rsid w:val="5FFC400C"/>
    <w:rsid w:val="60006B5B"/>
    <w:rsid w:val="600216C7"/>
    <w:rsid w:val="600B4656"/>
    <w:rsid w:val="604B6664"/>
    <w:rsid w:val="605A37BF"/>
    <w:rsid w:val="60651565"/>
    <w:rsid w:val="60815C04"/>
    <w:rsid w:val="608A5EC3"/>
    <w:rsid w:val="608C09CC"/>
    <w:rsid w:val="608C1557"/>
    <w:rsid w:val="60910B83"/>
    <w:rsid w:val="609F3CBA"/>
    <w:rsid w:val="60A2287F"/>
    <w:rsid w:val="60A54AAB"/>
    <w:rsid w:val="60AA14A4"/>
    <w:rsid w:val="60AB7FC1"/>
    <w:rsid w:val="60AE1BB1"/>
    <w:rsid w:val="60B44CEE"/>
    <w:rsid w:val="60B62E5B"/>
    <w:rsid w:val="60C340AF"/>
    <w:rsid w:val="60C4005A"/>
    <w:rsid w:val="60D62EB6"/>
    <w:rsid w:val="60D86C2E"/>
    <w:rsid w:val="60F11E42"/>
    <w:rsid w:val="611539DF"/>
    <w:rsid w:val="611834CF"/>
    <w:rsid w:val="61397AE4"/>
    <w:rsid w:val="613A315C"/>
    <w:rsid w:val="6142054C"/>
    <w:rsid w:val="614222FA"/>
    <w:rsid w:val="61720E31"/>
    <w:rsid w:val="61AF1358"/>
    <w:rsid w:val="61B606DC"/>
    <w:rsid w:val="61B65F29"/>
    <w:rsid w:val="61C47E4F"/>
    <w:rsid w:val="621F079F"/>
    <w:rsid w:val="62314848"/>
    <w:rsid w:val="62316D43"/>
    <w:rsid w:val="62364782"/>
    <w:rsid w:val="6239194F"/>
    <w:rsid w:val="6243675A"/>
    <w:rsid w:val="624A76B8"/>
    <w:rsid w:val="624F1172"/>
    <w:rsid w:val="62522BF9"/>
    <w:rsid w:val="6267026A"/>
    <w:rsid w:val="626A7FAB"/>
    <w:rsid w:val="627209BD"/>
    <w:rsid w:val="627D7A8D"/>
    <w:rsid w:val="628D1AC8"/>
    <w:rsid w:val="628E28E5"/>
    <w:rsid w:val="62943029"/>
    <w:rsid w:val="62B40FD5"/>
    <w:rsid w:val="62C95A86"/>
    <w:rsid w:val="62CE1A5B"/>
    <w:rsid w:val="62D859E9"/>
    <w:rsid w:val="62D977A4"/>
    <w:rsid w:val="62DA0B23"/>
    <w:rsid w:val="62DE6052"/>
    <w:rsid w:val="62FB2B62"/>
    <w:rsid w:val="62FD57CB"/>
    <w:rsid w:val="6320666B"/>
    <w:rsid w:val="63280FF6"/>
    <w:rsid w:val="632A721A"/>
    <w:rsid w:val="63351E60"/>
    <w:rsid w:val="63385F40"/>
    <w:rsid w:val="63470D50"/>
    <w:rsid w:val="63512CC8"/>
    <w:rsid w:val="63591459"/>
    <w:rsid w:val="6361115D"/>
    <w:rsid w:val="63670A14"/>
    <w:rsid w:val="63732C3E"/>
    <w:rsid w:val="63833090"/>
    <w:rsid w:val="6384309D"/>
    <w:rsid w:val="638C0197"/>
    <w:rsid w:val="63A4104A"/>
    <w:rsid w:val="63A63014"/>
    <w:rsid w:val="63BE65AF"/>
    <w:rsid w:val="63C82AC9"/>
    <w:rsid w:val="63CC7BB4"/>
    <w:rsid w:val="63CD67F3"/>
    <w:rsid w:val="63D40BE9"/>
    <w:rsid w:val="63E0211F"/>
    <w:rsid w:val="63F07540"/>
    <w:rsid w:val="63FB599C"/>
    <w:rsid w:val="63FE4C1B"/>
    <w:rsid w:val="64061E4B"/>
    <w:rsid w:val="64151F2C"/>
    <w:rsid w:val="641806A8"/>
    <w:rsid w:val="641A55BD"/>
    <w:rsid w:val="64274B71"/>
    <w:rsid w:val="642755DA"/>
    <w:rsid w:val="64410F8F"/>
    <w:rsid w:val="64485E79"/>
    <w:rsid w:val="645D4678"/>
    <w:rsid w:val="646B4008"/>
    <w:rsid w:val="647B2DF6"/>
    <w:rsid w:val="64846EDD"/>
    <w:rsid w:val="64917820"/>
    <w:rsid w:val="649317EA"/>
    <w:rsid w:val="649875C9"/>
    <w:rsid w:val="649D70AF"/>
    <w:rsid w:val="64A75ABD"/>
    <w:rsid w:val="64A82DBC"/>
    <w:rsid w:val="64A96E72"/>
    <w:rsid w:val="64B930D1"/>
    <w:rsid w:val="64C179D9"/>
    <w:rsid w:val="64E741F2"/>
    <w:rsid w:val="64E75692"/>
    <w:rsid w:val="64ED7F67"/>
    <w:rsid w:val="64EE06F3"/>
    <w:rsid w:val="64EF2799"/>
    <w:rsid w:val="65000ECC"/>
    <w:rsid w:val="650A63BE"/>
    <w:rsid w:val="652777D6"/>
    <w:rsid w:val="65373578"/>
    <w:rsid w:val="654970E0"/>
    <w:rsid w:val="654A79CF"/>
    <w:rsid w:val="657F3B1C"/>
    <w:rsid w:val="65847385"/>
    <w:rsid w:val="658C5F92"/>
    <w:rsid w:val="65C11375"/>
    <w:rsid w:val="65EA4144"/>
    <w:rsid w:val="65EC64C3"/>
    <w:rsid w:val="660E6C4E"/>
    <w:rsid w:val="661324B7"/>
    <w:rsid w:val="66187ACD"/>
    <w:rsid w:val="661C6B52"/>
    <w:rsid w:val="661D46E2"/>
    <w:rsid w:val="66256DBE"/>
    <w:rsid w:val="662D3578"/>
    <w:rsid w:val="6635242D"/>
    <w:rsid w:val="66364232"/>
    <w:rsid w:val="66433697"/>
    <w:rsid w:val="66495ED8"/>
    <w:rsid w:val="665925BF"/>
    <w:rsid w:val="66805D9E"/>
    <w:rsid w:val="66837F7B"/>
    <w:rsid w:val="669E4476"/>
    <w:rsid w:val="66A852F5"/>
    <w:rsid w:val="66DB1226"/>
    <w:rsid w:val="66DD4F9F"/>
    <w:rsid w:val="66E159EC"/>
    <w:rsid w:val="66EB5B17"/>
    <w:rsid w:val="66F2031E"/>
    <w:rsid w:val="66F917BD"/>
    <w:rsid w:val="66FE3167"/>
    <w:rsid w:val="670A6AA8"/>
    <w:rsid w:val="671464E6"/>
    <w:rsid w:val="67213B6E"/>
    <w:rsid w:val="67220595"/>
    <w:rsid w:val="6727016E"/>
    <w:rsid w:val="67346B89"/>
    <w:rsid w:val="67366A4A"/>
    <w:rsid w:val="673F2C7A"/>
    <w:rsid w:val="67430D38"/>
    <w:rsid w:val="67801DCE"/>
    <w:rsid w:val="67824383"/>
    <w:rsid w:val="678673E4"/>
    <w:rsid w:val="678E5BEE"/>
    <w:rsid w:val="679B2764"/>
    <w:rsid w:val="67A33AFF"/>
    <w:rsid w:val="67C1364E"/>
    <w:rsid w:val="67D26A1E"/>
    <w:rsid w:val="67D514E1"/>
    <w:rsid w:val="67D77C40"/>
    <w:rsid w:val="67FA392E"/>
    <w:rsid w:val="68033A1F"/>
    <w:rsid w:val="681905FC"/>
    <w:rsid w:val="681F6961"/>
    <w:rsid w:val="682D3C2C"/>
    <w:rsid w:val="68356714"/>
    <w:rsid w:val="68386205"/>
    <w:rsid w:val="683E75F2"/>
    <w:rsid w:val="684140AE"/>
    <w:rsid w:val="68420E31"/>
    <w:rsid w:val="68441266"/>
    <w:rsid w:val="684A6664"/>
    <w:rsid w:val="68610A2F"/>
    <w:rsid w:val="6865349E"/>
    <w:rsid w:val="687C2595"/>
    <w:rsid w:val="68805514"/>
    <w:rsid w:val="68851B37"/>
    <w:rsid w:val="68890C27"/>
    <w:rsid w:val="688D6550"/>
    <w:rsid w:val="688F4E56"/>
    <w:rsid w:val="68965D35"/>
    <w:rsid w:val="68C61A62"/>
    <w:rsid w:val="68CA23D1"/>
    <w:rsid w:val="68D7589B"/>
    <w:rsid w:val="68F71C1C"/>
    <w:rsid w:val="694E2071"/>
    <w:rsid w:val="69567CE1"/>
    <w:rsid w:val="69594684"/>
    <w:rsid w:val="696C7FA8"/>
    <w:rsid w:val="697A3B33"/>
    <w:rsid w:val="697B45FB"/>
    <w:rsid w:val="69841F02"/>
    <w:rsid w:val="698C2CAC"/>
    <w:rsid w:val="6991693E"/>
    <w:rsid w:val="69925B6A"/>
    <w:rsid w:val="699B6A4B"/>
    <w:rsid w:val="699E02E9"/>
    <w:rsid w:val="699E2456"/>
    <w:rsid w:val="69A41463"/>
    <w:rsid w:val="69A63C93"/>
    <w:rsid w:val="69C51D1A"/>
    <w:rsid w:val="69DA3A17"/>
    <w:rsid w:val="69E9424C"/>
    <w:rsid w:val="69EC54F9"/>
    <w:rsid w:val="69F402A6"/>
    <w:rsid w:val="69FB573C"/>
    <w:rsid w:val="6A08639F"/>
    <w:rsid w:val="6A24240C"/>
    <w:rsid w:val="6A717D4B"/>
    <w:rsid w:val="6A8252DA"/>
    <w:rsid w:val="6A902328"/>
    <w:rsid w:val="6A96067E"/>
    <w:rsid w:val="6AC87D14"/>
    <w:rsid w:val="6ACE1584"/>
    <w:rsid w:val="6AD83AD4"/>
    <w:rsid w:val="6ADD4D4C"/>
    <w:rsid w:val="6AE21755"/>
    <w:rsid w:val="6AE30927"/>
    <w:rsid w:val="6AF66D84"/>
    <w:rsid w:val="6AF863DD"/>
    <w:rsid w:val="6B011F97"/>
    <w:rsid w:val="6B057271"/>
    <w:rsid w:val="6B1271E1"/>
    <w:rsid w:val="6B1B3DAE"/>
    <w:rsid w:val="6B1B42E7"/>
    <w:rsid w:val="6B295AA1"/>
    <w:rsid w:val="6B2B6F3E"/>
    <w:rsid w:val="6B322639"/>
    <w:rsid w:val="6B4227D3"/>
    <w:rsid w:val="6B423CEE"/>
    <w:rsid w:val="6B451364"/>
    <w:rsid w:val="6B5275DD"/>
    <w:rsid w:val="6B5D71DA"/>
    <w:rsid w:val="6B712159"/>
    <w:rsid w:val="6BBF210D"/>
    <w:rsid w:val="6BC71D79"/>
    <w:rsid w:val="6BCF16EA"/>
    <w:rsid w:val="6BD36970"/>
    <w:rsid w:val="6BDF4621"/>
    <w:rsid w:val="6BF32A99"/>
    <w:rsid w:val="6C094140"/>
    <w:rsid w:val="6C255926"/>
    <w:rsid w:val="6C293FE6"/>
    <w:rsid w:val="6C2B67AC"/>
    <w:rsid w:val="6C3513D9"/>
    <w:rsid w:val="6C35541B"/>
    <w:rsid w:val="6C476B40"/>
    <w:rsid w:val="6C5555D7"/>
    <w:rsid w:val="6C5B0E93"/>
    <w:rsid w:val="6C5C4BB7"/>
    <w:rsid w:val="6C636C38"/>
    <w:rsid w:val="6C7F2654"/>
    <w:rsid w:val="6CAD0F6F"/>
    <w:rsid w:val="6CB20E55"/>
    <w:rsid w:val="6CCD7768"/>
    <w:rsid w:val="6CD209D6"/>
    <w:rsid w:val="6CE626D3"/>
    <w:rsid w:val="6CED5810"/>
    <w:rsid w:val="6D056FFD"/>
    <w:rsid w:val="6D0A42DF"/>
    <w:rsid w:val="6D0D1A0E"/>
    <w:rsid w:val="6D2317C0"/>
    <w:rsid w:val="6D396CA7"/>
    <w:rsid w:val="6D481DDA"/>
    <w:rsid w:val="6D5E670D"/>
    <w:rsid w:val="6D765B32"/>
    <w:rsid w:val="6D7C0AE9"/>
    <w:rsid w:val="6D8C7F00"/>
    <w:rsid w:val="6D912219"/>
    <w:rsid w:val="6D920165"/>
    <w:rsid w:val="6DA929B8"/>
    <w:rsid w:val="6DB34098"/>
    <w:rsid w:val="6DB545B6"/>
    <w:rsid w:val="6DCD5CB1"/>
    <w:rsid w:val="6DD50263"/>
    <w:rsid w:val="6DEA7FA1"/>
    <w:rsid w:val="6DEE32ED"/>
    <w:rsid w:val="6DEE7A91"/>
    <w:rsid w:val="6DEF114A"/>
    <w:rsid w:val="6E072901"/>
    <w:rsid w:val="6E0F345F"/>
    <w:rsid w:val="6E106332"/>
    <w:rsid w:val="6E114367"/>
    <w:rsid w:val="6E2E7D17"/>
    <w:rsid w:val="6E31797E"/>
    <w:rsid w:val="6E3336E6"/>
    <w:rsid w:val="6E396833"/>
    <w:rsid w:val="6E3A33B0"/>
    <w:rsid w:val="6E3C26AA"/>
    <w:rsid w:val="6E421387"/>
    <w:rsid w:val="6E4375A0"/>
    <w:rsid w:val="6E4678CD"/>
    <w:rsid w:val="6E4E6782"/>
    <w:rsid w:val="6E514CED"/>
    <w:rsid w:val="6E516FAE"/>
    <w:rsid w:val="6E59299A"/>
    <w:rsid w:val="6E6829CA"/>
    <w:rsid w:val="6E6E2980"/>
    <w:rsid w:val="6E79491A"/>
    <w:rsid w:val="6E7D32FC"/>
    <w:rsid w:val="6E9D2788"/>
    <w:rsid w:val="6E9D5DAA"/>
    <w:rsid w:val="6EAE135C"/>
    <w:rsid w:val="6EB563D5"/>
    <w:rsid w:val="6EBD1212"/>
    <w:rsid w:val="6EC72090"/>
    <w:rsid w:val="6EC73074"/>
    <w:rsid w:val="6ECE01AD"/>
    <w:rsid w:val="6EE13152"/>
    <w:rsid w:val="6EF70BC7"/>
    <w:rsid w:val="6EF71009"/>
    <w:rsid w:val="6EF822A2"/>
    <w:rsid w:val="6EF84E1E"/>
    <w:rsid w:val="6EFC4E00"/>
    <w:rsid w:val="6EFF5CCE"/>
    <w:rsid w:val="6F1843FB"/>
    <w:rsid w:val="6F225983"/>
    <w:rsid w:val="6F293D2F"/>
    <w:rsid w:val="6F2B261F"/>
    <w:rsid w:val="6F322B11"/>
    <w:rsid w:val="6F3332FA"/>
    <w:rsid w:val="6F62308B"/>
    <w:rsid w:val="6F71472B"/>
    <w:rsid w:val="6F7C598B"/>
    <w:rsid w:val="6F7D6439"/>
    <w:rsid w:val="6F871F4B"/>
    <w:rsid w:val="6FA04DBB"/>
    <w:rsid w:val="6FBB32CD"/>
    <w:rsid w:val="6FC3279B"/>
    <w:rsid w:val="6FC33FD3"/>
    <w:rsid w:val="6FD0136E"/>
    <w:rsid w:val="6FF1412A"/>
    <w:rsid w:val="6FFC5590"/>
    <w:rsid w:val="70057314"/>
    <w:rsid w:val="7020414E"/>
    <w:rsid w:val="70253512"/>
    <w:rsid w:val="70301DA3"/>
    <w:rsid w:val="70461BF6"/>
    <w:rsid w:val="704B11CB"/>
    <w:rsid w:val="706D1DD0"/>
    <w:rsid w:val="70702A2C"/>
    <w:rsid w:val="70702E41"/>
    <w:rsid w:val="7073427E"/>
    <w:rsid w:val="70737301"/>
    <w:rsid w:val="707C2E80"/>
    <w:rsid w:val="70856B87"/>
    <w:rsid w:val="7089584F"/>
    <w:rsid w:val="70944D11"/>
    <w:rsid w:val="70957CC5"/>
    <w:rsid w:val="709A3F00"/>
    <w:rsid w:val="70A5064C"/>
    <w:rsid w:val="70B328CC"/>
    <w:rsid w:val="70C44AD9"/>
    <w:rsid w:val="70D421A3"/>
    <w:rsid w:val="70D527EE"/>
    <w:rsid w:val="70E1438C"/>
    <w:rsid w:val="70E364A3"/>
    <w:rsid w:val="70F5124E"/>
    <w:rsid w:val="710F11CF"/>
    <w:rsid w:val="711C2B67"/>
    <w:rsid w:val="711C60A2"/>
    <w:rsid w:val="715673E9"/>
    <w:rsid w:val="715B5300"/>
    <w:rsid w:val="715F4BD7"/>
    <w:rsid w:val="71664926"/>
    <w:rsid w:val="71810C1C"/>
    <w:rsid w:val="71887ECD"/>
    <w:rsid w:val="718D75C1"/>
    <w:rsid w:val="71C058B9"/>
    <w:rsid w:val="71C254BD"/>
    <w:rsid w:val="71CB4953"/>
    <w:rsid w:val="71D27F8A"/>
    <w:rsid w:val="71D95ABF"/>
    <w:rsid w:val="71E573FD"/>
    <w:rsid w:val="71F272E6"/>
    <w:rsid w:val="71F744C6"/>
    <w:rsid w:val="71F960CF"/>
    <w:rsid w:val="72097BAE"/>
    <w:rsid w:val="72192252"/>
    <w:rsid w:val="722515A8"/>
    <w:rsid w:val="72293333"/>
    <w:rsid w:val="723E22A6"/>
    <w:rsid w:val="724D3CEF"/>
    <w:rsid w:val="72536115"/>
    <w:rsid w:val="725C6020"/>
    <w:rsid w:val="725E7322"/>
    <w:rsid w:val="726E2F4F"/>
    <w:rsid w:val="72854A5A"/>
    <w:rsid w:val="72881782"/>
    <w:rsid w:val="728A58AF"/>
    <w:rsid w:val="729B1A87"/>
    <w:rsid w:val="729B5D0E"/>
    <w:rsid w:val="72AB6C77"/>
    <w:rsid w:val="72B648F6"/>
    <w:rsid w:val="72BB015E"/>
    <w:rsid w:val="72C43282"/>
    <w:rsid w:val="72C60FDD"/>
    <w:rsid w:val="72D33945"/>
    <w:rsid w:val="72D752CA"/>
    <w:rsid w:val="72D8343A"/>
    <w:rsid w:val="72E6342D"/>
    <w:rsid w:val="72EC3195"/>
    <w:rsid w:val="72FE2C1A"/>
    <w:rsid w:val="73011896"/>
    <w:rsid w:val="7318735E"/>
    <w:rsid w:val="731F5D5E"/>
    <w:rsid w:val="73214465"/>
    <w:rsid w:val="73243C56"/>
    <w:rsid w:val="732D2E0A"/>
    <w:rsid w:val="732E6EBC"/>
    <w:rsid w:val="734B0AAB"/>
    <w:rsid w:val="734B14E2"/>
    <w:rsid w:val="7356771A"/>
    <w:rsid w:val="73836ECE"/>
    <w:rsid w:val="7391749F"/>
    <w:rsid w:val="73982F48"/>
    <w:rsid w:val="739F1E75"/>
    <w:rsid w:val="73A56E44"/>
    <w:rsid w:val="73AF016D"/>
    <w:rsid w:val="73C117A4"/>
    <w:rsid w:val="73C42070"/>
    <w:rsid w:val="73C85B40"/>
    <w:rsid w:val="73D239B1"/>
    <w:rsid w:val="73D41640"/>
    <w:rsid w:val="73D95FC1"/>
    <w:rsid w:val="73E060CE"/>
    <w:rsid w:val="73EA052A"/>
    <w:rsid w:val="73EA205F"/>
    <w:rsid w:val="73F9507C"/>
    <w:rsid w:val="73FB367F"/>
    <w:rsid w:val="741C0D47"/>
    <w:rsid w:val="741E793C"/>
    <w:rsid w:val="7427745B"/>
    <w:rsid w:val="7431370C"/>
    <w:rsid w:val="743A3291"/>
    <w:rsid w:val="744E128A"/>
    <w:rsid w:val="74512B28"/>
    <w:rsid w:val="745D7F11"/>
    <w:rsid w:val="745E1854"/>
    <w:rsid w:val="7475039B"/>
    <w:rsid w:val="74836938"/>
    <w:rsid w:val="748F1CC1"/>
    <w:rsid w:val="749B605C"/>
    <w:rsid w:val="749D2D5C"/>
    <w:rsid w:val="74A569D0"/>
    <w:rsid w:val="74A72748"/>
    <w:rsid w:val="74AE1D28"/>
    <w:rsid w:val="74C56B7E"/>
    <w:rsid w:val="74C70FE0"/>
    <w:rsid w:val="74C90910"/>
    <w:rsid w:val="74D46575"/>
    <w:rsid w:val="74D54F3C"/>
    <w:rsid w:val="74E4399C"/>
    <w:rsid w:val="75151DA7"/>
    <w:rsid w:val="75183646"/>
    <w:rsid w:val="751B1584"/>
    <w:rsid w:val="75232CC1"/>
    <w:rsid w:val="752A3B98"/>
    <w:rsid w:val="752A7CD3"/>
    <w:rsid w:val="752D5343"/>
    <w:rsid w:val="752E7274"/>
    <w:rsid w:val="75306043"/>
    <w:rsid w:val="75394176"/>
    <w:rsid w:val="75431FEB"/>
    <w:rsid w:val="754D07DA"/>
    <w:rsid w:val="755723C0"/>
    <w:rsid w:val="75575F1C"/>
    <w:rsid w:val="75653C64"/>
    <w:rsid w:val="756B594D"/>
    <w:rsid w:val="756B5E6B"/>
    <w:rsid w:val="756B730A"/>
    <w:rsid w:val="75722A45"/>
    <w:rsid w:val="757F3A75"/>
    <w:rsid w:val="757F4EE4"/>
    <w:rsid w:val="758D1F43"/>
    <w:rsid w:val="758D75E2"/>
    <w:rsid w:val="75947170"/>
    <w:rsid w:val="759977B7"/>
    <w:rsid w:val="75BB5DF7"/>
    <w:rsid w:val="75C91840"/>
    <w:rsid w:val="75CB3577"/>
    <w:rsid w:val="75FC4D15"/>
    <w:rsid w:val="75FF26F5"/>
    <w:rsid w:val="76022B63"/>
    <w:rsid w:val="7610431D"/>
    <w:rsid w:val="7619667B"/>
    <w:rsid w:val="761B3AA1"/>
    <w:rsid w:val="761D2516"/>
    <w:rsid w:val="76200A04"/>
    <w:rsid w:val="76206D49"/>
    <w:rsid w:val="76263B40"/>
    <w:rsid w:val="7630676D"/>
    <w:rsid w:val="763C15B6"/>
    <w:rsid w:val="763D0250"/>
    <w:rsid w:val="76525BE7"/>
    <w:rsid w:val="76654669"/>
    <w:rsid w:val="76733229"/>
    <w:rsid w:val="768D0F4C"/>
    <w:rsid w:val="76960CC6"/>
    <w:rsid w:val="76BF709D"/>
    <w:rsid w:val="76CD1DA1"/>
    <w:rsid w:val="76F7737E"/>
    <w:rsid w:val="770518F3"/>
    <w:rsid w:val="772207AC"/>
    <w:rsid w:val="772B755F"/>
    <w:rsid w:val="77446974"/>
    <w:rsid w:val="77464AF8"/>
    <w:rsid w:val="776C1A27"/>
    <w:rsid w:val="77762421"/>
    <w:rsid w:val="77830123"/>
    <w:rsid w:val="778E5E41"/>
    <w:rsid w:val="779571D0"/>
    <w:rsid w:val="77B75398"/>
    <w:rsid w:val="77C43611"/>
    <w:rsid w:val="77D5775F"/>
    <w:rsid w:val="77E048EF"/>
    <w:rsid w:val="77E31CE9"/>
    <w:rsid w:val="77E43CB3"/>
    <w:rsid w:val="77EE050C"/>
    <w:rsid w:val="77F27A3E"/>
    <w:rsid w:val="780F09F4"/>
    <w:rsid w:val="782B7A82"/>
    <w:rsid w:val="782C253B"/>
    <w:rsid w:val="7846016E"/>
    <w:rsid w:val="784B4BDC"/>
    <w:rsid w:val="784C211C"/>
    <w:rsid w:val="78766784"/>
    <w:rsid w:val="78786305"/>
    <w:rsid w:val="787B0173"/>
    <w:rsid w:val="789C4F47"/>
    <w:rsid w:val="78A21BA4"/>
    <w:rsid w:val="78A51694"/>
    <w:rsid w:val="78A90480"/>
    <w:rsid w:val="78B813C8"/>
    <w:rsid w:val="78BE4504"/>
    <w:rsid w:val="78CD1717"/>
    <w:rsid w:val="78CE1FE7"/>
    <w:rsid w:val="78D65BEF"/>
    <w:rsid w:val="78E51A91"/>
    <w:rsid w:val="78E6295C"/>
    <w:rsid w:val="78E87223"/>
    <w:rsid w:val="78F46178"/>
    <w:rsid w:val="78F63C9E"/>
    <w:rsid w:val="7915026D"/>
    <w:rsid w:val="791907C6"/>
    <w:rsid w:val="7951077C"/>
    <w:rsid w:val="795B6287"/>
    <w:rsid w:val="796926C2"/>
    <w:rsid w:val="79794D72"/>
    <w:rsid w:val="79811327"/>
    <w:rsid w:val="79836B0A"/>
    <w:rsid w:val="7993773F"/>
    <w:rsid w:val="79A220FB"/>
    <w:rsid w:val="79B3393D"/>
    <w:rsid w:val="79BA36A6"/>
    <w:rsid w:val="79C46A79"/>
    <w:rsid w:val="79CA6FD0"/>
    <w:rsid w:val="79D15FC6"/>
    <w:rsid w:val="79DC10E6"/>
    <w:rsid w:val="79E70D0C"/>
    <w:rsid w:val="79E94EAD"/>
    <w:rsid w:val="79EA2C5F"/>
    <w:rsid w:val="79EA61EA"/>
    <w:rsid w:val="79FF4DD4"/>
    <w:rsid w:val="7A020420"/>
    <w:rsid w:val="7A07196A"/>
    <w:rsid w:val="7A097A01"/>
    <w:rsid w:val="7A0C1A6C"/>
    <w:rsid w:val="7A0C2FD8"/>
    <w:rsid w:val="7A1510FB"/>
    <w:rsid w:val="7A1663B5"/>
    <w:rsid w:val="7A1C14E2"/>
    <w:rsid w:val="7A1E34AC"/>
    <w:rsid w:val="7A1F5E8C"/>
    <w:rsid w:val="7A2F5B40"/>
    <w:rsid w:val="7A364017"/>
    <w:rsid w:val="7A3727C0"/>
    <w:rsid w:val="7A3C4946"/>
    <w:rsid w:val="7A4854B0"/>
    <w:rsid w:val="7A5769BE"/>
    <w:rsid w:val="7A587B47"/>
    <w:rsid w:val="7A6449BB"/>
    <w:rsid w:val="7A690B4B"/>
    <w:rsid w:val="7A7B26AD"/>
    <w:rsid w:val="7A8265E1"/>
    <w:rsid w:val="7A8A01C7"/>
    <w:rsid w:val="7A9E45ED"/>
    <w:rsid w:val="7A9E5A95"/>
    <w:rsid w:val="7ABC4A73"/>
    <w:rsid w:val="7AD63D87"/>
    <w:rsid w:val="7AEA5A84"/>
    <w:rsid w:val="7B0433F3"/>
    <w:rsid w:val="7B0F1874"/>
    <w:rsid w:val="7B1D667F"/>
    <w:rsid w:val="7B2014A6"/>
    <w:rsid w:val="7B3265FA"/>
    <w:rsid w:val="7B486307"/>
    <w:rsid w:val="7B4D1357"/>
    <w:rsid w:val="7B536746"/>
    <w:rsid w:val="7B5F5B2A"/>
    <w:rsid w:val="7B686D42"/>
    <w:rsid w:val="7B784E3E"/>
    <w:rsid w:val="7B7D06A6"/>
    <w:rsid w:val="7B803CF3"/>
    <w:rsid w:val="7B841746"/>
    <w:rsid w:val="7B8F1213"/>
    <w:rsid w:val="7B922DED"/>
    <w:rsid w:val="7B9A586D"/>
    <w:rsid w:val="7BA64D48"/>
    <w:rsid w:val="7BB22021"/>
    <w:rsid w:val="7BB22970"/>
    <w:rsid w:val="7BBF481B"/>
    <w:rsid w:val="7BF22E42"/>
    <w:rsid w:val="7C025570"/>
    <w:rsid w:val="7C044924"/>
    <w:rsid w:val="7C1475DC"/>
    <w:rsid w:val="7C547EF9"/>
    <w:rsid w:val="7C613B24"/>
    <w:rsid w:val="7C6230DB"/>
    <w:rsid w:val="7C7349C3"/>
    <w:rsid w:val="7C7E2011"/>
    <w:rsid w:val="7C7F110C"/>
    <w:rsid w:val="7C8A4E29"/>
    <w:rsid w:val="7C8D2C1A"/>
    <w:rsid w:val="7C9931A2"/>
    <w:rsid w:val="7CA42128"/>
    <w:rsid w:val="7CC04CEF"/>
    <w:rsid w:val="7CCF3496"/>
    <w:rsid w:val="7CD460A4"/>
    <w:rsid w:val="7CDC4FC8"/>
    <w:rsid w:val="7CE3371D"/>
    <w:rsid w:val="7CE85E00"/>
    <w:rsid w:val="7CF624BE"/>
    <w:rsid w:val="7D0239FF"/>
    <w:rsid w:val="7D080444"/>
    <w:rsid w:val="7D15366F"/>
    <w:rsid w:val="7D1E5AD5"/>
    <w:rsid w:val="7D285395"/>
    <w:rsid w:val="7D4274B2"/>
    <w:rsid w:val="7D52684D"/>
    <w:rsid w:val="7D5947FB"/>
    <w:rsid w:val="7D5E40CD"/>
    <w:rsid w:val="7D693BED"/>
    <w:rsid w:val="7D80447E"/>
    <w:rsid w:val="7D871368"/>
    <w:rsid w:val="7D8F021D"/>
    <w:rsid w:val="7D9029B1"/>
    <w:rsid w:val="7D9615AC"/>
    <w:rsid w:val="7DA0242A"/>
    <w:rsid w:val="7DAA37F9"/>
    <w:rsid w:val="7DD45476"/>
    <w:rsid w:val="7E06627E"/>
    <w:rsid w:val="7E096221"/>
    <w:rsid w:val="7E132BFC"/>
    <w:rsid w:val="7E1E2589"/>
    <w:rsid w:val="7E4712E8"/>
    <w:rsid w:val="7E492AC2"/>
    <w:rsid w:val="7E7C2E97"/>
    <w:rsid w:val="7E841D32"/>
    <w:rsid w:val="7E8B43E5"/>
    <w:rsid w:val="7E8B4E88"/>
    <w:rsid w:val="7EA360F3"/>
    <w:rsid w:val="7EAF501B"/>
    <w:rsid w:val="7EC363D0"/>
    <w:rsid w:val="7EC565EC"/>
    <w:rsid w:val="7EC576CC"/>
    <w:rsid w:val="7EC912A5"/>
    <w:rsid w:val="7EDC6378"/>
    <w:rsid w:val="7EE36A72"/>
    <w:rsid w:val="7F0A04A3"/>
    <w:rsid w:val="7F0E192E"/>
    <w:rsid w:val="7F0F56D1"/>
    <w:rsid w:val="7F1D6D3B"/>
    <w:rsid w:val="7F345520"/>
    <w:rsid w:val="7F34757D"/>
    <w:rsid w:val="7F3B737D"/>
    <w:rsid w:val="7F4F4108"/>
    <w:rsid w:val="7F6A7A3B"/>
    <w:rsid w:val="7F7F2FD4"/>
    <w:rsid w:val="7F983D01"/>
    <w:rsid w:val="7FA51F7A"/>
    <w:rsid w:val="7FA61459"/>
    <w:rsid w:val="7FAC3558"/>
    <w:rsid w:val="7FBF303C"/>
    <w:rsid w:val="7FBF5AB3"/>
    <w:rsid w:val="7FC543CA"/>
    <w:rsid w:val="7FD02953"/>
    <w:rsid w:val="7FD34D39"/>
    <w:rsid w:val="7FE47E50"/>
    <w:rsid w:val="7FE707E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mc:AlternateContent>
    <mc:Choice Requires="wpsCustomData">
      <wpsCustomData:typoFeatureVersion val="0"/>
    </mc:Choice>
  </mc:AlternateConten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ocked="1"/>
    <w:lsdException w:qFormat="1" w:unhideWhenUsed="0" w:uiPriority="0" w:semiHidden="0" w:name="heading 3" w:locked="1"/>
    <w:lsdException w:qFormat="1" w:uiPriority="0" w:semiHidden="0" w:name="heading 4" w:locked="1"/>
    <w:lsdException w:qFormat="1" w:uiPriority="0"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99"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ocked="1"/>
    <w:lsdException w:qFormat="1" w:unhideWhenUsed="0" w:uiPriority="39" w:semiHidden="0" w:name="toc 2" w:locked="1"/>
    <w:lsdException w:qFormat="1"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iPriority="99" w:semiHidden="0" w:name="Normal Indent"/>
    <w:lsdException w:unhideWhenUsed="0" w:uiPriority="0" w:semiHidden="0" w:name="footnote text"/>
    <w:lsdException w:qFormat="1" w:unhideWhenUsed="0" w:uiPriority="0" w:name="annotation text"/>
    <w:lsdException w:qFormat="1" w:unhideWhenUsed="0" w:uiPriority="0" w:semiHidden="0" w:name="header"/>
    <w:lsdException w:qFormat="1" w:unhideWhenUsed="0" w:uiPriority="0" w:semiHidden="0" w:name="footer"/>
    <w:lsdException w:qFormat="1" w:uiPriority="99" w:semiHidden="0" w:name="index heading"/>
    <w:lsdException w:qFormat="1" w:uiPriority="0" w:name="caption" w:locked="1"/>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qFormat="1" w:unhideWhenUsed="0" w:uiPriority="0" w:semiHidden="0" w:name="toa heading"/>
    <w:lsdException w:qFormat="1"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qFormat="1"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ocked="1"/>
    <w:lsdException w:unhideWhenUsed="0" w:uiPriority="0" w:semiHidden="0" w:name="Closing"/>
    <w:lsdException w:unhideWhenUsed="0" w:uiPriority="0" w:semiHidden="0" w:name="Signature"/>
    <w:lsdException w:qFormat="1" w:uiPriority="1" w:semiHidden="0" w:name="Default Paragraph Font"/>
    <w:lsdException w:qFormat="1" w:unhideWhenUsed="0" w:uiPriority="0" w:semiHidden="0" w:name="Body Text"/>
    <w:lsdException w:qFormat="1" w:unhideWhenUsed="0" w:uiPriority="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ocked="1"/>
    <w:lsdException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iPriority="99" w:semiHidden="0" w:name="Body Text Indent 2"/>
    <w:lsdException w:unhideWhenUsed="0" w:uiPriority="0" w:semiHidden="0" w:name="Body Text Indent 3"/>
    <w:lsdException w:unhideWhenUsed="0" w:uiPriority="0" w:semiHidden="0" w:name="Block Text"/>
    <w:lsdException w:qFormat="1" w:uiPriority="99" w:semiHidden="0" w:name="Hyperlink"/>
    <w:lsdException w:unhideWhenUsed="0" w:uiPriority="0" w:semiHidden="0" w:name="FollowedHyperlink"/>
    <w:lsdException w:qFormat="1" w:unhideWhenUsed="0" w:uiPriority="22" w:semiHidden="0" w:name="Strong" w:locked="1"/>
    <w:lsdException w:qFormat="1" w:unhideWhenUsed="0" w:uiPriority="0" w:semiHidden="0" w:name="Emphasis" w:locked="1"/>
    <w:lsdException w:unhideWhenUsed="0" w:uiPriority="0" w:semiHidden="0" w:name="Document Map"/>
    <w:lsdException w:qFormat="1" w:uiPriority="99" w:semiHidden="0" w:name="Plain Text"/>
    <w:lsdException w:qFormat="1" w:unhideWhenUsed="0" w:uiPriority="99"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spacing w:line="360" w:lineRule="auto"/>
      <w:ind w:firstLine="720" w:firstLineChars="200"/>
      <w:jc w:val="both"/>
    </w:pPr>
    <w:rPr>
      <w:rFonts w:ascii="Times New Roman" w:hAnsi="Times New Roman" w:eastAsia="宋体" w:cs="Times New Roman"/>
      <w:kern w:val="2"/>
      <w:sz w:val="24"/>
      <w:szCs w:val="24"/>
      <w:lang w:val="en-US" w:eastAsia="zh-CN" w:bidi="ar-SA"/>
    </w:rPr>
  </w:style>
  <w:style w:type="paragraph" w:styleId="15">
    <w:name w:val="heading 1"/>
    <w:basedOn w:val="1"/>
    <w:next w:val="1"/>
    <w:autoRedefine/>
    <w:qFormat/>
    <w:uiPriority w:val="0"/>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16">
    <w:name w:val="heading 2"/>
    <w:basedOn w:val="1"/>
    <w:next w:val="1"/>
    <w:unhideWhenUsed/>
    <w:qFormat/>
    <w:locked/>
    <w:uiPriority w:val="0"/>
    <w:pPr>
      <w:keepNext/>
      <w:keepLines/>
      <w:numPr>
        <w:ilvl w:val="1"/>
        <w:numId w:val="1"/>
      </w:numPr>
      <w:adjustRightInd w:val="0"/>
      <w:spacing w:before="200" w:after="200" w:line="413" w:lineRule="auto"/>
      <w:ind w:firstLineChars="0"/>
      <w:outlineLvl w:val="1"/>
    </w:pPr>
    <w:rPr>
      <w:rFonts w:ascii="Arial" w:hAnsi="Arial"/>
      <w:b/>
      <w:sz w:val="30"/>
    </w:rPr>
  </w:style>
  <w:style w:type="paragraph" w:styleId="17">
    <w:name w:val="heading 3"/>
    <w:basedOn w:val="1"/>
    <w:next w:val="1"/>
    <w:qFormat/>
    <w:locked/>
    <w:uiPriority w:val="0"/>
    <w:pPr>
      <w:spacing w:before="100" w:beforeAutospacing="1" w:after="100" w:afterAutospacing="1"/>
      <w:jc w:val="left"/>
      <w:outlineLvl w:val="2"/>
    </w:pPr>
    <w:rPr>
      <w:rFonts w:hint="eastAsia" w:ascii="宋体" w:hAnsi="宋体"/>
      <w:b/>
      <w:bCs/>
      <w:kern w:val="0"/>
      <w:sz w:val="27"/>
      <w:szCs w:val="27"/>
    </w:rPr>
  </w:style>
  <w:style w:type="paragraph" w:styleId="18">
    <w:name w:val="heading 4"/>
    <w:basedOn w:val="1"/>
    <w:next w:val="1"/>
    <w:unhideWhenUsed/>
    <w:qFormat/>
    <w:locked/>
    <w:uiPriority w:val="0"/>
    <w:pPr>
      <w:keepNext/>
      <w:keepLines/>
      <w:numPr>
        <w:ilvl w:val="3"/>
        <w:numId w:val="2"/>
      </w:numPr>
      <w:spacing w:before="280" w:after="290" w:line="372" w:lineRule="auto"/>
      <w:ind w:firstLineChars="0"/>
      <w:outlineLvl w:val="3"/>
    </w:pPr>
    <w:rPr>
      <w:rFonts w:ascii="Arial" w:hAnsi="Arial" w:eastAsia="黑体"/>
      <w:b/>
      <w:sz w:val="28"/>
    </w:rPr>
  </w:style>
  <w:style w:type="paragraph" w:styleId="19">
    <w:name w:val="heading 5"/>
    <w:basedOn w:val="1"/>
    <w:next w:val="20"/>
    <w:autoRedefine/>
    <w:unhideWhenUsed/>
    <w:qFormat/>
    <w:locked/>
    <w:uiPriority w:val="0"/>
    <w:pPr>
      <w:keepNext/>
      <w:keepLines/>
      <w:numPr>
        <w:ilvl w:val="4"/>
        <w:numId w:val="3"/>
      </w:numPr>
      <w:tabs>
        <w:tab w:val="left" w:pos="420"/>
      </w:tabs>
      <w:adjustRightInd w:val="0"/>
      <w:snapToGrid w:val="0"/>
      <w:ind w:left="0" w:firstLineChars="0"/>
      <w:jc w:val="center"/>
      <w:outlineLvl w:val="4"/>
    </w:pPr>
    <w:rPr>
      <w:b/>
      <w:bCs/>
      <w:sz w:val="21"/>
      <w:szCs w:val="21"/>
    </w:rPr>
  </w:style>
  <w:style w:type="character" w:default="1" w:styleId="42">
    <w:name w:val="Default Paragraph Font"/>
    <w:autoRedefine/>
    <w:unhideWhenUsed/>
    <w:qFormat/>
    <w:uiPriority w:val="1"/>
  </w:style>
  <w:style w:type="table" w:default="1" w:styleId="40">
    <w:name w:val="Normal Table"/>
    <w:autoRedefine/>
    <w:semiHidden/>
    <w:unhideWhenUsed/>
    <w:qFormat/>
    <w:uiPriority w:val="99"/>
    <w:tblPr>
      <w:tblCellMar>
        <w:top w:w="0" w:type="dxa"/>
        <w:left w:w="108" w:type="dxa"/>
        <w:bottom w:w="0" w:type="dxa"/>
        <w:right w:w="108" w:type="dxa"/>
      </w:tblCellMar>
    </w:tblPr>
  </w:style>
  <w:style w:type="paragraph" w:styleId="2">
    <w:name w:val="Plain Text"/>
    <w:basedOn w:val="1"/>
    <w:next w:val="3"/>
    <w:autoRedefine/>
    <w:unhideWhenUsed/>
    <w:qFormat/>
    <w:uiPriority w:val="99"/>
    <w:pPr>
      <w:autoSpaceDE w:val="0"/>
      <w:autoSpaceDN w:val="0"/>
      <w:adjustRightInd w:val="0"/>
      <w:spacing w:line="288" w:lineRule="auto"/>
      <w:ind w:firstLine="601"/>
      <w:textAlignment w:val="baseline"/>
    </w:pPr>
    <w:rPr>
      <w:rFonts w:ascii="宋体" w:hAnsi="Courier New"/>
      <w:kern w:val="0"/>
      <w:szCs w:val="20"/>
    </w:rPr>
  </w:style>
  <w:style w:type="paragraph" w:customStyle="1" w:styleId="3">
    <w:name w:val="Default"/>
    <w:basedOn w:val="4"/>
    <w:next w:val="5"/>
    <w:autoRedefine/>
    <w:qFormat/>
    <w:uiPriority w:val="0"/>
    <w:pPr>
      <w:autoSpaceDE w:val="0"/>
      <w:autoSpaceDN w:val="0"/>
    </w:pPr>
    <w:rPr>
      <w:rFonts w:hAnsi="Times New Roman"/>
      <w:color w:val="000000"/>
      <w:szCs w:val="24"/>
    </w:rPr>
  </w:style>
  <w:style w:type="paragraph" w:customStyle="1" w:styleId="4">
    <w:name w:val="纯文本1"/>
    <w:basedOn w:val="1"/>
    <w:autoRedefine/>
    <w:qFormat/>
    <w:uiPriority w:val="0"/>
    <w:pPr>
      <w:adjustRightInd w:val="0"/>
    </w:pPr>
    <w:rPr>
      <w:rFonts w:ascii="宋体" w:hAnsi="Courier New"/>
      <w:szCs w:val="20"/>
    </w:rPr>
  </w:style>
  <w:style w:type="paragraph" w:customStyle="1" w:styleId="5">
    <w:name w:val="样式35"/>
    <w:next w:val="6"/>
    <w:autoRedefine/>
    <w:qFormat/>
    <w:uiPriority w:val="0"/>
    <w:pPr>
      <w:widowControl w:val="0"/>
      <w:spacing w:line="312" w:lineRule="auto"/>
      <w:ind w:firstLine="567"/>
      <w:jc w:val="both"/>
    </w:pPr>
    <w:rPr>
      <w:rFonts w:ascii="宋体" w:hAnsi="Times New Roman" w:eastAsia="宋体" w:cs="Times New Roman"/>
      <w:kern w:val="2"/>
      <w:sz w:val="21"/>
      <w:szCs w:val="22"/>
      <w:lang w:val="en-US" w:eastAsia="zh-CN" w:bidi="ar-SA"/>
    </w:rPr>
  </w:style>
  <w:style w:type="paragraph" w:customStyle="1" w:styleId="6">
    <w:name w:val="font6"/>
    <w:basedOn w:val="1"/>
    <w:next w:val="7"/>
    <w:autoRedefine/>
    <w:qFormat/>
    <w:uiPriority w:val="0"/>
    <w:pPr>
      <w:widowControl/>
      <w:spacing w:before="100" w:beforeAutospacing="1" w:after="100" w:afterAutospacing="1"/>
      <w:jc w:val="left"/>
    </w:pPr>
    <w:rPr>
      <w:rFonts w:ascii="宋体" w:hAnsi="宋体" w:cs="宋体"/>
      <w:kern w:val="0"/>
      <w:szCs w:val="28"/>
    </w:rPr>
  </w:style>
  <w:style w:type="paragraph" w:styleId="7">
    <w:name w:val="toc 2"/>
    <w:basedOn w:val="1"/>
    <w:next w:val="8"/>
    <w:qFormat/>
    <w:locked/>
    <w:uiPriority w:val="39"/>
    <w:pPr>
      <w:ind w:left="420" w:leftChars="200"/>
    </w:pPr>
  </w:style>
  <w:style w:type="paragraph" w:styleId="8">
    <w:name w:val="E-mail Signature"/>
    <w:basedOn w:val="1"/>
    <w:next w:val="9"/>
    <w:qFormat/>
    <w:uiPriority w:val="99"/>
    <w:pPr>
      <w:spacing w:line="460" w:lineRule="exact"/>
      <w:ind w:firstLine="200"/>
    </w:pPr>
  </w:style>
  <w:style w:type="paragraph" w:customStyle="1" w:styleId="9">
    <w:name w:val="文章"/>
    <w:next w:val="10"/>
    <w:qFormat/>
    <w:uiPriority w:val="0"/>
    <w:pPr>
      <w:ind w:firstLine="480"/>
      <w:jc w:val="center"/>
    </w:pPr>
    <w:rPr>
      <w:rFonts w:ascii="Times New Roman" w:hAnsi="Times New Roman" w:eastAsia="宋体" w:cs="Times New Roman"/>
      <w:kern w:val="2"/>
      <w:sz w:val="26"/>
      <w:szCs w:val="22"/>
      <w:lang w:val="en-US" w:eastAsia="zh-CN" w:bidi="ar-SA"/>
    </w:rPr>
  </w:style>
  <w:style w:type="paragraph" w:styleId="10">
    <w:name w:val="List"/>
    <w:basedOn w:val="1"/>
    <w:next w:val="11"/>
    <w:qFormat/>
    <w:uiPriority w:val="0"/>
    <w:pPr>
      <w:widowControl/>
      <w:ind w:left="200" w:hanging="200" w:hangingChars="200"/>
      <w:jc w:val="left"/>
    </w:pPr>
    <w:rPr>
      <w:rFonts w:ascii="宋体" w:hAnsi="宋体" w:cs="宋体"/>
      <w:kern w:val="0"/>
      <w:sz w:val="24"/>
    </w:rPr>
  </w:style>
  <w:style w:type="paragraph" w:styleId="11">
    <w:name w:val="List Bullet 2"/>
    <w:basedOn w:val="1"/>
    <w:next w:val="12"/>
    <w:qFormat/>
    <w:uiPriority w:val="0"/>
    <w:pPr>
      <w:numPr>
        <w:ilvl w:val="0"/>
        <w:numId w:val="4"/>
      </w:numPr>
    </w:pPr>
  </w:style>
  <w:style w:type="paragraph" w:customStyle="1" w:styleId="12">
    <w:name w:val="xl70"/>
    <w:basedOn w:val="1"/>
    <w:next w:val="13"/>
    <w:qFormat/>
    <w:uiPriority w:val="0"/>
    <w:pPr>
      <w:widowControl/>
      <w:spacing w:before="280" w:after="280"/>
    </w:pPr>
    <w:rPr>
      <w:rFonts w:ascii="宋体"/>
    </w:rPr>
  </w:style>
  <w:style w:type="paragraph" w:customStyle="1" w:styleId="13">
    <w:name w:val="正文缩进1"/>
    <w:basedOn w:val="1"/>
    <w:next w:val="14"/>
    <w:qFormat/>
    <w:uiPriority w:val="0"/>
    <w:pPr>
      <w:ind w:firstLine="420"/>
    </w:pPr>
    <w:rPr>
      <w:rFonts w:ascii="宋体"/>
    </w:rPr>
  </w:style>
  <w:style w:type="paragraph" w:customStyle="1" w:styleId="14">
    <w:name w:val="td1"/>
    <w:basedOn w:val="1"/>
    <w:next w:val="1"/>
    <w:qFormat/>
    <w:uiPriority w:val="0"/>
    <w:pPr>
      <w:widowControl/>
      <w:spacing w:before="280" w:after="280" w:line="300" w:lineRule="atLeast"/>
      <w:ind w:firstLine="200"/>
    </w:pPr>
    <w:rPr>
      <w:color w:val="000000"/>
      <w:sz w:val="18"/>
    </w:rPr>
  </w:style>
  <w:style w:type="paragraph" w:customStyle="1" w:styleId="20">
    <w:name w:val="正文文字"/>
    <w:basedOn w:val="1"/>
    <w:qFormat/>
    <w:uiPriority w:val="0"/>
    <w:pPr>
      <w:ind w:firstLine="480"/>
    </w:pPr>
  </w:style>
  <w:style w:type="paragraph" w:styleId="21">
    <w:name w:val="Normal Indent"/>
    <w:basedOn w:val="1"/>
    <w:unhideWhenUsed/>
    <w:qFormat/>
    <w:uiPriority w:val="99"/>
    <w:pPr>
      <w:adjustRightInd w:val="0"/>
      <w:ind w:firstLine="420"/>
      <w:jc w:val="left"/>
    </w:pPr>
  </w:style>
  <w:style w:type="paragraph" w:styleId="22">
    <w:name w:val="toa heading"/>
    <w:basedOn w:val="1"/>
    <w:next w:val="1"/>
    <w:qFormat/>
    <w:uiPriority w:val="0"/>
    <w:pPr>
      <w:spacing w:before="120"/>
    </w:pPr>
    <w:rPr>
      <w:rFonts w:ascii="Arial" w:hAnsi="Arial"/>
    </w:rPr>
  </w:style>
  <w:style w:type="paragraph" w:styleId="23">
    <w:name w:val="annotation text"/>
    <w:basedOn w:val="1"/>
    <w:link w:val="48"/>
    <w:semiHidden/>
    <w:qFormat/>
    <w:uiPriority w:val="0"/>
    <w:pPr>
      <w:jc w:val="left"/>
    </w:pPr>
    <w:rPr>
      <w:kern w:val="0"/>
      <w:sz w:val="20"/>
    </w:rPr>
  </w:style>
  <w:style w:type="paragraph" w:styleId="24">
    <w:name w:val="Body Text"/>
    <w:basedOn w:val="1"/>
    <w:next w:val="1"/>
    <w:link w:val="49"/>
    <w:qFormat/>
    <w:uiPriority w:val="0"/>
    <w:pPr>
      <w:widowControl/>
      <w:snapToGrid w:val="0"/>
      <w:spacing w:before="60" w:after="160" w:line="259" w:lineRule="auto"/>
      <w:ind w:right="113"/>
    </w:pPr>
    <w:rPr>
      <w:kern w:val="0"/>
      <w:sz w:val="18"/>
      <w:szCs w:val="18"/>
    </w:rPr>
  </w:style>
  <w:style w:type="paragraph" w:styleId="25">
    <w:name w:val="Body Text Indent"/>
    <w:basedOn w:val="1"/>
    <w:link w:val="50"/>
    <w:semiHidden/>
    <w:qFormat/>
    <w:uiPriority w:val="0"/>
    <w:pPr>
      <w:spacing w:after="120"/>
      <w:ind w:left="420" w:leftChars="200"/>
    </w:pPr>
  </w:style>
  <w:style w:type="paragraph" w:styleId="26">
    <w:name w:val="toc 3"/>
    <w:basedOn w:val="1"/>
    <w:next w:val="1"/>
    <w:qFormat/>
    <w:locked/>
    <w:uiPriority w:val="0"/>
    <w:pPr>
      <w:ind w:left="840" w:leftChars="400"/>
    </w:pPr>
  </w:style>
  <w:style w:type="paragraph" w:styleId="27">
    <w:name w:val="Date"/>
    <w:basedOn w:val="1"/>
    <w:next w:val="1"/>
    <w:link w:val="51"/>
    <w:qFormat/>
    <w:uiPriority w:val="0"/>
    <w:pPr>
      <w:ind w:left="100" w:leftChars="2500"/>
    </w:pPr>
    <w:rPr>
      <w:kern w:val="0"/>
      <w:sz w:val="20"/>
    </w:rPr>
  </w:style>
  <w:style w:type="paragraph" w:styleId="28">
    <w:name w:val="Body Text Indent 2"/>
    <w:basedOn w:val="1"/>
    <w:unhideWhenUsed/>
    <w:qFormat/>
    <w:uiPriority w:val="99"/>
    <w:pPr>
      <w:ind w:firstLine="567"/>
    </w:pPr>
  </w:style>
  <w:style w:type="paragraph" w:styleId="29">
    <w:name w:val="Balloon Text"/>
    <w:basedOn w:val="1"/>
    <w:link w:val="52"/>
    <w:semiHidden/>
    <w:qFormat/>
    <w:uiPriority w:val="0"/>
    <w:rPr>
      <w:sz w:val="18"/>
      <w:szCs w:val="18"/>
    </w:rPr>
  </w:style>
  <w:style w:type="paragraph" w:styleId="30">
    <w:name w:val="footer"/>
    <w:basedOn w:val="1"/>
    <w:link w:val="53"/>
    <w:qFormat/>
    <w:uiPriority w:val="0"/>
    <w:pPr>
      <w:tabs>
        <w:tab w:val="center" w:pos="4153"/>
        <w:tab w:val="right" w:pos="8306"/>
      </w:tabs>
      <w:snapToGrid w:val="0"/>
      <w:jc w:val="left"/>
    </w:pPr>
    <w:rPr>
      <w:sz w:val="18"/>
      <w:szCs w:val="18"/>
    </w:rPr>
  </w:style>
  <w:style w:type="paragraph" w:styleId="31">
    <w:name w:val="header"/>
    <w:basedOn w:val="1"/>
    <w:next w:val="30"/>
    <w:link w:val="54"/>
    <w:qFormat/>
    <w:uiPriority w:val="0"/>
    <w:pPr>
      <w:pBdr>
        <w:bottom w:val="single" w:color="auto" w:sz="6" w:space="1"/>
      </w:pBdr>
      <w:tabs>
        <w:tab w:val="center" w:pos="4153"/>
        <w:tab w:val="right" w:pos="8306"/>
      </w:tabs>
      <w:snapToGrid w:val="0"/>
      <w:jc w:val="center"/>
    </w:pPr>
    <w:rPr>
      <w:sz w:val="18"/>
      <w:szCs w:val="18"/>
    </w:rPr>
  </w:style>
  <w:style w:type="paragraph" w:styleId="32">
    <w:name w:val="toc 1"/>
    <w:basedOn w:val="1"/>
    <w:next w:val="1"/>
    <w:qFormat/>
    <w:locked/>
    <w:uiPriority w:val="0"/>
  </w:style>
  <w:style w:type="paragraph" w:styleId="33">
    <w:name w:val="index heading"/>
    <w:basedOn w:val="1"/>
    <w:next w:val="34"/>
    <w:unhideWhenUsed/>
    <w:qFormat/>
    <w:uiPriority w:val="99"/>
    <w:rPr>
      <w:rFonts w:ascii="宋体"/>
      <w:bCs/>
    </w:rPr>
  </w:style>
  <w:style w:type="paragraph" w:styleId="34">
    <w:name w:val="index 1"/>
    <w:basedOn w:val="1"/>
    <w:next w:val="1"/>
    <w:unhideWhenUsed/>
    <w:qFormat/>
    <w:uiPriority w:val="99"/>
    <w:rPr>
      <w:szCs w:val="20"/>
    </w:rPr>
  </w:style>
  <w:style w:type="paragraph" w:styleId="35">
    <w:name w:val="Normal (Web)"/>
    <w:basedOn w:val="1"/>
    <w:link w:val="55"/>
    <w:qFormat/>
    <w:uiPriority w:val="0"/>
    <w:pPr>
      <w:widowControl/>
      <w:spacing w:before="100" w:beforeAutospacing="1" w:after="100" w:afterAutospacing="1"/>
      <w:jc w:val="left"/>
    </w:pPr>
    <w:rPr>
      <w:rFonts w:ascii="宋体" w:hAnsi="宋体"/>
      <w:kern w:val="0"/>
    </w:rPr>
  </w:style>
  <w:style w:type="paragraph" w:styleId="36">
    <w:name w:val="Title"/>
    <w:basedOn w:val="1"/>
    <w:next w:val="1"/>
    <w:qFormat/>
    <w:locked/>
    <w:uiPriority w:val="0"/>
    <w:pPr>
      <w:spacing w:before="240" w:after="60"/>
      <w:jc w:val="center"/>
      <w:outlineLvl w:val="0"/>
    </w:pPr>
    <w:rPr>
      <w:rFonts w:ascii="Arial" w:hAnsi="Arial" w:cs="Arial"/>
      <w:b/>
      <w:bCs/>
      <w:sz w:val="30"/>
      <w:szCs w:val="32"/>
    </w:rPr>
  </w:style>
  <w:style w:type="paragraph" w:styleId="37">
    <w:name w:val="annotation subject"/>
    <w:basedOn w:val="23"/>
    <w:next w:val="23"/>
    <w:link w:val="56"/>
    <w:semiHidden/>
    <w:qFormat/>
    <w:uiPriority w:val="0"/>
    <w:rPr>
      <w:b/>
      <w:bCs/>
    </w:rPr>
  </w:style>
  <w:style w:type="paragraph" w:styleId="38">
    <w:name w:val="Body Text First Indent"/>
    <w:basedOn w:val="24"/>
    <w:next w:val="1"/>
    <w:link w:val="57"/>
    <w:qFormat/>
    <w:uiPriority w:val="0"/>
    <w:pPr>
      <w:widowControl w:val="0"/>
      <w:snapToGrid/>
      <w:spacing w:before="0" w:after="120" w:line="360" w:lineRule="auto"/>
      <w:ind w:right="0" w:firstLine="420" w:firstLineChars="100"/>
    </w:pPr>
    <w:rPr>
      <w:kern w:val="2"/>
      <w:sz w:val="24"/>
      <w:szCs w:val="24"/>
    </w:rPr>
  </w:style>
  <w:style w:type="paragraph" w:styleId="39">
    <w:name w:val="Body Text First Indent 2"/>
    <w:basedOn w:val="25"/>
    <w:link w:val="58"/>
    <w:qFormat/>
    <w:uiPriority w:val="0"/>
    <w:pPr>
      <w:ind w:firstLine="420"/>
    </w:pPr>
  </w:style>
  <w:style w:type="table" w:styleId="41">
    <w:name w:val="Table Grid"/>
    <w:basedOn w:val="40"/>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43">
    <w:name w:val="Strong"/>
    <w:qFormat/>
    <w:locked/>
    <w:uiPriority w:val="22"/>
    <w:rPr>
      <w:b/>
    </w:rPr>
  </w:style>
  <w:style w:type="character" w:styleId="44">
    <w:name w:val="page number"/>
    <w:qFormat/>
    <w:uiPriority w:val="0"/>
  </w:style>
  <w:style w:type="character" w:styleId="45">
    <w:name w:val="Emphasis"/>
    <w:basedOn w:val="42"/>
    <w:qFormat/>
    <w:locked/>
    <w:uiPriority w:val="0"/>
    <w:rPr>
      <w:i/>
    </w:rPr>
  </w:style>
  <w:style w:type="character" w:styleId="46">
    <w:name w:val="Hyperlink"/>
    <w:unhideWhenUsed/>
    <w:qFormat/>
    <w:uiPriority w:val="99"/>
    <w:rPr>
      <w:color w:val="0000FF"/>
      <w:u w:val="none"/>
    </w:rPr>
  </w:style>
  <w:style w:type="character" w:styleId="47">
    <w:name w:val="annotation reference"/>
    <w:semiHidden/>
    <w:qFormat/>
    <w:uiPriority w:val="0"/>
    <w:rPr>
      <w:sz w:val="21"/>
    </w:rPr>
  </w:style>
  <w:style w:type="character" w:customStyle="1" w:styleId="48">
    <w:name w:val="批注文字 字符"/>
    <w:link w:val="23"/>
    <w:qFormat/>
    <w:locked/>
    <w:uiPriority w:val="0"/>
    <w:rPr>
      <w:rFonts w:ascii="Times New Roman" w:hAnsi="Times New Roman" w:eastAsia="宋体"/>
      <w:sz w:val="24"/>
    </w:rPr>
  </w:style>
  <w:style w:type="character" w:customStyle="1" w:styleId="49">
    <w:name w:val="正文文本 字符"/>
    <w:link w:val="24"/>
    <w:qFormat/>
    <w:locked/>
    <w:uiPriority w:val="0"/>
    <w:rPr>
      <w:sz w:val="18"/>
    </w:rPr>
  </w:style>
  <w:style w:type="character" w:customStyle="1" w:styleId="50">
    <w:name w:val="正文文本缩进 字符"/>
    <w:link w:val="25"/>
    <w:semiHidden/>
    <w:qFormat/>
    <w:locked/>
    <w:uiPriority w:val="0"/>
    <w:rPr>
      <w:rFonts w:ascii="Times New Roman" w:hAnsi="Times New Roman" w:eastAsia="宋体" w:cs="Times New Roman"/>
      <w:sz w:val="24"/>
      <w:szCs w:val="24"/>
    </w:rPr>
  </w:style>
  <w:style w:type="character" w:customStyle="1" w:styleId="51">
    <w:name w:val="日期 字符1"/>
    <w:link w:val="27"/>
    <w:qFormat/>
    <w:locked/>
    <w:uiPriority w:val="0"/>
    <w:rPr>
      <w:rFonts w:ascii="Times New Roman" w:hAnsi="Times New Roman" w:eastAsia="宋体"/>
      <w:sz w:val="24"/>
    </w:rPr>
  </w:style>
  <w:style w:type="character" w:customStyle="1" w:styleId="52">
    <w:name w:val="批注框文本 字符"/>
    <w:link w:val="29"/>
    <w:semiHidden/>
    <w:qFormat/>
    <w:locked/>
    <w:uiPriority w:val="0"/>
    <w:rPr>
      <w:rFonts w:ascii="Times New Roman" w:hAnsi="Times New Roman" w:eastAsia="宋体" w:cs="Times New Roman"/>
      <w:sz w:val="18"/>
      <w:szCs w:val="18"/>
    </w:rPr>
  </w:style>
  <w:style w:type="character" w:customStyle="1" w:styleId="53">
    <w:name w:val="页脚 字符"/>
    <w:link w:val="30"/>
    <w:qFormat/>
    <w:locked/>
    <w:uiPriority w:val="0"/>
    <w:rPr>
      <w:rFonts w:cs="Times New Roman"/>
      <w:sz w:val="18"/>
      <w:szCs w:val="18"/>
    </w:rPr>
  </w:style>
  <w:style w:type="character" w:customStyle="1" w:styleId="54">
    <w:name w:val="页眉 字符"/>
    <w:link w:val="31"/>
    <w:qFormat/>
    <w:locked/>
    <w:uiPriority w:val="0"/>
    <w:rPr>
      <w:rFonts w:cs="Times New Roman"/>
      <w:sz w:val="18"/>
      <w:szCs w:val="18"/>
    </w:rPr>
  </w:style>
  <w:style w:type="character" w:customStyle="1" w:styleId="55">
    <w:name w:val="普通(网站) 字符"/>
    <w:link w:val="35"/>
    <w:qFormat/>
    <w:locked/>
    <w:uiPriority w:val="0"/>
    <w:rPr>
      <w:rFonts w:ascii="宋体" w:hAnsi="宋体" w:eastAsia="宋体"/>
      <w:sz w:val="24"/>
    </w:rPr>
  </w:style>
  <w:style w:type="character" w:customStyle="1" w:styleId="56">
    <w:name w:val="批注主题 字符"/>
    <w:link w:val="37"/>
    <w:semiHidden/>
    <w:qFormat/>
    <w:locked/>
    <w:uiPriority w:val="0"/>
    <w:rPr>
      <w:rFonts w:cs="Times New Roman"/>
      <w:b/>
      <w:bCs/>
      <w:kern w:val="2"/>
      <w:szCs w:val="24"/>
    </w:rPr>
  </w:style>
  <w:style w:type="character" w:customStyle="1" w:styleId="57">
    <w:name w:val="正文文本首行缩进 字符"/>
    <w:link w:val="38"/>
    <w:qFormat/>
    <w:uiPriority w:val="0"/>
    <w:rPr>
      <w:kern w:val="2"/>
      <w:sz w:val="24"/>
      <w:szCs w:val="24"/>
    </w:rPr>
  </w:style>
  <w:style w:type="character" w:customStyle="1" w:styleId="58">
    <w:name w:val="正文文本首行缩进 2 字符"/>
    <w:link w:val="39"/>
    <w:qFormat/>
    <w:uiPriority w:val="0"/>
    <w:rPr>
      <w:rFonts w:ascii="Times New Roman" w:hAnsi="Times New Roman" w:eastAsia="宋体" w:cs="Times New Roman"/>
      <w:kern w:val="2"/>
      <w:sz w:val="24"/>
      <w:szCs w:val="24"/>
    </w:rPr>
  </w:style>
  <w:style w:type="paragraph" w:customStyle="1" w:styleId="59">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character" w:customStyle="1" w:styleId="60">
    <w:name w:val="日期 字符"/>
    <w:semiHidden/>
    <w:qFormat/>
    <w:uiPriority w:val="0"/>
    <w:rPr>
      <w:rFonts w:ascii="Times New Roman" w:hAnsi="Times New Roman" w:eastAsia="宋体" w:cs="Times New Roman"/>
      <w:sz w:val="24"/>
      <w:szCs w:val="24"/>
    </w:rPr>
  </w:style>
  <w:style w:type="character" w:customStyle="1" w:styleId="61">
    <w:name w:val="正文文本 字符1"/>
    <w:semiHidden/>
    <w:qFormat/>
    <w:uiPriority w:val="0"/>
    <w:rPr>
      <w:rFonts w:ascii="Times New Roman" w:hAnsi="Times New Roman" w:eastAsia="宋体" w:cs="Times New Roman"/>
      <w:sz w:val="24"/>
      <w:szCs w:val="24"/>
    </w:rPr>
  </w:style>
  <w:style w:type="paragraph" w:customStyle="1" w:styleId="62">
    <w:name w:val="普通(网站)2"/>
    <w:basedOn w:val="1"/>
    <w:qFormat/>
    <w:uiPriority w:val="0"/>
    <w:pPr>
      <w:widowControl/>
      <w:spacing w:before="100" w:beforeAutospacing="1" w:after="100" w:afterAutospacing="1"/>
      <w:jc w:val="left"/>
    </w:pPr>
    <w:rPr>
      <w:rFonts w:ascii="宋体" w:hAnsi="宋体"/>
      <w:szCs w:val="20"/>
    </w:rPr>
  </w:style>
  <w:style w:type="character" w:customStyle="1" w:styleId="63">
    <w:name w:val="表格 Char"/>
    <w:link w:val="64"/>
    <w:qFormat/>
    <w:locked/>
    <w:uiPriority w:val="0"/>
    <w:rPr>
      <w:rFonts w:ascii="宋体"/>
      <w:sz w:val="21"/>
    </w:rPr>
  </w:style>
  <w:style w:type="paragraph" w:customStyle="1" w:styleId="64">
    <w:name w:val="表格"/>
    <w:basedOn w:val="1"/>
    <w:link w:val="63"/>
    <w:qFormat/>
    <w:uiPriority w:val="0"/>
    <w:pPr>
      <w:adjustRightInd w:val="0"/>
      <w:snapToGrid w:val="0"/>
      <w:spacing w:beforeLines="10" w:afterLines="10" w:line="259" w:lineRule="auto"/>
      <w:jc w:val="center"/>
    </w:pPr>
    <w:rPr>
      <w:rFonts w:ascii="宋体"/>
      <w:kern w:val="0"/>
      <w:sz w:val="20"/>
      <w:szCs w:val="21"/>
    </w:rPr>
  </w:style>
  <w:style w:type="character" w:customStyle="1" w:styleId="65">
    <w:name w:val="批注文字 字符1"/>
    <w:autoRedefine/>
    <w:semiHidden/>
    <w:qFormat/>
    <w:uiPriority w:val="0"/>
    <w:rPr>
      <w:rFonts w:ascii="Times New Roman" w:hAnsi="Times New Roman" w:eastAsia="宋体" w:cs="Times New Roman"/>
      <w:sz w:val="24"/>
      <w:szCs w:val="24"/>
    </w:rPr>
  </w:style>
  <w:style w:type="character" w:customStyle="1" w:styleId="66">
    <w:name w:val="普通(网站) Char"/>
    <w:autoRedefine/>
    <w:qFormat/>
    <w:locked/>
    <w:uiPriority w:val="0"/>
    <w:rPr>
      <w:rFonts w:ascii="宋体" w:hAnsi="宋体" w:eastAsia="宋体"/>
      <w:sz w:val="24"/>
    </w:rPr>
  </w:style>
  <w:style w:type="paragraph" w:customStyle="1" w:styleId="67">
    <w:name w:val="正文 首行缩进:  2 字符"/>
    <w:basedOn w:val="1"/>
    <w:autoRedefine/>
    <w:semiHidden/>
    <w:qFormat/>
    <w:uiPriority w:val="0"/>
    <w:rPr>
      <w:rFonts w:cs="宋体"/>
      <w:szCs w:val="20"/>
    </w:rPr>
  </w:style>
  <w:style w:type="paragraph" w:customStyle="1" w:styleId="68">
    <w:name w:val="正文（缩进）"/>
    <w:basedOn w:val="69"/>
    <w:next w:val="1"/>
    <w:autoRedefine/>
    <w:qFormat/>
    <w:uiPriority w:val="99"/>
    <w:pPr>
      <w:ind w:firstLine="480"/>
    </w:pPr>
  </w:style>
  <w:style w:type="paragraph" w:customStyle="1" w:styleId="69">
    <w:name w:val="正文(首行缩进)"/>
    <w:basedOn w:val="1"/>
    <w:autoRedefine/>
    <w:qFormat/>
    <w:uiPriority w:val="99"/>
  </w:style>
  <w:style w:type="paragraph" w:customStyle="1" w:styleId="70">
    <w:name w:val="表标题"/>
    <w:basedOn w:val="1"/>
    <w:next w:val="1"/>
    <w:autoRedefine/>
    <w:qFormat/>
    <w:uiPriority w:val="0"/>
    <w:pPr>
      <w:spacing w:line="240" w:lineRule="auto"/>
      <w:ind w:firstLine="0" w:firstLineChars="0"/>
      <w:jc w:val="center"/>
    </w:pPr>
    <w:rPr>
      <w:b/>
      <w:kern w:val="0"/>
      <w:sz w:val="21"/>
      <w:szCs w:val="20"/>
    </w:rPr>
  </w:style>
  <w:style w:type="paragraph" w:customStyle="1" w:styleId="71">
    <w:name w:val="文本正文"/>
    <w:basedOn w:val="1"/>
    <w:autoRedefine/>
    <w:qFormat/>
    <w:uiPriority w:val="0"/>
    <w:pPr>
      <w:snapToGrid w:val="0"/>
      <w:ind w:firstLine="510"/>
      <w:jc w:val="left"/>
    </w:pPr>
    <w:rPr>
      <w:spacing w:val="4"/>
      <w:kern w:val="24"/>
      <w:lang w:val="zh-CN"/>
    </w:rPr>
  </w:style>
  <w:style w:type="paragraph" w:customStyle="1" w:styleId="72">
    <w:name w:val="文字"/>
    <w:basedOn w:val="1"/>
    <w:autoRedefine/>
    <w:qFormat/>
    <w:uiPriority w:val="99"/>
    <w:pPr>
      <w:spacing w:before="156" w:beforeLines="50" w:line="300" w:lineRule="auto"/>
      <w:ind w:firstLine="480"/>
    </w:pPr>
  </w:style>
  <w:style w:type="paragraph" w:customStyle="1" w:styleId="73">
    <w:name w:val="表格内容‘’"/>
    <w:basedOn w:val="1"/>
    <w:link w:val="74"/>
    <w:autoRedefine/>
    <w:qFormat/>
    <w:uiPriority w:val="0"/>
    <w:pPr>
      <w:snapToGrid w:val="0"/>
      <w:spacing w:line="240" w:lineRule="auto"/>
      <w:ind w:firstLine="0" w:firstLineChars="0"/>
      <w:contextualSpacing/>
      <w:jc w:val="center"/>
    </w:pPr>
    <w:rPr>
      <w:color w:val="000000"/>
      <w:sz w:val="21"/>
      <w:szCs w:val="22"/>
    </w:rPr>
  </w:style>
  <w:style w:type="character" w:customStyle="1" w:styleId="74">
    <w:name w:val="表格内容‘’ 字符"/>
    <w:link w:val="73"/>
    <w:autoRedefine/>
    <w:qFormat/>
    <w:uiPriority w:val="0"/>
    <w:rPr>
      <w:color w:val="000000"/>
      <w:kern w:val="2"/>
      <w:sz w:val="21"/>
      <w:szCs w:val="22"/>
    </w:rPr>
  </w:style>
  <w:style w:type="character" w:customStyle="1" w:styleId="75">
    <w:name w:val="新标题2 Char"/>
    <w:autoRedefine/>
    <w:qFormat/>
    <w:uiPriority w:val="0"/>
    <w:rPr>
      <w:rFonts w:ascii="宋体" w:hAnsi="宋体" w:eastAsia="宋体"/>
      <w:kern w:val="2"/>
      <w:sz w:val="24"/>
      <w:szCs w:val="24"/>
      <w:lang w:val="en-US" w:eastAsia="zh-CN" w:bidi="ar-SA"/>
    </w:rPr>
  </w:style>
  <w:style w:type="paragraph" w:customStyle="1" w:styleId="76">
    <w:name w:val="Char Char Char Char"/>
    <w:basedOn w:val="1"/>
    <w:autoRedefine/>
    <w:qFormat/>
    <w:uiPriority w:val="0"/>
  </w:style>
  <w:style w:type="paragraph" w:customStyle="1" w:styleId="77">
    <w:name w:val="WPSOffice手动目录 1"/>
    <w:autoRedefine/>
    <w:qFormat/>
    <w:uiPriority w:val="0"/>
    <w:rPr>
      <w:rFonts w:ascii="Times New Roman" w:hAnsi="Times New Roman" w:eastAsia="宋体" w:cs="Times New Roman"/>
      <w:lang w:val="en-US" w:eastAsia="zh-CN" w:bidi="ar-SA"/>
    </w:rPr>
  </w:style>
  <w:style w:type="paragraph" w:customStyle="1" w:styleId="78">
    <w:name w:val="Char Char Char Char1"/>
    <w:basedOn w:val="1"/>
    <w:autoRedefine/>
    <w:qFormat/>
    <w:uiPriority w:val="0"/>
    <w:pPr>
      <w:ind w:firstLine="200"/>
    </w:pPr>
    <w:rPr>
      <w:rFonts w:ascii="宋体" w:hAnsi="宋体" w:cs="宋体"/>
    </w:rPr>
  </w:style>
  <w:style w:type="paragraph" w:customStyle="1" w:styleId="79">
    <w:name w:val="图表文字注释"/>
    <w:autoRedefine/>
    <w:qFormat/>
    <w:uiPriority w:val="0"/>
    <w:pPr>
      <w:spacing w:line="360" w:lineRule="auto"/>
      <w:jc w:val="center"/>
      <w:outlineLvl w:val="3"/>
    </w:pPr>
    <w:rPr>
      <w:rFonts w:ascii="Times New Roman" w:hAnsi="Times New Roman" w:eastAsia="宋体" w:cs="Times New Roman"/>
      <w:kern w:val="2"/>
      <w:sz w:val="21"/>
      <w:szCs w:val="24"/>
      <w:lang w:val="en-US" w:eastAsia="zh-CN" w:bidi="ar-SA"/>
    </w:rPr>
  </w:style>
  <w:style w:type="paragraph" w:customStyle="1" w:styleId="80">
    <w:name w:val="表名"/>
    <w:basedOn w:val="1"/>
    <w:autoRedefine/>
    <w:qFormat/>
    <w:uiPriority w:val="0"/>
    <w:pPr>
      <w:overflowPunct w:val="0"/>
      <w:spacing w:before="120" w:line="300" w:lineRule="exact"/>
      <w:textAlignment w:val="baseline"/>
    </w:pPr>
    <w:rPr>
      <w:rFonts w:eastAsia="黑体"/>
      <w:sz w:val="28"/>
      <w:szCs w:val="20"/>
    </w:rPr>
  </w:style>
  <w:style w:type="paragraph" w:customStyle="1" w:styleId="81">
    <w:name w:val="zw"/>
    <w:basedOn w:val="2"/>
    <w:autoRedefine/>
    <w:qFormat/>
    <w:uiPriority w:val="0"/>
    <w:pPr>
      <w:shd w:val="clear" w:color="auto" w:fill="FFFFFF"/>
      <w:snapToGrid w:val="0"/>
      <w:spacing w:line="360" w:lineRule="auto"/>
      <w:ind w:firstLine="480"/>
    </w:pPr>
    <w:rPr>
      <w:snapToGrid w:val="0"/>
      <w:shd w:val="clear" w:color="auto" w:fill="FFFFFF"/>
    </w:rPr>
  </w:style>
  <w:style w:type="paragraph" w:customStyle="1" w:styleId="82">
    <w:name w:val="（一）正文"/>
    <w:autoRedefine/>
    <w:qFormat/>
    <w:uiPriority w:val="0"/>
    <w:pPr>
      <w:widowControl w:val="0"/>
      <w:spacing w:line="360" w:lineRule="auto"/>
      <w:ind w:firstLine="480" w:firstLineChars="200"/>
      <w:jc w:val="both"/>
    </w:pPr>
    <w:rPr>
      <w:rFonts w:ascii="Calibri" w:hAnsi="Calibri" w:eastAsia="宋体" w:cs="Times New Roman"/>
      <w:kern w:val="2"/>
      <w:sz w:val="24"/>
      <w:szCs w:val="21"/>
      <w:lang w:val="en-US" w:eastAsia="zh-CN" w:bidi="ar-SA"/>
    </w:rPr>
  </w:style>
  <w:style w:type="paragraph" w:customStyle="1" w:styleId="83">
    <w:name w:val="表格1"/>
    <w:basedOn w:val="1"/>
    <w:autoRedefine/>
    <w:qFormat/>
    <w:uiPriority w:val="0"/>
    <w:pPr>
      <w:autoSpaceDE w:val="0"/>
      <w:autoSpaceDN w:val="0"/>
      <w:spacing w:line="240" w:lineRule="auto"/>
      <w:ind w:firstLine="0" w:firstLineChars="0"/>
      <w:jc w:val="center"/>
    </w:pPr>
    <w:rPr>
      <w:kern w:val="0"/>
      <w:sz w:val="21"/>
    </w:rPr>
  </w:style>
  <w:style w:type="character" w:customStyle="1" w:styleId="84">
    <w:name w:val="NormalCharacter"/>
    <w:autoRedefine/>
    <w:qFormat/>
    <w:uiPriority w:val="0"/>
  </w:style>
  <w:style w:type="paragraph" w:customStyle="1" w:styleId="85">
    <w:name w:val="段"/>
    <w:basedOn w:val="1"/>
    <w:autoRedefine/>
    <w:semiHidden/>
    <w:qFormat/>
    <w:uiPriority w:val="0"/>
    <w:pPr>
      <w:topLinePunct/>
      <w:adjustRightInd w:val="0"/>
      <w:spacing w:line="440" w:lineRule="exact"/>
      <w:ind w:firstLine="560"/>
    </w:pPr>
    <w:rPr>
      <w:rFonts w:ascii="宋体" w:hAnsi="宋体" w:cs="Sendnya"/>
      <w:lang w:val="zh-CN" w:bidi="or-IN"/>
    </w:rPr>
  </w:style>
  <w:style w:type="paragraph" w:customStyle="1" w:styleId="86">
    <w:name w:val="表中文字-lxd"/>
    <w:next w:val="1"/>
    <w:autoRedefine/>
    <w:qFormat/>
    <w:uiPriority w:val="0"/>
    <w:pPr>
      <w:widowControl w:val="0"/>
      <w:tabs>
        <w:tab w:val="center" w:pos="383"/>
      </w:tabs>
      <w:jc w:val="center"/>
    </w:pPr>
    <w:rPr>
      <w:rFonts w:ascii="Times New Roman" w:hAnsi="Times New Roman" w:eastAsia="宋体" w:cs="Arial"/>
      <w:kern w:val="2"/>
      <w:sz w:val="21"/>
      <w:szCs w:val="24"/>
      <w:lang w:val="en-US" w:eastAsia="zh-CN" w:bidi="ar-SA"/>
    </w:rPr>
  </w:style>
  <w:style w:type="paragraph" w:customStyle="1" w:styleId="87">
    <w:name w:val="正文首行缩进 21"/>
    <w:basedOn w:val="1"/>
    <w:autoRedefine/>
    <w:qFormat/>
    <w:uiPriority w:val="0"/>
    <w:pPr>
      <w:spacing w:before="100" w:beforeAutospacing="1" w:after="120"/>
      <w:ind w:left="200" w:leftChars="200" w:firstLine="420"/>
    </w:pPr>
    <w:rPr>
      <w:rFonts w:ascii="Calibri" w:hAnsi="Calibri"/>
      <w:sz w:val="28"/>
      <w:szCs w:val="28"/>
    </w:rPr>
  </w:style>
  <w:style w:type="paragraph" w:customStyle="1" w:styleId="88">
    <w:name w:val="表格文字"/>
    <w:basedOn w:val="70"/>
    <w:autoRedefine/>
    <w:qFormat/>
    <w:uiPriority w:val="0"/>
    <w:pPr>
      <w:wordWrap w:val="0"/>
    </w:pPr>
  </w:style>
  <w:style w:type="paragraph" w:customStyle="1" w:styleId="89">
    <w:name w:val="XG图名"/>
    <w:basedOn w:val="1"/>
    <w:autoRedefine/>
    <w:qFormat/>
    <w:uiPriority w:val="0"/>
    <w:pPr>
      <w:spacing w:after="50" w:afterLines="50"/>
      <w:jc w:val="center"/>
    </w:pPr>
    <w:rPr>
      <w:b/>
      <w:szCs w:val="21"/>
    </w:rPr>
  </w:style>
  <w:style w:type="paragraph" w:customStyle="1" w:styleId="90">
    <w:name w:val="正文1"/>
    <w:autoRedefine/>
    <w:qFormat/>
    <w:uiPriority w:val="0"/>
    <w:pPr>
      <w:widowControl w:val="0"/>
      <w:adjustRightInd w:val="0"/>
      <w:snapToGrid w:val="0"/>
      <w:spacing w:afterLines="50" w:line="300" w:lineRule="auto"/>
      <w:ind w:firstLine="200" w:firstLineChars="200"/>
      <w:jc w:val="both"/>
    </w:pPr>
    <w:rPr>
      <w:rFonts w:ascii="宋体" w:hAnsiTheme="minorHAnsi" w:eastAsiaTheme="minorEastAsia" w:cstheme="minorBidi"/>
      <w:spacing w:val="10"/>
      <w:kern w:val="2"/>
      <w:sz w:val="24"/>
      <w:szCs w:val="32"/>
      <w:lang w:val="en-US" w:eastAsia="zh-CN" w:bidi="ar-SA"/>
    </w:rPr>
  </w:style>
  <w:style w:type="paragraph" w:customStyle="1" w:styleId="91">
    <w:name w:val="_Style 5"/>
    <w:autoRedefine/>
    <w:qFormat/>
    <w:uiPriority w:val="0"/>
    <w:pPr>
      <w:widowControl w:val="0"/>
      <w:jc w:val="center"/>
    </w:pPr>
    <w:rPr>
      <w:rFonts w:ascii="Calibri" w:hAnsi="Calibri" w:eastAsia="宋体" w:cs="Times New Roman"/>
      <w:kern w:val="2"/>
      <w:sz w:val="21"/>
      <w:szCs w:val="22"/>
      <w:lang w:val="en-US" w:eastAsia="zh-CN" w:bidi="ar-SA"/>
    </w:rPr>
  </w:style>
  <w:style w:type="paragraph" w:customStyle="1" w:styleId="92">
    <w:name w:val="正文4"/>
    <w:basedOn w:val="1"/>
    <w:autoRedefine/>
    <w:qFormat/>
    <w:uiPriority w:val="0"/>
    <w:pPr>
      <w:autoSpaceDE w:val="0"/>
      <w:autoSpaceDN w:val="0"/>
      <w:adjustRightInd w:val="0"/>
    </w:pPr>
    <w:rPr>
      <w:rFonts w:hAnsi="宋体"/>
      <w:szCs w:val="28"/>
    </w:rPr>
  </w:style>
  <w:style w:type="paragraph" w:customStyle="1" w:styleId="93">
    <w:name w:val="正文样"/>
    <w:basedOn w:val="1"/>
    <w:autoRedefine/>
    <w:qFormat/>
    <w:uiPriority w:val="0"/>
    <w:pPr>
      <w:spacing w:line="360" w:lineRule="auto"/>
      <w:ind w:firstLine="480" w:firstLineChars="200"/>
    </w:pPr>
    <w:rPr>
      <w:rFonts w:ascii="仿宋" w:hAnsi="仿宋" w:eastAsia="仿宋" w:cs="Times New Roman"/>
      <w:color w:val="FF0000"/>
      <w:sz w:val="24"/>
      <w:szCs w:val="24"/>
    </w:rPr>
  </w:style>
  <w:style w:type="paragraph" w:customStyle="1" w:styleId="94">
    <w:name w:val="4级"/>
    <w:basedOn w:val="1"/>
    <w:autoRedefine/>
    <w:qFormat/>
    <w:uiPriority w:val="0"/>
    <w:pPr>
      <w:spacing w:before="120" w:line="360" w:lineRule="auto"/>
      <w:outlineLvl w:val="3"/>
    </w:pPr>
    <w:rPr>
      <w:b/>
      <w:bCs/>
      <w:szCs w:val="22"/>
    </w:rPr>
  </w:style>
  <w:style w:type="paragraph" w:customStyle="1" w:styleId="95">
    <w:name w:val="表格正文"/>
    <w:autoRedefine/>
    <w:qFormat/>
    <w:uiPriority w:val="0"/>
    <w:pPr>
      <w:framePr w:wrap="notBeside" w:vAnchor="margin" w:hAnchor="text" w:xAlign="center" w:yAlign="center"/>
      <w:jc w:val="center"/>
    </w:pPr>
    <w:rPr>
      <w:rFonts w:ascii="宋体" w:hAnsi="Times New Roman" w:eastAsia="宋体" w:cs="Times New Roman"/>
      <w:kern w:val="2"/>
      <w:sz w:val="21"/>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7" Type="http://schemas.openxmlformats.org/officeDocument/2006/relationships/fontTable" Target="fontTable.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1.png"/><Relationship Id="rId33" Type="http://schemas.openxmlformats.org/officeDocument/2006/relationships/image" Target="media/image20.png"/><Relationship Id="rId32" Type="http://schemas.openxmlformats.org/officeDocument/2006/relationships/image" Target="media/image19.png"/><Relationship Id="rId31" Type="http://schemas.openxmlformats.org/officeDocument/2006/relationships/image" Target="media/image18.wmf"/><Relationship Id="rId30" Type="http://schemas.openxmlformats.org/officeDocument/2006/relationships/image" Target="media/image17.wmf"/><Relationship Id="rId3" Type="http://schemas.openxmlformats.org/officeDocument/2006/relationships/footnotes" Target="footnotes.xml"/><Relationship Id="rId29" Type="http://schemas.openxmlformats.org/officeDocument/2006/relationships/image" Target="media/image16.wmf"/><Relationship Id="rId28" Type="http://schemas.openxmlformats.org/officeDocument/2006/relationships/image" Target="media/image15.png"/><Relationship Id="rId27" Type="http://schemas.openxmlformats.org/officeDocument/2006/relationships/image" Target="media/image14.png"/><Relationship Id="rId26" Type="http://schemas.openxmlformats.org/officeDocument/2006/relationships/image" Target="media/image13.png"/><Relationship Id="rId25" Type="http://schemas.openxmlformats.org/officeDocument/2006/relationships/image" Target="media/image12.jpeg"/><Relationship Id="rId24" Type="http://schemas.openxmlformats.org/officeDocument/2006/relationships/image" Target="media/image11.png"/><Relationship Id="rId23" Type="http://schemas.openxmlformats.org/officeDocument/2006/relationships/image" Target="media/image10.emf"/><Relationship Id="rId22" Type="http://schemas.openxmlformats.org/officeDocument/2006/relationships/oleObject" Target="embeddings/oleObject5.bin"/><Relationship Id="rId21" Type="http://schemas.openxmlformats.org/officeDocument/2006/relationships/image" Target="media/image9.emf"/><Relationship Id="rId20" Type="http://schemas.openxmlformats.org/officeDocument/2006/relationships/oleObject" Target="embeddings/oleObject4.bin"/><Relationship Id="rId2" Type="http://schemas.openxmlformats.org/officeDocument/2006/relationships/settings" Target="settings.xml"/><Relationship Id="rId19" Type="http://schemas.openxmlformats.org/officeDocument/2006/relationships/image" Target="media/image8.emf"/><Relationship Id="rId18" Type="http://schemas.openxmlformats.org/officeDocument/2006/relationships/oleObject" Target="embeddings/oleObject3.bin"/><Relationship Id="rId17" Type="http://schemas.openxmlformats.org/officeDocument/2006/relationships/image" Target="media/image7.emf"/><Relationship Id="rId16" Type="http://schemas.openxmlformats.org/officeDocument/2006/relationships/oleObject" Target="embeddings/oleObject2.bin"/><Relationship Id="rId15" Type="http://schemas.openxmlformats.org/officeDocument/2006/relationships/image" Target="media/image6.png"/><Relationship Id="rId14" Type="http://schemas.openxmlformats.org/officeDocument/2006/relationships/image" Target="media/image5.emf"/><Relationship Id="rId13" Type="http://schemas.openxmlformats.org/officeDocument/2006/relationships/oleObject" Target="embeddings/oleObject1.bin"/><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185</Pages>
  <Words>14652</Words>
  <Characters>15153</Characters>
  <Lines>948</Lines>
  <Paragraphs>267</Paragraphs>
  <TotalTime>4</TotalTime>
  <ScaleCrop>false</ScaleCrop>
  <LinksUpToDate>false</LinksUpToDate>
  <CharactersWithSpaces>15249</CharactersWithSpaces>
  <Application>WPS Office_12.1.0.25865_F1E327BC-269C-435d-A152-05C5408002CA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2023-09-14T09:54:00Z</dcterms:created>
  <dc:creator>lhj</dc:creator>
  <cp:lastModifiedBy>方</cp:lastModifiedBy>
  <cp:lastPrinted>2025-10-07T11:20:00Z</cp:lastPrinted>
  <dcterms:modified xsi:type="dcterms:W3CDTF">2026-05-26T08:58:51Z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2052-12.1.0.25865</vt:lpwstr>
  </property>
  <property fmtid="{D5CDD505-2E9C-101B-9397-08002B2CF9AE}" pid="3" name="ICV">
    <vt:lpwstr>885B3892C66B4FA988E0AD79B16EFD96_13</vt:lpwstr>
  </property>
  <property fmtid="{D5CDD505-2E9C-101B-9397-08002B2CF9AE}" pid="4" name="KSOTemplateDocerSaveRecord">
    <vt:lpwstr>eyJoZGlkIjoiYWM4OTdjYmM5OTc1ZTExMjliOThhNWZiOGFiODE3Y2QiLCJ1c2VySWQiOiIxMTIxMzIwNzkyIn0=</vt:lpwstr>
  </property>
</Properties>
</file>